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1C4D9" w14:textId="77777777" w:rsidR="007E1987" w:rsidRDefault="00000000">
      <w:pPr>
        <w:rPr>
          <w:rFonts w:ascii="Times New Roman" w:eastAsia="Times New Roman" w:hAnsi="Times New Roman" w:cs="Times New Roman"/>
          <w:color w:val="000000"/>
        </w:rPr>
      </w:pPr>
      <w:r>
        <w:rPr>
          <w:rFonts w:ascii="Times New Roman" w:eastAsia="Times New Roman" w:hAnsi="Times New Roman" w:cs="Times New Roman"/>
          <w:b/>
          <w:bCs/>
          <w:color w:val="000000"/>
        </w:rPr>
        <w:t>Extended Data</w:t>
      </w:r>
    </w:p>
    <w:p w14:paraId="59B9656A" w14:textId="77777777" w:rsidR="007E1987" w:rsidRDefault="00000000">
      <w:pPr>
        <w:rPr>
          <w:rFonts w:ascii="Times New Roman" w:eastAsia="Times New Roman" w:hAnsi="Times New Roman" w:cs="Times New Roman"/>
          <w:color w:val="000000"/>
          <w:sz w:val="24"/>
          <w:szCs w:val="24"/>
        </w:rPr>
      </w:pPr>
      <w:r>
        <w:rPr>
          <w:noProof/>
        </w:rPr>
        <w:drawing>
          <wp:inline distT="0" distB="0" distL="0" distR="0" wp14:anchorId="63803227" wp14:editId="4810FA81">
            <wp:extent cx="4286885" cy="45339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noChangeArrowheads="1"/>
                    </pic:cNvPicPr>
                  </pic:nvPicPr>
                  <pic:blipFill>
                    <a:blip r:embed="rId5"/>
                    <a:stretch>
                      <a:fillRect/>
                    </a:stretch>
                  </pic:blipFill>
                  <pic:spPr bwMode="auto">
                    <a:xfrm>
                      <a:off x="0" y="0"/>
                      <a:ext cx="4286885" cy="4533900"/>
                    </a:xfrm>
                    <a:prstGeom prst="rect">
                      <a:avLst/>
                    </a:prstGeom>
                  </pic:spPr>
                </pic:pic>
              </a:graphicData>
            </a:graphic>
          </wp:inline>
        </w:drawing>
      </w:r>
    </w:p>
    <w:p w14:paraId="38747045" w14:textId="77777777" w:rsidR="007E1987" w:rsidRDefault="00000000">
      <w:pPr>
        <w:rPr>
          <w:rFonts w:ascii="Times New Roman" w:eastAsia="Times New Roman" w:hAnsi="Times New Roman" w:cs="Times New Roman"/>
          <w:color w:val="222222"/>
        </w:rPr>
      </w:pPr>
      <w:r>
        <w:rPr>
          <w:rFonts w:ascii="Times New Roman" w:eastAsia="Times New Roman" w:hAnsi="Times New Roman" w:cs="Times New Roman"/>
          <w:b/>
          <w:bCs/>
          <w:color w:val="000000" w:themeColor="text1"/>
        </w:rPr>
        <w:t xml:space="preserve">Extended Data Fig. 1 | </w:t>
      </w:r>
      <w:r>
        <w:rPr>
          <w:rFonts w:ascii="Times New Roman" w:eastAsia="Times New Roman" w:hAnsi="Times New Roman" w:cs="Times New Roman"/>
          <w:color w:val="000000" w:themeColor="text1"/>
        </w:rPr>
        <w:t xml:space="preserve">Cropland characteristics for the full study area aggregated to grid cells of 1x1 km. Crop growth rate and tree cover were extracted only using the pixels within cropped fields. </w:t>
      </w:r>
      <w:r>
        <w:rPr>
          <w:rFonts w:ascii="Times New Roman" w:eastAsia="Times New Roman" w:hAnsi="Times New Roman" w:cs="Times New Roman"/>
          <w:color w:val="222222"/>
        </w:rPr>
        <w:t xml:space="preserve">Crop growth rate represents the greenness (NDVI) increase per day. </w:t>
      </w:r>
    </w:p>
    <w:p w14:paraId="6603DBF5" w14:textId="77777777" w:rsidR="007E1987" w:rsidRDefault="00000000">
      <w:r>
        <w:br w:type="page"/>
      </w:r>
    </w:p>
    <w:p w14:paraId="3D1A3E7D" w14:textId="77777777" w:rsidR="007E1987" w:rsidRDefault="007E1987"/>
    <w:p w14:paraId="32DC1E3F" w14:textId="77777777" w:rsidR="007E1987" w:rsidRDefault="00000000">
      <w:pPr>
        <w:rPr>
          <w:rFonts w:ascii="Times New Roman" w:eastAsia="Times New Roman" w:hAnsi="Times New Roman" w:cs="Times New Roman"/>
          <w:color w:val="222222"/>
        </w:rPr>
      </w:pPr>
      <w:r>
        <w:rPr>
          <w:noProof/>
        </w:rPr>
        <w:drawing>
          <wp:inline distT="0" distB="0" distL="0" distR="0" wp14:anchorId="4E66F5C3" wp14:editId="5EEF1DF1">
            <wp:extent cx="5826760" cy="1929765"/>
            <wp:effectExtent l="0" t="0" r="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3"/>
                    <pic:cNvPicPr>
                      <a:picLocks noChangeAspect="1" noChangeArrowheads="1"/>
                    </pic:cNvPicPr>
                  </pic:nvPicPr>
                  <pic:blipFill>
                    <a:blip r:embed="rId6"/>
                    <a:stretch>
                      <a:fillRect/>
                    </a:stretch>
                  </pic:blipFill>
                  <pic:spPr bwMode="auto">
                    <a:xfrm>
                      <a:off x="0" y="0"/>
                      <a:ext cx="5826760" cy="1929765"/>
                    </a:xfrm>
                    <a:prstGeom prst="rect">
                      <a:avLst/>
                    </a:prstGeom>
                  </pic:spPr>
                </pic:pic>
              </a:graphicData>
            </a:graphic>
          </wp:inline>
        </w:drawing>
      </w:r>
    </w:p>
    <w:p w14:paraId="418132C0" w14:textId="77777777" w:rsidR="007E1987" w:rsidRDefault="00000000">
      <w:pPr>
        <w:rPr>
          <w:rFonts w:ascii="Times New Roman" w:eastAsia="Times New Roman" w:hAnsi="Times New Roman" w:cs="Times New Roman"/>
          <w:color w:val="222222"/>
        </w:rPr>
      </w:pPr>
      <w:r>
        <w:rPr>
          <w:rFonts w:ascii="Times New Roman" w:eastAsia="Calibri" w:hAnsi="Times New Roman" w:cs="Times New Roman"/>
          <w:b/>
          <w:bCs/>
        </w:rPr>
        <w:t xml:space="preserve">Extended Data Fig. 2 | </w:t>
      </w:r>
      <w:r>
        <w:rPr>
          <w:rFonts w:ascii="Times New Roman" w:eastAsia="Calibri" w:hAnsi="Times New Roman" w:cs="Times New Roman"/>
        </w:rPr>
        <w:t>The combinations of</w:t>
      </w:r>
      <w:r>
        <w:rPr>
          <w:rFonts w:ascii="Times New Roman" w:eastAsia="Calibri" w:hAnsi="Times New Roman" w:cs="Times New Roman"/>
          <w:b/>
          <w:bCs/>
        </w:rPr>
        <w:t xml:space="preserve"> </w:t>
      </w:r>
      <w:r>
        <w:rPr>
          <w:rFonts w:ascii="Times New Roman" w:eastAsia="Calibri" w:hAnsi="Times New Roman" w:cs="Times New Roman"/>
        </w:rPr>
        <w:t>cultivated fraction, crop growth rate and tree cover of cropped fields</w:t>
      </w:r>
      <w:r>
        <w:rPr>
          <w:rFonts w:ascii="Times New Roman" w:hAnsi="Times New Roman"/>
        </w:rPr>
        <w:t>.</w:t>
      </w:r>
      <w:r>
        <w:rPr>
          <w:rFonts w:ascii="Times New Roman" w:hAnsi="Times New Roman"/>
          <w:b/>
          <w:bCs/>
        </w:rPr>
        <w:t xml:space="preserve"> </w:t>
      </w:r>
      <w:r>
        <w:rPr>
          <w:rFonts w:ascii="Times New Roman" w:hAnsi="Times New Roman"/>
        </w:rPr>
        <w:t>Interactions between metrics are</w:t>
      </w:r>
      <w:r>
        <w:rPr>
          <w:rFonts w:ascii="Times New Roman" w:hAnsi="Times New Roman"/>
          <w:b/>
          <w:bCs/>
        </w:rPr>
        <w:t xml:space="preserve"> </w:t>
      </w:r>
      <w:r>
        <w:rPr>
          <w:rFonts w:ascii="Times New Roman" w:hAnsi="Times New Roman"/>
        </w:rPr>
        <w:t xml:space="preserve">illustrated in the R-G-B color space </w:t>
      </w:r>
      <w:r>
        <w:rPr>
          <w:rFonts w:ascii="Times New Roman" w:hAnsi="Times New Roman"/>
          <w:color w:val="222222"/>
        </w:rPr>
        <w:t>at a 1-km grid cell scale</w:t>
      </w:r>
      <w:r>
        <w:rPr>
          <w:rFonts w:ascii="Times New Roman" w:hAnsi="Times New Roman"/>
        </w:rPr>
        <w:t xml:space="preserve">. Each factor was scaled to a unitless range between 0 and 1 using min-max normalization (maximum value is defined as mean + standard deviation, Extended Data Fig. 4). White colors indicate high values of all three indicators. </w:t>
      </w:r>
      <w:r>
        <w:rPr>
          <w:rFonts w:ascii="Times New Roman" w:hAnsi="Times New Roman"/>
          <w:color w:val="000000" w:themeColor="text1"/>
        </w:rPr>
        <w:t xml:space="preserve">Crop growth rate and tree cover were extracted only for pixels within cropped fields. </w:t>
      </w:r>
      <w:r>
        <w:rPr>
          <w:rFonts w:ascii="Times New Roman" w:hAnsi="Times New Roman"/>
          <w:color w:val="222222"/>
        </w:rPr>
        <w:t xml:space="preserve">Crop growth rate represents the maximum NDVI slope per day during </w:t>
      </w:r>
      <w:r>
        <w:rPr>
          <w:rFonts w:ascii="Times New Roman" w:hAnsi="Times New Roman"/>
        </w:rPr>
        <w:t>the full calendar year 2019</w:t>
      </w:r>
      <w:r>
        <w:rPr>
          <w:rFonts w:ascii="Times New Roman" w:hAnsi="Times New Roman"/>
          <w:color w:val="222222"/>
        </w:rPr>
        <w:t>.</w:t>
      </w:r>
      <w:r>
        <w:rPr>
          <w:rFonts w:ascii="Times New Roman" w:hAnsi="Times New Roman"/>
        </w:rPr>
        <w:t xml:space="preserve"> </w:t>
      </w:r>
      <w:r>
        <w:rPr>
          <w:rFonts w:ascii="Times New Roman" w:hAnsi="Times New Roman"/>
          <w:color w:val="222222"/>
        </w:rPr>
        <w:t>The dark dashed lines are the 300-, 400-, and 500-mm-per-yr rainfall isohyets within the Sahelian zone (200–600-mm yr</w:t>
      </w:r>
      <w:r>
        <w:rPr>
          <w:rFonts w:ascii="Times New Roman" w:hAnsi="Times New Roman"/>
          <w:color w:val="222222"/>
          <w:vertAlign w:val="superscript"/>
        </w:rPr>
        <w:t>-1</w:t>
      </w:r>
      <w:r>
        <w:rPr>
          <w:rFonts w:ascii="Times New Roman" w:hAnsi="Times New Roman"/>
          <w:color w:val="222222"/>
        </w:rPr>
        <w:t xml:space="preserve"> as mean 1982</w:t>
      </w:r>
      <w:r>
        <w:rPr>
          <w:rFonts w:ascii="Times New Roman" w:hAnsi="Times New Roman" w:cs="Times New Roman"/>
        </w:rPr>
        <w:t>–</w:t>
      </w:r>
      <w:r>
        <w:rPr>
          <w:rFonts w:ascii="Times New Roman" w:hAnsi="Times New Roman"/>
          <w:color w:val="222222"/>
        </w:rPr>
        <w:t>2020) shown in dark grey.</w:t>
      </w:r>
    </w:p>
    <w:p w14:paraId="1484BDC1" w14:textId="77777777" w:rsidR="007E1987" w:rsidRDefault="007E1987">
      <w:pPr>
        <w:rPr>
          <w:rFonts w:ascii="Times New Roman" w:hAnsi="Times New Roman"/>
          <w:color w:val="222222"/>
        </w:rPr>
      </w:pPr>
    </w:p>
    <w:p w14:paraId="43704BF6" w14:textId="77777777" w:rsidR="007E1987"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themeColor="text1"/>
          <w:sz w:val="24"/>
          <w:szCs w:val="24"/>
        </w:rPr>
        <w:t xml:space="preserve"> </w:t>
      </w:r>
      <w:r>
        <w:rPr>
          <w:noProof/>
        </w:rPr>
        <w:drawing>
          <wp:inline distT="0" distB="0" distL="0" distR="0" wp14:anchorId="165C9A2B" wp14:editId="79932182">
            <wp:extent cx="5381625" cy="3363595"/>
            <wp:effectExtent l="0" t="0" r="0" b="0"/>
            <wp:docPr id="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noChangeArrowheads="1"/>
                    </pic:cNvPicPr>
                  </pic:nvPicPr>
                  <pic:blipFill>
                    <a:blip r:embed="rId7"/>
                    <a:stretch>
                      <a:fillRect/>
                    </a:stretch>
                  </pic:blipFill>
                  <pic:spPr bwMode="auto">
                    <a:xfrm>
                      <a:off x="0" y="0"/>
                      <a:ext cx="5381625" cy="3363595"/>
                    </a:xfrm>
                    <a:prstGeom prst="rect">
                      <a:avLst/>
                    </a:prstGeom>
                  </pic:spPr>
                </pic:pic>
              </a:graphicData>
            </a:graphic>
          </wp:inline>
        </w:drawing>
      </w:r>
    </w:p>
    <w:p w14:paraId="461EF4B5" w14:textId="77777777" w:rsidR="007E1987" w:rsidRDefault="00000000">
      <w:pPr>
        <w:rPr>
          <w:rFonts w:ascii="Times New Roman" w:eastAsia="Times New Roman" w:hAnsi="Times New Roman" w:cs="Times New Roman"/>
          <w:color w:val="000000"/>
        </w:rPr>
      </w:pPr>
      <w:r>
        <w:rPr>
          <w:rFonts w:ascii="Times New Roman" w:eastAsia="Times New Roman" w:hAnsi="Times New Roman" w:cs="Times New Roman"/>
          <w:b/>
          <w:bCs/>
          <w:color w:val="000000"/>
        </w:rPr>
        <w:t>Extended Data Fig. 3</w:t>
      </w:r>
      <w:r>
        <w:rPr>
          <w:rFonts w:ascii="Times New Roman" w:hAnsi="Times New Roman"/>
          <w:color w:val="000000"/>
        </w:rPr>
        <w:t xml:space="preserve"> </w:t>
      </w:r>
      <w:r>
        <w:rPr>
          <w:rFonts w:ascii="Times New Roman" w:eastAsia="Times New Roman" w:hAnsi="Times New Roman" w:cs="Times New Roman"/>
          <w:b/>
          <w:bCs/>
          <w:color w:val="000000"/>
        </w:rPr>
        <w:t xml:space="preserve">| </w:t>
      </w:r>
      <w:r>
        <w:rPr>
          <w:rFonts w:ascii="Times New Roman" w:eastAsia="Times New Roman" w:hAnsi="Times New Roman" w:cs="Times New Roman"/>
          <w:color w:val="000000"/>
        </w:rPr>
        <w:t>Individual parameters of soil nutrients. a, Senegal. b, Mali., c, Niger</w:t>
      </w:r>
    </w:p>
    <w:p w14:paraId="2C9EA384" w14:textId="77777777" w:rsidR="007E1987" w:rsidRDefault="00000000">
      <w:r>
        <w:rPr>
          <w:noProof/>
        </w:rPr>
        <w:lastRenderedPageBreak/>
        <w:drawing>
          <wp:inline distT="0" distB="0" distL="0" distR="0" wp14:anchorId="1C7979C8" wp14:editId="7B41A360">
            <wp:extent cx="5200650" cy="4030345"/>
            <wp:effectExtent l="0" t="0" r="0" b="0"/>
            <wp:docPr id="1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9"/>
                    <pic:cNvPicPr>
                      <a:picLocks noChangeAspect="1" noChangeArrowheads="1"/>
                    </pic:cNvPicPr>
                  </pic:nvPicPr>
                  <pic:blipFill>
                    <a:blip r:embed="rId8"/>
                    <a:stretch>
                      <a:fillRect/>
                    </a:stretch>
                  </pic:blipFill>
                  <pic:spPr bwMode="auto">
                    <a:xfrm>
                      <a:off x="0" y="0"/>
                      <a:ext cx="5200650" cy="4030345"/>
                    </a:xfrm>
                    <a:prstGeom prst="rect">
                      <a:avLst/>
                    </a:prstGeom>
                  </pic:spPr>
                </pic:pic>
              </a:graphicData>
            </a:graphic>
          </wp:inline>
        </w:drawing>
      </w:r>
    </w:p>
    <w:p w14:paraId="5CF3B7AC" w14:textId="77777777" w:rsidR="007E1987" w:rsidRDefault="00000000">
      <w:pPr>
        <w:rPr>
          <w:rFonts w:ascii="Times New Roman" w:eastAsia="Times New Roman" w:hAnsi="Times New Roman" w:cs="Times New Roman"/>
          <w:color w:val="000000"/>
        </w:rPr>
      </w:pPr>
      <w:r>
        <w:rPr>
          <w:rFonts w:ascii="Times New Roman" w:eastAsia="Times New Roman" w:hAnsi="Times New Roman" w:cs="Times New Roman"/>
          <w:b/>
          <w:bCs/>
          <w:color w:val="000000"/>
        </w:rPr>
        <w:t xml:space="preserve">Extended Data Fig. 4 | </w:t>
      </w:r>
      <w:r>
        <w:rPr>
          <w:rFonts w:ascii="Times New Roman" w:eastAsia="Times New Roman" w:hAnsi="Times New Roman" w:cs="Times New Roman"/>
          <w:color w:val="000000"/>
        </w:rPr>
        <w:t>Individual parameters of soil chemicals. a, Senegal. b, Mali., c, Niger</w:t>
      </w:r>
    </w:p>
    <w:p w14:paraId="0CDA2E95" w14:textId="77777777" w:rsidR="007E1987" w:rsidRDefault="00000000">
      <w:pPr>
        <w:rPr>
          <w:rFonts w:eastAsia="Calibri" w:cs="Calibri"/>
          <w:color w:val="000000"/>
        </w:rPr>
      </w:pPr>
      <w:r>
        <w:rPr>
          <w:noProof/>
        </w:rPr>
        <w:lastRenderedPageBreak/>
        <w:drawing>
          <wp:inline distT="0" distB="0" distL="0" distR="0" wp14:anchorId="2025A325" wp14:editId="5EF0934A">
            <wp:extent cx="4205605" cy="4051935"/>
            <wp:effectExtent l="0" t="0" r="0" b="0"/>
            <wp:docPr id="1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0"/>
                    <pic:cNvPicPr>
                      <a:picLocks noChangeAspect="1" noChangeArrowheads="1"/>
                    </pic:cNvPicPr>
                  </pic:nvPicPr>
                  <pic:blipFill>
                    <a:blip r:embed="rId9"/>
                    <a:stretch>
                      <a:fillRect/>
                    </a:stretch>
                  </pic:blipFill>
                  <pic:spPr bwMode="auto">
                    <a:xfrm>
                      <a:off x="0" y="0"/>
                      <a:ext cx="4205605" cy="4051935"/>
                    </a:xfrm>
                    <a:prstGeom prst="rect">
                      <a:avLst/>
                    </a:prstGeom>
                  </pic:spPr>
                </pic:pic>
              </a:graphicData>
            </a:graphic>
          </wp:inline>
        </w:drawing>
      </w:r>
    </w:p>
    <w:p w14:paraId="2939CF97" w14:textId="77777777" w:rsidR="007E1987" w:rsidRDefault="00000000">
      <w:pPr>
        <w:rPr>
          <w:rFonts w:ascii="Times New Roman" w:eastAsia="Times New Roman" w:hAnsi="Times New Roman" w:cs="Times New Roman"/>
          <w:color w:val="000000"/>
        </w:rPr>
      </w:pPr>
      <w:r>
        <w:rPr>
          <w:rFonts w:ascii="Times New Roman" w:eastAsia="Times New Roman" w:hAnsi="Times New Roman" w:cs="Times New Roman"/>
          <w:b/>
          <w:bCs/>
          <w:color w:val="000000"/>
        </w:rPr>
        <w:t>Extended Data Fig. 5</w:t>
      </w:r>
      <w:r>
        <w:rPr>
          <w:rFonts w:ascii="Times New Roman" w:eastAsia="Times New Roman" w:hAnsi="Times New Roman" w:cs="Times New Roman"/>
          <w:color w:val="000000"/>
        </w:rPr>
        <w:t xml:space="preserve"> </w:t>
      </w:r>
      <w:r>
        <w:rPr>
          <w:rFonts w:ascii="Times New Roman" w:eastAsia="Times New Roman" w:hAnsi="Times New Roman" w:cs="Times New Roman"/>
          <w:b/>
          <w:bCs/>
          <w:color w:val="000000"/>
        </w:rPr>
        <w:t xml:space="preserve">| </w:t>
      </w:r>
      <w:r>
        <w:rPr>
          <w:rFonts w:ascii="Times New Roman" w:eastAsia="Times New Roman" w:hAnsi="Times New Roman" w:cs="Times New Roman"/>
          <w:color w:val="000000"/>
        </w:rPr>
        <w:t>The 1-km resolution maps of min-max normalized agroecological factors.</w:t>
      </w:r>
    </w:p>
    <w:p w14:paraId="29DD95F2" w14:textId="77777777" w:rsidR="007E1987" w:rsidRDefault="00000000">
      <w:pPr>
        <w:rPr>
          <w:rFonts w:eastAsia="Calibri" w:cs="Calibri"/>
          <w:color w:val="000000"/>
        </w:rPr>
      </w:pPr>
      <w:r>
        <w:rPr>
          <w:noProof/>
        </w:rPr>
        <w:drawing>
          <wp:inline distT="0" distB="0" distL="0" distR="0" wp14:anchorId="4E4F5759" wp14:editId="54D6C686">
            <wp:extent cx="4572000" cy="1000125"/>
            <wp:effectExtent l="0" t="0" r="0" b="0"/>
            <wp:docPr id="1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pic:cNvPicPr>
                      <a:picLocks noChangeAspect="1" noChangeArrowheads="1"/>
                    </pic:cNvPicPr>
                  </pic:nvPicPr>
                  <pic:blipFill>
                    <a:blip r:embed="rId10"/>
                    <a:stretch>
                      <a:fillRect/>
                    </a:stretch>
                  </pic:blipFill>
                  <pic:spPr bwMode="auto">
                    <a:xfrm>
                      <a:off x="0" y="0"/>
                      <a:ext cx="4572000" cy="1000125"/>
                    </a:xfrm>
                    <a:prstGeom prst="rect">
                      <a:avLst/>
                    </a:prstGeom>
                  </pic:spPr>
                </pic:pic>
              </a:graphicData>
            </a:graphic>
          </wp:inline>
        </w:drawing>
      </w:r>
    </w:p>
    <w:p w14:paraId="34CE2055" w14:textId="77777777" w:rsidR="007E1987" w:rsidRDefault="00000000">
      <w:pPr>
        <w:rPr>
          <w:rFonts w:ascii="Times New Roman" w:eastAsia="Times New Roman" w:hAnsi="Times New Roman" w:cs="Times New Roman"/>
          <w:color w:val="212529"/>
        </w:rPr>
      </w:pPr>
      <w:r>
        <w:rPr>
          <w:rFonts w:ascii="Times New Roman" w:eastAsia="Times New Roman" w:hAnsi="Times New Roman" w:cs="Times New Roman"/>
          <w:b/>
          <w:bCs/>
          <w:color w:val="000000"/>
        </w:rPr>
        <w:t>Extended Data Fig. 6</w:t>
      </w:r>
      <w:r>
        <w:rPr>
          <w:rFonts w:ascii="Times New Roman" w:eastAsia="Times New Roman" w:hAnsi="Times New Roman" w:cs="Times New Roman"/>
          <w:color w:val="000000"/>
        </w:rPr>
        <w:t xml:space="preserve"> </w:t>
      </w:r>
      <w:r>
        <w:rPr>
          <w:rFonts w:ascii="Times New Roman" w:eastAsia="Times New Roman" w:hAnsi="Times New Roman" w:cs="Times New Roman"/>
          <w:b/>
          <w:bCs/>
          <w:color w:val="000000"/>
        </w:rPr>
        <w:t xml:space="preserve">| </w:t>
      </w:r>
      <w:r>
        <w:rPr>
          <w:rFonts w:ascii="Times New Roman" w:eastAsia="Times New Roman" w:hAnsi="Times New Roman" w:cs="Times New Roman"/>
          <w:color w:val="000000"/>
        </w:rPr>
        <w:t xml:space="preserve">Spatial distribution of areas with </w:t>
      </w:r>
      <w:r>
        <w:rPr>
          <w:rFonts w:ascii="Times New Roman" w:eastAsia="Times New Roman" w:hAnsi="Times New Roman" w:cs="Times New Roman"/>
          <w:color w:val="212529"/>
        </w:rPr>
        <w:t>sparse (&lt;50 persons/km</w:t>
      </w:r>
      <w:r>
        <w:rPr>
          <w:rFonts w:ascii="Times New Roman" w:eastAsia="Times New Roman" w:hAnsi="Times New Roman" w:cs="Times New Roman"/>
          <w:color w:val="212529"/>
          <w:vertAlign w:val="superscript"/>
        </w:rPr>
        <w:t>2</w:t>
      </w:r>
      <w:r>
        <w:rPr>
          <w:rFonts w:ascii="Times New Roman" w:eastAsia="Times New Roman" w:hAnsi="Times New Roman" w:cs="Times New Roman"/>
          <w:color w:val="212529"/>
        </w:rPr>
        <w:t>) and dense (&gt;50 persons/km</w:t>
      </w:r>
      <w:r>
        <w:rPr>
          <w:rFonts w:ascii="Times New Roman" w:eastAsia="Times New Roman" w:hAnsi="Times New Roman" w:cs="Times New Roman"/>
          <w:color w:val="212529"/>
          <w:vertAlign w:val="superscript"/>
        </w:rPr>
        <w:t>2</w:t>
      </w:r>
      <w:r>
        <w:rPr>
          <w:rFonts w:ascii="Times New Roman" w:eastAsia="Times New Roman" w:hAnsi="Times New Roman" w:cs="Times New Roman"/>
          <w:color w:val="212529"/>
        </w:rPr>
        <w:t>) human population</w:t>
      </w:r>
      <w:r>
        <w:rPr>
          <w:rFonts w:ascii="Times New Roman" w:eastAsia="Times New Roman" w:hAnsi="Times New Roman" w:cs="Times New Roman"/>
          <w:color w:val="000000"/>
          <w:vertAlign w:val="superscript"/>
        </w:rPr>
        <w:t>36</w:t>
      </w:r>
      <w:r>
        <w:rPr>
          <w:rFonts w:ascii="Times New Roman" w:eastAsia="Times New Roman" w:hAnsi="Times New Roman" w:cs="Times New Roman"/>
          <w:color w:val="212529"/>
        </w:rPr>
        <w:t>.</w:t>
      </w:r>
    </w:p>
    <w:p w14:paraId="62BB384A" w14:textId="77777777" w:rsidR="007E1987" w:rsidRDefault="00000000">
      <w:pPr>
        <w:rPr>
          <w:rFonts w:ascii="Times New Roman" w:eastAsia="Times New Roman" w:hAnsi="Times New Roman" w:cs="Times New Roman"/>
          <w:color w:val="000000"/>
        </w:rPr>
      </w:pPr>
      <w:r>
        <w:rPr>
          <w:noProof/>
        </w:rPr>
        <w:lastRenderedPageBreak/>
        <w:drawing>
          <wp:inline distT="0" distB="0" distL="0" distR="0" wp14:anchorId="4E8AF0AD" wp14:editId="433FE933">
            <wp:extent cx="3990975" cy="2828925"/>
            <wp:effectExtent l="0" t="0" r="0" b="0"/>
            <wp:docPr id="1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2"/>
                    <pic:cNvPicPr>
                      <a:picLocks noChangeAspect="1" noChangeArrowheads="1"/>
                    </pic:cNvPicPr>
                  </pic:nvPicPr>
                  <pic:blipFill>
                    <a:blip r:embed="rId11"/>
                    <a:srcRect t="5824" b="5562"/>
                    <a:stretch>
                      <a:fillRect/>
                    </a:stretch>
                  </pic:blipFill>
                  <pic:spPr bwMode="auto">
                    <a:xfrm>
                      <a:off x="0" y="0"/>
                      <a:ext cx="3990975" cy="2828925"/>
                    </a:xfrm>
                    <a:prstGeom prst="rect">
                      <a:avLst/>
                    </a:prstGeom>
                  </pic:spPr>
                </pic:pic>
              </a:graphicData>
            </a:graphic>
          </wp:inline>
        </w:drawing>
      </w:r>
    </w:p>
    <w:p w14:paraId="436B5FCD" w14:textId="77777777" w:rsidR="007E1987" w:rsidRDefault="00000000">
      <w:pPr>
        <w:rPr>
          <w:rFonts w:ascii="Times New Roman" w:eastAsia="Times New Roman" w:hAnsi="Times New Roman" w:cs="Times New Roman"/>
          <w:color w:val="212529"/>
        </w:rPr>
      </w:pPr>
      <w:r>
        <w:rPr>
          <w:rFonts w:ascii="Times New Roman" w:eastAsia="Times New Roman" w:hAnsi="Times New Roman" w:cs="Times New Roman"/>
          <w:b/>
          <w:bCs/>
          <w:color w:val="000000"/>
        </w:rPr>
        <w:t>Extended Data Fig. 7</w:t>
      </w:r>
      <w:r>
        <w:rPr>
          <w:rFonts w:ascii="Times New Roman" w:eastAsia="Times New Roman" w:hAnsi="Times New Roman" w:cs="Times New Roman"/>
          <w:color w:val="000000"/>
        </w:rPr>
        <w:t xml:space="preserve"> </w:t>
      </w:r>
      <w:r>
        <w:rPr>
          <w:rFonts w:ascii="Times New Roman" w:eastAsia="Times New Roman" w:hAnsi="Times New Roman" w:cs="Times New Roman"/>
          <w:b/>
          <w:bCs/>
          <w:color w:val="000000"/>
        </w:rPr>
        <w:t xml:space="preserve">| </w:t>
      </w:r>
      <w:r>
        <w:rPr>
          <w:rFonts w:ascii="Times New Roman" w:eastAsia="Times New Roman" w:hAnsi="Times New Roman" w:cs="Times New Roman"/>
          <w:color w:val="000000"/>
        </w:rPr>
        <w:t>a,</w:t>
      </w:r>
      <w:r>
        <w:rPr>
          <w:rFonts w:ascii="Times New Roman" w:eastAsia="Times New Roman" w:hAnsi="Times New Roman" w:cs="Times New Roman"/>
          <w:b/>
          <w:bCs/>
          <w:color w:val="000000"/>
        </w:rPr>
        <w:t xml:space="preserve"> </w:t>
      </w:r>
      <w:r>
        <w:rPr>
          <w:rFonts w:ascii="Times New Roman" w:eastAsia="Times New Roman" w:hAnsi="Times New Roman" w:cs="Times New Roman"/>
          <w:color w:val="212529"/>
        </w:rPr>
        <w:t>Crop growth rate and cultivated fraction for areas with sparse (&lt;25/50/75 persons/km</w:t>
      </w:r>
      <w:r>
        <w:rPr>
          <w:rFonts w:ascii="Times New Roman" w:eastAsia="Times New Roman" w:hAnsi="Times New Roman" w:cs="Times New Roman"/>
          <w:color w:val="212529"/>
          <w:vertAlign w:val="superscript"/>
        </w:rPr>
        <w:t>2</w:t>
      </w:r>
      <w:r>
        <w:rPr>
          <w:rFonts w:ascii="Times New Roman" w:eastAsia="Times New Roman" w:hAnsi="Times New Roman" w:cs="Times New Roman"/>
          <w:color w:val="212529"/>
        </w:rPr>
        <w:t>) and dense (&gt;25/50/75 persons/km</w:t>
      </w:r>
      <w:r>
        <w:rPr>
          <w:rFonts w:ascii="Times New Roman" w:eastAsia="Times New Roman" w:hAnsi="Times New Roman" w:cs="Times New Roman"/>
          <w:color w:val="212529"/>
          <w:vertAlign w:val="superscript"/>
        </w:rPr>
        <w:t>2</w:t>
      </w:r>
      <w:r>
        <w:rPr>
          <w:rFonts w:ascii="Times New Roman" w:eastAsia="Times New Roman" w:hAnsi="Times New Roman" w:cs="Times New Roman"/>
          <w:color w:val="212529"/>
        </w:rPr>
        <w:t xml:space="preserve">) human population. </w:t>
      </w:r>
      <w:r>
        <w:rPr>
          <w:rFonts w:ascii="Times New Roman" w:eastAsia="Times New Roman" w:hAnsi="Times New Roman" w:cs="Times New Roman"/>
          <w:color w:val="000000"/>
        </w:rPr>
        <w:t>b, annual</w:t>
      </w:r>
      <w:r>
        <w:rPr>
          <w:rFonts w:ascii="Times New Roman" w:eastAsia="Times New Roman" w:hAnsi="Times New Roman" w:cs="Times New Roman"/>
          <w:b/>
          <w:bCs/>
          <w:color w:val="000000"/>
        </w:rPr>
        <w:t xml:space="preserve"> </w:t>
      </w:r>
      <w:r>
        <w:rPr>
          <w:rFonts w:ascii="Times New Roman" w:eastAsia="Times New Roman" w:hAnsi="Times New Roman" w:cs="Times New Roman"/>
          <w:color w:val="212529"/>
        </w:rPr>
        <w:t>maximum NDVI and cultivated fraction for areas with sparse (&lt;25/50/75 persons/km</w:t>
      </w:r>
      <w:r>
        <w:rPr>
          <w:rFonts w:ascii="Times New Roman" w:eastAsia="Times New Roman" w:hAnsi="Times New Roman" w:cs="Times New Roman"/>
          <w:color w:val="212529"/>
          <w:vertAlign w:val="superscript"/>
        </w:rPr>
        <w:t>2</w:t>
      </w:r>
      <w:r>
        <w:rPr>
          <w:rFonts w:ascii="Times New Roman" w:eastAsia="Times New Roman" w:hAnsi="Times New Roman" w:cs="Times New Roman"/>
          <w:color w:val="212529"/>
        </w:rPr>
        <w:t>) and dense (&gt;25/50/75 persons/km</w:t>
      </w:r>
      <w:r>
        <w:rPr>
          <w:rFonts w:ascii="Times New Roman" w:eastAsia="Times New Roman" w:hAnsi="Times New Roman" w:cs="Times New Roman"/>
          <w:color w:val="212529"/>
          <w:vertAlign w:val="superscript"/>
        </w:rPr>
        <w:t>2</w:t>
      </w:r>
      <w:r>
        <w:rPr>
          <w:rFonts w:ascii="Times New Roman" w:eastAsia="Times New Roman" w:hAnsi="Times New Roman" w:cs="Times New Roman"/>
          <w:color w:val="212529"/>
        </w:rPr>
        <w:t>) human population.</w:t>
      </w:r>
    </w:p>
    <w:p w14:paraId="09470B0D" w14:textId="77777777" w:rsidR="007E1987" w:rsidRDefault="00000000">
      <w:pPr>
        <w:rPr>
          <w:rFonts w:ascii="Times New Roman" w:eastAsia="Times New Roman" w:hAnsi="Times New Roman" w:cs="Times New Roman"/>
          <w:color w:val="000000"/>
        </w:rPr>
      </w:pPr>
      <w:r>
        <w:rPr>
          <w:noProof/>
        </w:rPr>
        <w:drawing>
          <wp:inline distT="0" distB="0" distL="0" distR="0" wp14:anchorId="05E226E4" wp14:editId="4FFAB8BE">
            <wp:extent cx="5381625" cy="3262630"/>
            <wp:effectExtent l="0" t="0" r="0" b="0"/>
            <wp:docPr id="1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3"/>
                    <pic:cNvPicPr>
                      <a:picLocks noChangeAspect="1" noChangeArrowheads="1"/>
                    </pic:cNvPicPr>
                  </pic:nvPicPr>
                  <pic:blipFill>
                    <a:blip r:embed="rId12"/>
                    <a:stretch>
                      <a:fillRect/>
                    </a:stretch>
                  </pic:blipFill>
                  <pic:spPr bwMode="auto">
                    <a:xfrm>
                      <a:off x="0" y="0"/>
                      <a:ext cx="5381625" cy="3262630"/>
                    </a:xfrm>
                    <a:prstGeom prst="rect">
                      <a:avLst/>
                    </a:prstGeom>
                  </pic:spPr>
                </pic:pic>
              </a:graphicData>
            </a:graphic>
          </wp:inline>
        </w:drawing>
      </w:r>
    </w:p>
    <w:p w14:paraId="057FA175" w14:textId="77777777" w:rsidR="007E1987" w:rsidRDefault="00000000">
      <w:pPr>
        <w:rPr>
          <w:rFonts w:ascii="Times New Roman" w:eastAsia="Times New Roman" w:hAnsi="Times New Roman" w:cs="Times New Roman"/>
          <w:color w:val="222222"/>
        </w:rPr>
      </w:pPr>
      <w:r>
        <w:rPr>
          <w:rFonts w:ascii="Times New Roman" w:eastAsia="Times New Roman" w:hAnsi="Times New Roman" w:cs="Times New Roman"/>
          <w:b/>
          <w:bCs/>
          <w:color w:val="000000"/>
        </w:rPr>
        <w:t>Extended Data Fig. 8</w:t>
      </w:r>
      <w:r>
        <w:rPr>
          <w:rFonts w:ascii="Times New Roman" w:eastAsia="Times New Roman" w:hAnsi="Times New Roman" w:cs="Times New Roman"/>
          <w:color w:val="000000"/>
        </w:rPr>
        <w:t xml:space="preserve"> </w:t>
      </w:r>
      <w:r>
        <w:rPr>
          <w:rFonts w:ascii="Times New Roman" w:eastAsia="Times New Roman" w:hAnsi="Times New Roman" w:cs="Times New Roman"/>
          <w:b/>
          <w:bCs/>
          <w:color w:val="000000"/>
        </w:rPr>
        <w:t xml:space="preserve">| </w:t>
      </w:r>
      <w:r>
        <w:rPr>
          <w:rFonts w:ascii="Times New Roman" w:eastAsia="Times New Roman" w:hAnsi="Times New Roman" w:cs="Times New Roman"/>
          <w:color w:val="000000"/>
        </w:rPr>
        <w:t>a,</w:t>
      </w:r>
      <w:r>
        <w:rPr>
          <w:rFonts w:ascii="Times New Roman" w:eastAsia="Times New Roman" w:hAnsi="Times New Roman" w:cs="Times New Roman"/>
          <w:b/>
          <w:bCs/>
          <w:color w:val="000000"/>
        </w:rPr>
        <w:t xml:space="preserve"> </w:t>
      </w:r>
      <w:r>
        <w:rPr>
          <w:rFonts w:ascii="Times New Roman" w:eastAsia="Times New Roman" w:hAnsi="Times New Roman" w:cs="Times New Roman"/>
          <w:color w:val="212529"/>
        </w:rPr>
        <w:t>Crop growth rate and cultivated fraction for areas with sparse (&lt;25 persons/km</w:t>
      </w:r>
      <w:r>
        <w:rPr>
          <w:rFonts w:ascii="Times New Roman" w:eastAsia="Times New Roman" w:hAnsi="Times New Roman" w:cs="Times New Roman"/>
          <w:color w:val="212529"/>
          <w:vertAlign w:val="superscript"/>
        </w:rPr>
        <w:t>2</w:t>
      </w:r>
      <w:r>
        <w:rPr>
          <w:rFonts w:ascii="Times New Roman" w:eastAsia="Times New Roman" w:hAnsi="Times New Roman" w:cs="Times New Roman"/>
          <w:color w:val="212529"/>
        </w:rPr>
        <w:t>) and dense (&gt;25 persons/km</w:t>
      </w:r>
      <w:r>
        <w:rPr>
          <w:rFonts w:ascii="Times New Roman" w:eastAsia="Times New Roman" w:hAnsi="Times New Roman" w:cs="Times New Roman"/>
          <w:color w:val="212529"/>
          <w:vertAlign w:val="superscript"/>
        </w:rPr>
        <w:t>2</w:t>
      </w:r>
      <w:r>
        <w:rPr>
          <w:rFonts w:ascii="Times New Roman" w:eastAsia="Times New Roman" w:hAnsi="Times New Roman" w:cs="Times New Roman"/>
          <w:color w:val="212529"/>
        </w:rPr>
        <w:t xml:space="preserve">) human population, and </w:t>
      </w:r>
      <w:r>
        <w:rPr>
          <w:rFonts w:ascii="Times New Roman" w:eastAsia="Times New Roman" w:hAnsi="Times New Roman" w:cs="Times New Roman"/>
          <w:color w:val="000000"/>
        </w:rPr>
        <w:t>annual</w:t>
      </w:r>
      <w:r>
        <w:rPr>
          <w:rFonts w:ascii="Times New Roman" w:eastAsia="Times New Roman" w:hAnsi="Times New Roman" w:cs="Times New Roman"/>
          <w:b/>
          <w:bCs/>
          <w:color w:val="000000"/>
        </w:rPr>
        <w:t xml:space="preserve"> </w:t>
      </w:r>
      <w:r>
        <w:rPr>
          <w:rFonts w:ascii="Times New Roman" w:eastAsia="Times New Roman" w:hAnsi="Times New Roman" w:cs="Times New Roman"/>
          <w:color w:val="212529"/>
        </w:rPr>
        <w:t>maximum NDVI and cultivated fraction for areas with sparse (&lt;25 persons/km</w:t>
      </w:r>
      <w:r>
        <w:rPr>
          <w:rFonts w:ascii="Times New Roman" w:eastAsia="Times New Roman" w:hAnsi="Times New Roman" w:cs="Times New Roman"/>
          <w:color w:val="212529"/>
          <w:vertAlign w:val="superscript"/>
        </w:rPr>
        <w:t>2</w:t>
      </w:r>
      <w:r>
        <w:rPr>
          <w:rFonts w:ascii="Times New Roman" w:eastAsia="Times New Roman" w:hAnsi="Times New Roman" w:cs="Times New Roman"/>
          <w:color w:val="212529"/>
        </w:rPr>
        <w:t>) and dense (&gt;25 persons/km</w:t>
      </w:r>
      <w:r>
        <w:rPr>
          <w:rFonts w:ascii="Times New Roman" w:eastAsia="Times New Roman" w:hAnsi="Times New Roman" w:cs="Times New Roman"/>
          <w:color w:val="212529"/>
          <w:vertAlign w:val="superscript"/>
        </w:rPr>
        <w:t>2</w:t>
      </w:r>
      <w:r>
        <w:rPr>
          <w:rFonts w:ascii="Times New Roman" w:eastAsia="Times New Roman" w:hAnsi="Times New Roman" w:cs="Times New Roman"/>
          <w:color w:val="212529"/>
        </w:rPr>
        <w:t>) human population. b, with sparse (&lt;50 persons/km</w:t>
      </w:r>
      <w:r>
        <w:rPr>
          <w:rFonts w:ascii="Times New Roman" w:eastAsia="Times New Roman" w:hAnsi="Times New Roman" w:cs="Times New Roman"/>
          <w:color w:val="212529"/>
          <w:vertAlign w:val="superscript"/>
        </w:rPr>
        <w:t>2</w:t>
      </w:r>
      <w:r>
        <w:rPr>
          <w:rFonts w:ascii="Times New Roman" w:eastAsia="Times New Roman" w:hAnsi="Times New Roman" w:cs="Times New Roman"/>
          <w:color w:val="212529"/>
        </w:rPr>
        <w:t>) and dense (&gt;50 persons/km</w:t>
      </w:r>
      <w:r>
        <w:rPr>
          <w:rFonts w:ascii="Times New Roman" w:eastAsia="Times New Roman" w:hAnsi="Times New Roman" w:cs="Times New Roman"/>
          <w:color w:val="212529"/>
          <w:vertAlign w:val="superscript"/>
        </w:rPr>
        <w:t>2</w:t>
      </w:r>
      <w:r>
        <w:rPr>
          <w:rFonts w:ascii="Times New Roman" w:eastAsia="Times New Roman" w:hAnsi="Times New Roman" w:cs="Times New Roman"/>
          <w:color w:val="212529"/>
        </w:rPr>
        <w:t>) human population. c, with sparse (&lt;75 persons/km</w:t>
      </w:r>
      <w:r>
        <w:rPr>
          <w:rFonts w:ascii="Times New Roman" w:eastAsia="Times New Roman" w:hAnsi="Times New Roman" w:cs="Times New Roman"/>
          <w:color w:val="212529"/>
          <w:vertAlign w:val="superscript"/>
        </w:rPr>
        <w:t>2</w:t>
      </w:r>
      <w:r>
        <w:rPr>
          <w:rFonts w:ascii="Times New Roman" w:eastAsia="Times New Roman" w:hAnsi="Times New Roman" w:cs="Times New Roman"/>
          <w:color w:val="212529"/>
        </w:rPr>
        <w:t>) and dense (&gt;75 persons/km</w:t>
      </w:r>
      <w:r>
        <w:rPr>
          <w:rFonts w:ascii="Times New Roman" w:eastAsia="Times New Roman" w:hAnsi="Times New Roman" w:cs="Times New Roman"/>
          <w:color w:val="212529"/>
          <w:vertAlign w:val="superscript"/>
        </w:rPr>
        <w:t>2</w:t>
      </w:r>
      <w:r>
        <w:rPr>
          <w:rFonts w:ascii="Times New Roman" w:eastAsia="Times New Roman" w:hAnsi="Times New Roman" w:cs="Times New Roman"/>
          <w:color w:val="212529"/>
        </w:rPr>
        <w:t>) human population.</w:t>
      </w:r>
    </w:p>
    <w:p w14:paraId="0C61ADAB" w14:textId="77777777" w:rsidR="007E1987" w:rsidRDefault="00000000">
      <w:pPr>
        <w:rPr>
          <w:rFonts w:ascii="Times New Roman" w:eastAsia="Times New Roman" w:hAnsi="Times New Roman" w:cs="Times New Roman"/>
          <w:color w:val="212529"/>
        </w:rPr>
      </w:pPr>
      <w:r>
        <w:rPr>
          <w:noProof/>
        </w:rPr>
        <w:lastRenderedPageBreak/>
        <w:drawing>
          <wp:inline distT="0" distB="0" distL="0" distR="0" wp14:anchorId="608E288A" wp14:editId="48B615F7">
            <wp:extent cx="4572000" cy="1219200"/>
            <wp:effectExtent l="0" t="0" r="0" b="0"/>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pic:cNvPicPr>
                      <a:picLocks noChangeAspect="1" noChangeArrowheads="1"/>
                    </pic:cNvPicPr>
                  </pic:nvPicPr>
                  <pic:blipFill>
                    <a:blip r:embed="rId13"/>
                    <a:stretch>
                      <a:fillRect/>
                    </a:stretch>
                  </pic:blipFill>
                  <pic:spPr bwMode="auto">
                    <a:xfrm>
                      <a:off x="0" y="0"/>
                      <a:ext cx="4572000" cy="1219200"/>
                    </a:xfrm>
                    <a:prstGeom prst="rect">
                      <a:avLst/>
                    </a:prstGeom>
                  </pic:spPr>
                </pic:pic>
              </a:graphicData>
            </a:graphic>
          </wp:inline>
        </w:drawing>
      </w:r>
    </w:p>
    <w:p w14:paraId="1A503A63" w14:textId="77777777" w:rsidR="007E1987" w:rsidRDefault="00000000">
      <w:pPr>
        <w:rPr>
          <w:rFonts w:ascii="Times New Roman" w:eastAsia="Times New Roman" w:hAnsi="Times New Roman" w:cs="Times New Roman"/>
          <w:color w:val="212529"/>
        </w:rPr>
      </w:pPr>
      <w:r>
        <w:rPr>
          <w:rFonts w:ascii="Times New Roman" w:eastAsia="Times New Roman" w:hAnsi="Times New Roman" w:cs="Times New Roman"/>
          <w:b/>
          <w:color w:val="212529"/>
        </w:rPr>
        <w:t>Extended Data Fig. 9 |</w:t>
      </w:r>
      <w:r>
        <w:rPr>
          <w:rFonts w:ascii="Times New Roman" w:eastAsia="Times New Roman" w:hAnsi="Times New Roman" w:cs="Times New Roman"/>
          <w:color w:val="212529"/>
        </w:rPr>
        <w:t xml:space="preserve"> The extent of sandy soil extracted from soil texture layer</w:t>
      </w:r>
      <w:sdt>
        <w:sdtPr>
          <w:id w:val="1524947122"/>
        </w:sdtPr>
        <w:sdtContent>
          <w:r>
            <w:rPr>
              <w:rFonts w:ascii="Times New Roman" w:eastAsia="Times New Roman" w:hAnsi="Times New Roman" w:cs="Times New Roman"/>
              <w:color w:val="000000"/>
              <w:vertAlign w:val="superscript"/>
            </w:rPr>
            <w:t>39</w:t>
          </w:r>
        </w:sdtContent>
      </w:sdt>
      <w:r>
        <w:rPr>
          <w:rFonts w:ascii="Times New Roman" w:eastAsia="Times New Roman" w:hAnsi="Times New Roman" w:cs="Times New Roman"/>
          <w:color w:val="212529"/>
        </w:rPr>
        <w:t>.</w:t>
      </w:r>
    </w:p>
    <w:p w14:paraId="12DCA376" w14:textId="77777777" w:rsidR="007E1987" w:rsidRDefault="00000000">
      <w:pPr>
        <w:rPr>
          <w:rFonts w:ascii="Times New Roman" w:eastAsia="Times New Roman" w:hAnsi="Times New Roman" w:cs="Times New Roman"/>
          <w:color w:val="222222"/>
        </w:rPr>
      </w:pPr>
      <w:r>
        <w:rPr>
          <w:noProof/>
        </w:rPr>
        <w:drawing>
          <wp:inline distT="0" distB="0" distL="0" distR="0" wp14:anchorId="0C758AC9" wp14:editId="145A03A2">
            <wp:extent cx="4807585" cy="5090160"/>
            <wp:effectExtent l="0" t="0" r="0" b="0"/>
            <wp:docPr id="1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pic:cNvPicPr>
                      <a:picLocks noChangeAspect="1" noChangeArrowheads="1"/>
                    </pic:cNvPicPr>
                  </pic:nvPicPr>
                  <pic:blipFill>
                    <a:blip r:embed="rId14"/>
                    <a:stretch>
                      <a:fillRect/>
                    </a:stretch>
                  </pic:blipFill>
                  <pic:spPr bwMode="auto">
                    <a:xfrm>
                      <a:off x="0" y="0"/>
                      <a:ext cx="4807585" cy="5090160"/>
                    </a:xfrm>
                    <a:prstGeom prst="rect">
                      <a:avLst/>
                    </a:prstGeom>
                  </pic:spPr>
                </pic:pic>
              </a:graphicData>
            </a:graphic>
          </wp:inline>
        </w:drawing>
      </w:r>
    </w:p>
    <w:p w14:paraId="3577A1E3" w14:textId="77777777" w:rsidR="007E1987" w:rsidRDefault="00000000">
      <w:pPr>
        <w:rPr>
          <w:rFonts w:ascii="Times New Roman" w:eastAsia="Times New Roman" w:hAnsi="Times New Roman" w:cs="Times New Roman"/>
          <w:color w:val="222222"/>
        </w:rPr>
      </w:pPr>
      <w:r>
        <w:rPr>
          <w:rFonts w:ascii="Times New Roman" w:eastAsia="Times New Roman" w:hAnsi="Times New Roman" w:cs="Times New Roman"/>
          <w:b/>
          <w:bCs/>
          <w:color w:val="000000" w:themeColor="text1"/>
        </w:rPr>
        <w:t xml:space="preserve">Extended Data Fig. 10 | </w:t>
      </w:r>
      <w:r>
        <w:rPr>
          <w:rFonts w:ascii="Times New Roman" w:eastAsia="Times New Roman" w:hAnsi="Times New Roman" w:cs="Times New Roman"/>
          <w:color w:val="000000" w:themeColor="text1"/>
        </w:rPr>
        <w:t xml:space="preserve">Visual illustrations of 33 years agricultural landscape changes for an intensified agroforestry region. a, </w:t>
      </w:r>
      <w:r>
        <w:rPr>
          <w:rFonts w:ascii="Times New Roman" w:hAnsi="Times New Roman" w:cs="Times New Roman"/>
        </w:rPr>
        <w:t xml:space="preserve">False color composite (R: Near Infrared, G: Red, B: Green) PlanetScope images of agricultural areas in Senegal covering June-November 2019, and the predicted cropped fields and fallows at a spatial resolution of 4.7 m.  b, False color composite Landsat images of the same region covering June-November 1987, and the predicted cropped fields and fallows at a spatial resolution of 30 m.  The square grid is the 1 x 1 km area shown in Fig. 1a right panel. </w:t>
      </w:r>
    </w:p>
    <w:p w14:paraId="498A47E6" w14:textId="77777777" w:rsidR="007E1987" w:rsidRDefault="00000000">
      <w:pPr>
        <w:rPr>
          <w:rFonts w:ascii="Times New Roman" w:eastAsia="Times New Roman" w:hAnsi="Times New Roman" w:cs="Times New Roman"/>
          <w:color w:val="000000"/>
          <w:sz w:val="24"/>
          <w:szCs w:val="24"/>
        </w:rPr>
      </w:pPr>
      <w:r>
        <w:rPr>
          <w:noProof/>
        </w:rPr>
        <w:lastRenderedPageBreak/>
        <w:drawing>
          <wp:inline distT="0" distB="0" distL="0" distR="0" wp14:anchorId="5C4A23AF" wp14:editId="2347D581">
            <wp:extent cx="4971415" cy="5092700"/>
            <wp:effectExtent l="0" t="0" r="0" b="0"/>
            <wp:docPr id="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6"/>
                    <pic:cNvPicPr>
                      <a:picLocks noChangeAspect="1" noChangeArrowheads="1"/>
                    </pic:cNvPicPr>
                  </pic:nvPicPr>
                  <pic:blipFill>
                    <a:blip r:embed="rId15"/>
                    <a:srcRect t="3255"/>
                    <a:stretch>
                      <a:fillRect/>
                    </a:stretch>
                  </pic:blipFill>
                  <pic:spPr bwMode="auto">
                    <a:xfrm>
                      <a:off x="0" y="0"/>
                      <a:ext cx="4971415" cy="5092700"/>
                    </a:xfrm>
                    <a:prstGeom prst="rect">
                      <a:avLst/>
                    </a:prstGeom>
                  </pic:spPr>
                </pic:pic>
              </a:graphicData>
            </a:graphic>
          </wp:inline>
        </w:drawing>
      </w:r>
    </w:p>
    <w:p w14:paraId="58F51281" w14:textId="77777777" w:rsidR="007E1987" w:rsidRDefault="00000000">
      <w:pPr>
        <w:rPr>
          <w:rFonts w:ascii="Times New Roman" w:hAnsi="Times New Roman" w:cs="Times New Roman"/>
          <w:sz w:val="20"/>
          <w:szCs w:val="20"/>
        </w:rPr>
      </w:pPr>
      <w:r>
        <w:rPr>
          <w:rFonts w:ascii="Times New Roman" w:eastAsia="Times New Roman" w:hAnsi="Times New Roman" w:cs="Times New Roman"/>
          <w:b/>
          <w:bCs/>
          <w:color w:val="000000" w:themeColor="text1"/>
        </w:rPr>
        <w:t xml:space="preserve">Extended Data Fig. 11 | </w:t>
      </w:r>
      <w:r>
        <w:rPr>
          <w:rFonts w:ascii="Times New Roman" w:eastAsia="Times New Roman" w:hAnsi="Times New Roman" w:cs="Times New Roman"/>
          <w:color w:val="000000" w:themeColor="text1"/>
        </w:rPr>
        <w:t xml:space="preserve">Visual Illustration of 33 years agricultural landscape changes for a marginal region. a, </w:t>
      </w:r>
      <w:r>
        <w:rPr>
          <w:rFonts w:ascii="Times New Roman" w:hAnsi="Times New Roman" w:cs="Times New Roman"/>
        </w:rPr>
        <w:t xml:space="preserve">False color composite (R: Near Infrared, G: Red, B: Green) PlanetScope images of agricultural areas in Senegal covering June-November 2019, and the predicted cropped fields and fallows at a spatial resolution of 4.7 m.  b, False color composite Landsat images of the same region covering June-November 1987, and the predicted cropped fields and fallows at a spatial resolution of 30 m. Fallow land / savannas are underestimated for the year 1987. The square grid is the 1 x 1 km area shown in Fig.1a left panel. </w:t>
      </w:r>
    </w:p>
    <w:p w14:paraId="4CD3B16F" w14:textId="77777777" w:rsidR="007E1987" w:rsidRDefault="00000000">
      <w:pPr>
        <w:rPr>
          <w:rFonts w:ascii="Times New Roman" w:eastAsia="Times New Roman" w:hAnsi="Times New Roman" w:cs="Times New Roman"/>
          <w:color w:val="000000" w:themeColor="text1"/>
        </w:rPr>
      </w:pPr>
      <w:r>
        <w:rPr>
          <w:noProof/>
        </w:rPr>
        <w:lastRenderedPageBreak/>
        <w:drawing>
          <wp:inline distT="0" distB="0" distL="0" distR="0" wp14:anchorId="15D6830B" wp14:editId="616DF3EB">
            <wp:extent cx="5943600" cy="1733550"/>
            <wp:effectExtent l="0" t="0" r="0" b="0"/>
            <wp:docPr id="18" name="Picture 44" descr="C:\Users\cwm937\Downloads\agr_biomass_19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44" descr="C:\Users\cwm937\Downloads\agr_biomass_1920.jpg"/>
                    <pic:cNvPicPr>
                      <a:picLocks noChangeAspect="1" noChangeArrowheads="1"/>
                    </pic:cNvPicPr>
                  </pic:nvPicPr>
                  <pic:blipFill>
                    <a:blip r:embed="rId16"/>
                    <a:stretch>
                      <a:fillRect/>
                    </a:stretch>
                  </pic:blipFill>
                  <pic:spPr bwMode="auto">
                    <a:xfrm>
                      <a:off x="0" y="0"/>
                      <a:ext cx="5943600" cy="1733550"/>
                    </a:xfrm>
                    <a:prstGeom prst="rect">
                      <a:avLst/>
                    </a:prstGeom>
                  </pic:spPr>
                </pic:pic>
              </a:graphicData>
            </a:graphic>
          </wp:inline>
        </w:drawing>
      </w:r>
      <w:r>
        <w:rPr>
          <w:rFonts w:ascii="Times New Roman" w:eastAsia="Times New Roman" w:hAnsi="Times New Roman" w:cs="Times New Roman"/>
          <w:b/>
          <w:bCs/>
          <w:color w:val="000000" w:themeColor="text1"/>
        </w:rPr>
        <w:t>Extended Data Fig. 12 |</w:t>
      </w:r>
      <w:r>
        <w:rPr>
          <w:rFonts w:ascii="Times New Roman" w:eastAsia="Times New Roman" w:hAnsi="Times New Roman" w:cs="Times New Roman"/>
          <w:color w:val="000000" w:themeColor="text1"/>
        </w:rPr>
        <w:t xml:space="preserve"> Examining the correlation between millet yield and crop growth rate. a, the correlation coefficient between millet yield measured in the field in 2019 and crop growth rate. b, an illustration of the millet harvest transect overlay on the NICFI image from 2019. c, the prediction for cropped fields in 2019. d, the crop growth rate within these cropped fields.</w:t>
      </w:r>
    </w:p>
    <w:p w14:paraId="704ACF9B" w14:textId="77777777" w:rsidR="007E1987" w:rsidRDefault="00000000">
      <w:r>
        <w:rPr>
          <w:noProof/>
        </w:rPr>
        <w:drawing>
          <wp:inline distT="0" distB="0" distL="0" distR="0" wp14:anchorId="52335DAE" wp14:editId="179DB7DA">
            <wp:extent cx="2390775" cy="4371975"/>
            <wp:effectExtent l="0" t="0" r="0" b="0"/>
            <wp:docPr id="1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8"/>
                    <pic:cNvPicPr>
                      <a:picLocks noChangeAspect="1" noChangeArrowheads="1"/>
                    </pic:cNvPicPr>
                  </pic:nvPicPr>
                  <pic:blipFill>
                    <a:blip r:embed="rId17"/>
                    <a:srcRect t="1665" b="2705"/>
                    <a:stretch>
                      <a:fillRect/>
                    </a:stretch>
                  </pic:blipFill>
                  <pic:spPr bwMode="auto">
                    <a:xfrm>
                      <a:off x="0" y="0"/>
                      <a:ext cx="2390775" cy="4371975"/>
                    </a:xfrm>
                    <a:prstGeom prst="rect">
                      <a:avLst/>
                    </a:prstGeom>
                  </pic:spPr>
                </pic:pic>
              </a:graphicData>
            </a:graphic>
          </wp:inline>
        </w:drawing>
      </w:r>
    </w:p>
    <w:p w14:paraId="010B56D0" w14:textId="77777777" w:rsidR="007E1987" w:rsidRDefault="00000000">
      <w:pPr>
        <w:rPr>
          <w:rFonts w:ascii="Times New Roman" w:eastAsia="Times New Roman" w:hAnsi="Times New Roman" w:cs="Times New Roman"/>
          <w:color w:val="000000"/>
        </w:rPr>
      </w:pPr>
      <w:r>
        <w:rPr>
          <w:rFonts w:ascii="Times New Roman" w:eastAsia="Times New Roman" w:hAnsi="Times New Roman" w:cs="Times New Roman"/>
          <w:b/>
          <w:bCs/>
          <w:color w:val="000000" w:themeColor="text1"/>
        </w:rPr>
        <w:t>Extended Data Fig. 13</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b/>
          <w:bCs/>
          <w:color w:val="000000" w:themeColor="text1"/>
        </w:rPr>
        <w:t xml:space="preserve">| </w:t>
      </w:r>
      <w:r>
        <w:rPr>
          <w:rFonts w:ascii="Times New Roman" w:eastAsia="Times New Roman" w:hAnsi="Times New Roman" w:cs="Times New Roman"/>
          <w:color w:val="000000" w:themeColor="text1"/>
        </w:rPr>
        <w:t>Annual maximum NDVI in comparison to crop growth rate (same as in Fig. 5)</w:t>
      </w:r>
      <w:r>
        <w:rPr>
          <w:rFonts w:ascii="Times New Roman" w:eastAsia="Calibri" w:hAnsi="Times New Roman" w:cs="Times New Roman"/>
          <w:color w:val="212529"/>
        </w:rPr>
        <w:t xml:space="preserve"> </w:t>
      </w:r>
      <w:r>
        <w:rPr>
          <w:rFonts w:ascii="Times New Roman" w:eastAsia="Times New Roman" w:hAnsi="Times New Roman" w:cs="Times New Roman"/>
          <w:color w:val="000000" w:themeColor="text1"/>
        </w:rPr>
        <w:t>along the rainfall gradient for different classes of cultivated fraction for the Sahel and three countries. Both crop growth rate and annual maximum NDVI are masked by cropped fields and averaged along the 200–600 mm/year rainfall gradient (50 mm steps) at the 95% confidence interval for Senegal, Mali, and Niger.</w:t>
      </w:r>
    </w:p>
    <w:p w14:paraId="2B0E1373" w14:textId="77777777" w:rsidR="007E1987" w:rsidRDefault="007E1987">
      <w:pPr>
        <w:rPr>
          <w:rFonts w:ascii="Times New Roman" w:eastAsia="Times New Roman" w:hAnsi="Times New Roman" w:cs="Times New Roman"/>
          <w:color w:val="000000"/>
        </w:rPr>
      </w:pPr>
    </w:p>
    <w:p w14:paraId="560CEADC" w14:textId="77777777" w:rsidR="007E1987" w:rsidRDefault="00000000">
      <w:pPr>
        <w:rPr>
          <w:rFonts w:ascii="Times New Roman" w:eastAsia="Times New Roman" w:hAnsi="Times New Roman" w:cs="Times New Roman"/>
          <w:color w:val="000000"/>
        </w:rPr>
      </w:pPr>
      <w:r>
        <w:rPr>
          <w:noProof/>
        </w:rPr>
        <w:lastRenderedPageBreak/>
        <w:drawing>
          <wp:inline distT="0" distB="0" distL="0" distR="0" wp14:anchorId="18A2DF4B" wp14:editId="3B5D0375">
            <wp:extent cx="3112135" cy="3164840"/>
            <wp:effectExtent l="0" t="0" r="0" b="0"/>
            <wp:docPr id="20" name="Picture 12438629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243862909"/>
                    <pic:cNvPicPr>
                      <a:picLocks noChangeAspect="1" noChangeArrowheads="1"/>
                    </pic:cNvPicPr>
                  </pic:nvPicPr>
                  <pic:blipFill>
                    <a:blip r:embed="rId18"/>
                    <a:srcRect l="3614" t="6858" r="9071" b="4346"/>
                    <a:stretch>
                      <a:fillRect/>
                    </a:stretch>
                  </pic:blipFill>
                  <pic:spPr bwMode="auto">
                    <a:xfrm>
                      <a:off x="0" y="0"/>
                      <a:ext cx="3112135" cy="3164840"/>
                    </a:xfrm>
                    <a:prstGeom prst="rect">
                      <a:avLst/>
                    </a:prstGeom>
                  </pic:spPr>
                </pic:pic>
              </a:graphicData>
            </a:graphic>
          </wp:inline>
        </w:drawing>
      </w:r>
    </w:p>
    <w:p w14:paraId="489AD539" w14:textId="77777777" w:rsidR="007E1987" w:rsidRDefault="00000000">
      <w:pPr>
        <w:rPr>
          <w:rFonts w:ascii="Times New Roman" w:eastAsia="Times New Roman" w:hAnsi="Times New Roman" w:cs="Times New Roman"/>
          <w:color w:val="000000"/>
        </w:rPr>
      </w:pPr>
      <w:r>
        <w:rPr>
          <w:rFonts w:ascii="Times New Roman" w:eastAsia="Times New Roman" w:hAnsi="Times New Roman" w:cs="Times New Roman"/>
          <w:b/>
          <w:bCs/>
          <w:color w:val="000000"/>
        </w:rPr>
        <w:t>Extended Data Fig. 14 |</w:t>
      </w:r>
      <w:r>
        <w:rPr>
          <w:rFonts w:ascii="Times New Roman" w:eastAsia="Times New Roman" w:hAnsi="Times New Roman" w:cs="Times New Roman"/>
          <w:color w:val="000000"/>
        </w:rPr>
        <w:t xml:space="preserve"> Silhouette scores for determining the number of clusters.</w:t>
      </w:r>
    </w:p>
    <w:p w14:paraId="76F2BF06" w14:textId="77777777" w:rsidR="007E1987" w:rsidRDefault="007E1987">
      <w:pPr>
        <w:rPr>
          <w:rFonts w:eastAsia="Calibri" w:cs="Calibri"/>
          <w:color w:val="000000"/>
        </w:rPr>
      </w:pPr>
    </w:p>
    <w:p w14:paraId="599748C8" w14:textId="77777777" w:rsidR="007E1987" w:rsidRDefault="00000000">
      <w:pPr>
        <w:rPr>
          <w:rFonts w:ascii="Times New Roman" w:eastAsia="Times New Roman" w:hAnsi="Times New Roman" w:cs="Times New Roman"/>
          <w:color w:val="000000"/>
          <w:sz w:val="24"/>
          <w:szCs w:val="24"/>
        </w:rPr>
      </w:pPr>
      <w:r>
        <w:rPr>
          <w:noProof/>
        </w:rPr>
        <w:drawing>
          <wp:inline distT="0" distB="0" distL="0" distR="0" wp14:anchorId="7A5A76B8" wp14:editId="7B895B2A">
            <wp:extent cx="4572000" cy="1743075"/>
            <wp:effectExtent l="0" t="0" r="0" b="0"/>
            <wp:docPr id="2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9"/>
                    <pic:cNvPicPr>
                      <a:picLocks noChangeAspect="1" noChangeArrowheads="1"/>
                    </pic:cNvPicPr>
                  </pic:nvPicPr>
                  <pic:blipFill>
                    <a:blip r:embed="rId19"/>
                    <a:stretch>
                      <a:fillRect/>
                    </a:stretch>
                  </pic:blipFill>
                  <pic:spPr bwMode="auto">
                    <a:xfrm>
                      <a:off x="0" y="0"/>
                      <a:ext cx="4572000" cy="1743075"/>
                    </a:xfrm>
                    <a:prstGeom prst="rect">
                      <a:avLst/>
                    </a:prstGeom>
                  </pic:spPr>
                </pic:pic>
              </a:graphicData>
            </a:graphic>
          </wp:inline>
        </w:drawing>
      </w:r>
    </w:p>
    <w:p w14:paraId="1BD00763" w14:textId="77777777" w:rsidR="007E1987" w:rsidRDefault="00000000">
      <w:pPr>
        <w:rPr>
          <w:rFonts w:ascii="Times New Roman" w:eastAsia="Times New Roman" w:hAnsi="Times New Roman" w:cs="Times New Roman"/>
          <w:color w:val="000000"/>
        </w:rPr>
      </w:pPr>
      <w:r>
        <w:rPr>
          <w:rFonts w:ascii="Times New Roman" w:eastAsia="Times New Roman" w:hAnsi="Times New Roman" w:cs="Times New Roman"/>
          <w:b/>
          <w:bCs/>
          <w:color w:val="000000" w:themeColor="text1"/>
        </w:rPr>
        <w:t>Extended Data Fig. 15</w:t>
      </w:r>
      <w:r>
        <w:rPr>
          <w:rFonts w:ascii="Times New Roman" w:eastAsia="Times New Roman" w:hAnsi="Times New Roman" w:cs="Times New Roman"/>
          <w:color w:val="000000" w:themeColor="text1"/>
        </w:rPr>
        <w:t xml:space="preserve"> </w:t>
      </w:r>
      <w:r>
        <w:rPr>
          <w:rFonts w:ascii="Times New Roman" w:eastAsia="Times New Roman" w:hAnsi="Times New Roman" w:cs="Times New Roman"/>
          <w:b/>
          <w:bCs/>
          <w:color w:val="000000" w:themeColor="text1"/>
        </w:rPr>
        <w:t>|</w:t>
      </w:r>
      <w:r>
        <w:rPr>
          <w:rFonts w:ascii="Times New Roman" w:eastAsia="Times New Roman" w:hAnsi="Times New Roman" w:cs="Times New Roman"/>
          <w:color w:val="000000" w:themeColor="text1"/>
        </w:rPr>
        <w:t xml:space="preserve"> For soil indicators a, Eigen vectors or factor loading of principal component analyses (PCA). b, Pearson correlation coefficients (R).</w:t>
      </w:r>
    </w:p>
    <w:p w14:paraId="16B81591" w14:textId="77777777" w:rsidR="007E1987" w:rsidRDefault="007E1987">
      <w:pPr>
        <w:rPr>
          <w:rFonts w:ascii="Times New Roman" w:eastAsia="Times New Roman" w:hAnsi="Times New Roman" w:cs="Times New Roman"/>
          <w:color w:val="000000"/>
        </w:rPr>
      </w:pPr>
    </w:p>
    <w:p w14:paraId="2F2022C9" w14:textId="77777777" w:rsidR="007E1987"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rPr>
        <w:t>Extended Data Table 1</w:t>
      </w:r>
      <w:r>
        <w:rPr>
          <w:rFonts w:ascii="Times New Roman" w:eastAsia="Times New Roman" w:hAnsi="Times New Roman" w:cs="Times New Roman"/>
          <w:color w:val="000000"/>
        </w:rPr>
        <w:t xml:space="preserve"> </w:t>
      </w:r>
      <w:r>
        <w:rPr>
          <w:rFonts w:ascii="Times New Roman" w:eastAsia="Times New Roman" w:hAnsi="Times New Roman" w:cs="Times New Roman"/>
          <w:b/>
          <w:bCs/>
          <w:color w:val="000000"/>
        </w:rPr>
        <w:t xml:space="preserve">| </w:t>
      </w:r>
      <w:r>
        <w:rPr>
          <w:rFonts w:ascii="Times New Roman" w:eastAsia="Times New Roman" w:hAnsi="Times New Roman" w:cs="Times New Roman"/>
          <w:color w:val="000000"/>
        </w:rPr>
        <w:t>M</w:t>
      </w:r>
      <w:r>
        <w:rPr>
          <w:rFonts w:ascii="Times New Roman" w:eastAsia="Times New Roman" w:hAnsi="Times New Roman" w:cs="Times New Roman"/>
          <w:color w:val="000000"/>
          <w:sz w:val="24"/>
          <w:szCs w:val="24"/>
        </w:rPr>
        <w:t xml:space="preserve">odel accuracy. </w:t>
      </w:r>
    </w:p>
    <w:tbl>
      <w:tblPr>
        <w:tblStyle w:val="TableGrid"/>
        <w:tblW w:w="6555" w:type="dxa"/>
        <w:tblLook w:val="06A0" w:firstRow="1" w:lastRow="0" w:firstColumn="1" w:lastColumn="0" w:noHBand="1" w:noVBand="1"/>
      </w:tblPr>
      <w:tblGrid>
        <w:gridCol w:w="2235"/>
        <w:gridCol w:w="1620"/>
        <w:gridCol w:w="1440"/>
        <w:gridCol w:w="1260"/>
      </w:tblGrid>
      <w:tr w:rsidR="007E1987" w14:paraId="439E636F" w14:textId="77777777">
        <w:tc>
          <w:tcPr>
            <w:tcW w:w="2234" w:type="dxa"/>
          </w:tcPr>
          <w:p w14:paraId="7EE33AF4" w14:textId="77777777" w:rsidR="007E1987" w:rsidRDefault="007E1987">
            <w:pPr>
              <w:rPr>
                <w:rFonts w:ascii="Times New Roman" w:eastAsia="Times New Roman" w:hAnsi="Times New Roman" w:cs="Times New Roman"/>
                <w:sz w:val="24"/>
                <w:szCs w:val="24"/>
              </w:rPr>
            </w:pPr>
          </w:p>
        </w:tc>
        <w:tc>
          <w:tcPr>
            <w:tcW w:w="1620" w:type="dxa"/>
          </w:tcPr>
          <w:p w14:paraId="6E599CD9"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Cropped field</w:t>
            </w:r>
          </w:p>
        </w:tc>
        <w:tc>
          <w:tcPr>
            <w:tcW w:w="1440" w:type="dxa"/>
          </w:tcPr>
          <w:p w14:paraId="7EE3148F"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Fallow field</w:t>
            </w:r>
          </w:p>
        </w:tc>
        <w:tc>
          <w:tcPr>
            <w:tcW w:w="1260" w:type="dxa"/>
          </w:tcPr>
          <w:p w14:paraId="6898A928"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Cropland</w:t>
            </w:r>
          </w:p>
        </w:tc>
      </w:tr>
      <w:tr w:rsidR="007E1987" w14:paraId="2C6B4E6D" w14:textId="77777777">
        <w:tc>
          <w:tcPr>
            <w:tcW w:w="2234" w:type="dxa"/>
          </w:tcPr>
          <w:p w14:paraId="2E59757D"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User’s accuracy</w:t>
            </w:r>
          </w:p>
        </w:tc>
        <w:tc>
          <w:tcPr>
            <w:tcW w:w="1620" w:type="dxa"/>
          </w:tcPr>
          <w:p w14:paraId="38FCFFEC"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0.97</w:t>
            </w:r>
          </w:p>
        </w:tc>
        <w:tc>
          <w:tcPr>
            <w:tcW w:w="1440" w:type="dxa"/>
          </w:tcPr>
          <w:p w14:paraId="5CF2CD76"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0.71</w:t>
            </w:r>
          </w:p>
        </w:tc>
        <w:tc>
          <w:tcPr>
            <w:tcW w:w="1260" w:type="dxa"/>
          </w:tcPr>
          <w:p w14:paraId="69C101B4"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0.88</w:t>
            </w:r>
          </w:p>
        </w:tc>
      </w:tr>
      <w:tr w:rsidR="007E1987" w14:paraId="701842EB" w14:textId="77777777">
        <w:tc>
          <w:tcPr>
            <w:tcW w:w="2234" w:type="dxa"/>
          </w:tcPr>
          <w:p w14:paraId="2BAC84FD"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Producer’s accuracy</w:t>
            </w:r>
          </w:p>
        </w:tc>
        <w:tc>
          <w:tcPr>
            <w:tcW w:w="1620" w:type="dxa"/>
          </w:tcPr>
          <w:p w14:paraId="1476AC23"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0.83</w:t>
            </w:r>
          </w:p>
        </w:tc>
        <w:tc>
          <w:tcPr>
            <w:tcW w:w="1440" w:type="dxa"/>
          </w:tcPr>
          <w:p w14:paraId="27B68678"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0.75</w:t>
            </w:r>
          </w:p>
        </w:tc>
        <w:tc>
          <w:tcPr>
            <w:tcW w:w="1260" w:type="dxa"/>
          </w:tcPr>
          <w:p w14:paraId="20517593"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0.78</w:t>
            </w:r>
          </w:p>
        </w:tc>
      </w:tr>
      <w:tr w:rsidR="007E1987" w14:paraId="47859B67" w14:textId="77777777">
        <w:tc>
          <w:tcPr>
            <w:tcW w:w="2234" w:type="dxa"/>
          </w:tcPr>
          <w:p w14:paraId="6DCC2C40"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f1score</w:t>
            </w:r>
          </w:p>
        </w:tc>
        <w:tc>
          <w:tcPr>
            <w:tcW w:w="1620" w:type="dxa"/>
          </w:tcPr>
          <w:p w14:paraId="4CCA8F42"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0.89</w:t>
            </w:r>
          </w:p>
        </w:tc>
        <w:tc>
          <w:tcPr>
            <w:tcW w:w="1440" w:type="dxa"/>
          </w:tcPr>
          <w:p w14:paraId="11E6A222"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0.73</w:t>
            </w:r>
          </w:p>
        </w:tc>
        <w:tc>
          <w:tcPr>
            <w:tcW w:w="1260" w:type="dxa"/>
          </w:tcPr>
          <w:p w14:paraId="57E6ACF2"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0.83</w:t>
            </w:r>
          </w:p>
        </w:tc>
      </w:tr>
    </w:tbl>
    <w:p w14:paraId="6BA78FF0" w14:textId="77777777" w:rsidR="007E1987" w:rsidRDefault="007E1987">
      <w:pPr>
        <w:rPr>
          <w:rFonts w:eastAsia="Calibri" w:cs="Calibri"/>
          <w:color w:val="000000"/>
        </w:rPr>
      </w:pPr>
    </w:p>
    <w:p w14:paraId="1649DC02" w14:textId="77777777" w:rsidR="007E1987" w:rsidRDefault="00000000">
      <w:pPr>
        <w:rPr>
          <w:rFonts w:ascii="Times New Roman" w:eastAsia="Times New Roman" w:hAnsi="Times New Roman" w:cs="Times New Roman"/>
          <w:color w:val="000000"/>
        </w:rPr>
      </w:pPr>
      <w:r>
        <w:rPr>
          <w:rFonts w:ascii="Times New Roman" w:eastAsia="Times New Roman" w:hAnsi="Times New Roman" w:cs="Times New Roman"/>
          <w:b/>
          <w:bCs/>
          <w:color w:val="000000"/>
        </w:rPr>
        <w:lastRenderedPageBreak/>
        <w:t>Extended Data Table 2</w:t>
      </w:r>
      <w:r>
        <w:rPr>
          <w:rFonts w:ascii="Times New Roman" w:eastAsia="Times New Roman" w:hAnsi="Times New Roman" w:cs="Times New Roman"/>
          <w:color w:val="000000"/>
        </w:rPr>
        <w:t xml:space="preserve"> | Spatial cultivated fraction classes for grid cells of 1x1 km.</w:t>
      </w:r>
    </w:p>
    <w:tbl>
      <w:tblPr>
        <w:tblStyle w:val="TableGrid"/>
        <w:tblW w:w="8550" w:type="dxa"/>
        <w:tblLook w:val="04A0" w:firstRow="1" w:lastRow="0" w:firstColumn="1" w:lastColumn="0" w:noHBand="0" w:noVBand="1"/>
      </w:tblPr>
      <w:tblGrid>
        <w:gridCol w:w="1155"/>
        <w:gridCol w:w="1905"/>
        <w:gridCol w:w="2070"/>
        <w:gridCol w:w="1934"/>
        <w:gridCol w:w="1486"/>
      </w:tblGrid>
      <w:tr w:rsidR="007E1987" w14:paraId="56465156" w14:textId="77777777">
        <w:tc>
          <w:tcPr>
            <w:tcW w:w="1155" w:type="dxa"/>
          </w:tcPr>
          <w:p w14:paraId="2A89E8E8" w14:textId="77777777" w:rsidR="007E1987" w:rsidRDefault="00000000">
            <w:pPr>
              <w:rPr>
                <w:rFonts w:ascii="Times New Roman" w:eastAsia="Times New Roman" w:hAnsi="Times New Roman" w:cs="Times New Roman"/>
              </w:rPr>
            </w:pPr>
            <w:r>
              <w:rPr>
                <w:rFonts w:ascii="Times New Roman" w:eastAsia="Times New Roman" w:hAnsi="Times New Roman" w:cs="Times New Roman"/>
                <w:lang w:val="da-DK" w:eastAsia="zh-CN"/>
              </w:rPr>
              <w:t>Very high</w:t>
            </w:r>
          </w:p>
        </w:tc>
        <w:tc>
          <w:tcPr>
            <w:tcW w:w="1905" w:type="dxa"/>
          </w:tcPr>
          <w:p w14:paraId="07B8DE42" w14:textId="77777777" w:rsidR="007E1987" w:rsidRDefault="00000000">
            <w:pPr>
              <w:rPr>
                <w:rFonts w:ascii="Times New Roman" w:eastAsia="Times New Roman" w:hAnsi="Times New Roman" w:cs="Times New Roman"/>
              </w:rPr>
            </w:pPr>
            <w:r>
              <w:rPr>
                <w:rFonts w:ascii="Times New Roman" w:eastAsia="Times New Roman" w:hAnsi="Times New Roman" w:cs="Times New Roman"/>
                <w:lang w:val="da-DK" w:eastAsia="zh-CN"/>
              </w:rPr>
              <w:t>High</w:t>
            </w:r>
          </w:p>
        </w:tc>
        <w:tc>
          <w:tcPr>
            <w:tcW w:w="2070" w:type="dxa"/>
          </w:tcPr>
          <w:p w14:paraId="5A333283" w14:textId="77777777" w:rsidR="007E1987" w:rsidRDefault="00000000">
            <w:pPr>
              <w:rPr>
                <w:rFonts w:ascii="Times New Roman" w:eastAsia="Times New Roman" w:hAnsi="Times New Roman" w:cs="Times New Roman"/>
              </w:rPr>
            </w:pPr>
            <w:r>
              <w:rPr>
                <w:rFonts w:ascii="Times New Roman" w:eastAsia="Times New Roman" w:hAnsi="Times New Roman" w:cs="Times New Roman"/>
                <w:lang w:val="da-DK" w:eastAsia="zh-CN"/>
              </w:rPr>
              <w:t>Medium</w:t>
            </w:r>
          </w:p>
        </w:tc>
        <w:tc>
          <w:tcPr>
            <w:tcW w:w="1934" w:type="dxa"/>
          </w:tcPr>
          <w:p w14:paraId="7925AFB1" w14:textId="77777777" w:rsidR="007E1987" w:rsidRDefault="00000000">
            <w:pPr>
              <w:rPr>
                <w:rFonts w:ascii="Times New Roman" w:eastAsia="Times New Roman" w:hAnsi="Times New Roman" w:cs="Times New Roman"/>
              </w:rPr>
            </w:pPr>
            <w:r>
              <w:rPr>
                <w:rFonts w:ascii="Times New Roman" w:eastAsia="Times New Roman" w:hAnsi="Times New Roman" w:cs="Times New Roman"/>
                <w:lang w:val="da-DK" w:eastAsia="zh-CN"/>
              </w:rPr>
              <w:t>Low</w:t>
            </w:r>
          </w:p>
        </w:tc>
        <w:tc>
          <w:tcPr>
            <w:tcW w:w="1486" w:type="dxa"/>
          </w:tcPr>
          <w:p w14:paraId="35D20CEB" w14:textId="77777777" w:rsidR="007E1987" w:rsidRDefault="00000000">
            <w:pPr>
              <w:rPr>
                <w:rFonts w:ascii="Times New Roman" w:eastAsia="Times New Roman" w:hAnsi="Times New Roman" w:cs="Times New Roman"/>
              </w:rPr>
            </w:pPr>
            <w:r>
              <w:rPr>
                <w:rFonts w:ascii="Times New Roman" w:eastAsia="Times New Roman" w:hAnsi="Times New Roman" w:cs="Times New Roman"/>
                <w:lang w:val="da-DK" w:eastAsia="zh-CN"/>
              </w:rPr>
              <w:t>Very low</w:t>
            </w:r>
          </w:p>
        </w:tc>
      </w:tr>
      <w:tr w:rsidR="007E1987" w14:paraId="3C565910" w14:textId="77777777">
        <w:tc>
          <w:tcPr>
            <w:tcW w:w="1155" w:type="dxa"/>
          </w:tcPr>
          <w:p w14:paraId="62AB3265" w14:textId="77777777" w:rsidR="007E1987" w:rsidRDefault="00000000">
            <w:pPr>
              <w:rPr>
                <w:rFonts w:ascii="Times New Roman" w:eastAsia="Times New Roman" w:hAnsi="Times New Roman" w:cs="Times New Roman"/>
              </w:rPr>
            </w:pPr>
            <w:r>
              <w:rPr>
                <w:rFonts w:ascii="Times New Roman" w:eastAsia="Times New Roman" w:hAnsi="Times New Roman" w:cs="Times New Roman"/>
                <w:lang w:val="da-DK" w:eastAsia="zh-CN"/>
              </w:rPr>
              <w:t>&gt;80%</w:t>
            </w:r>
          </w:p>
        </w:tc>
        <w:tc>
          <w:tcPr>
            <w:tcW w:w="1905" w:type="dxa"/>
          </w:tcPr>
          <w:p w14:paraId="5CB94AF2" w14:textId="77777777" w:rsidR="007E1987" w:rsidRDefault="00000000">
            <w:pPr>
              <w:rPr>
                <w:rFonts w:ascii="Times New Roman" w:eastAsia="Times New Roman" w:hAnsi="Times New Roman" w:cs="Times New Roman"/>
              </w:rPr>
            </w:pPr>
            <w:r>
              <w:rPr>
                <w:rFonts w:ascii="Times New Roman" w:eastAsia="Times New Roman" w:hAnsi="Times New Roman" w:cs="Times New Roman"/>
                <w:lang w:val="da-DK" w:eastAsia="zh-CN"/>
              </w:rPr>
              <w:t>&gt;60% and &lt;=80%</w:t>
            </w:r>
          </w:p>
        </w:tc>
        <w:tc>
          <w:tcPr>
            <w:tcW w:w="2070" w:type="dxa"/>
          </w:tcPr>
          <w:p w14:paraId="4B7D023A" w14:textId="77777777" w:rsidR="007E1987" w:rsidRDefault="00000000">
            <w:pPr>
              <w:rPr>
                <w:rFonts w:ascii="Times New Roman" w:eastAsia="Times New Roman" w:hAnsi="Times New Roman" w:cs="Times New Roman"/>
              </w:rPr>
            </w:pPr>
            <w:r>
              <w:rPr>
                <w:rFonts w:ascii="Times New Roman" w:eastAsia="Times New Roman" w:hAnsi="Times New Roman" w:cs="Times New Roman"/>
                <w:lang w:val="da-DK" w:eastAsia="zh-CN"/>
              </w:rPr>
              <w:t>&gt;40% and &lt;=60%</w:t>
            </w:r>
          </w:p>
        </w:tc>
        <w:tc>
          <w:tcPr>
            <w:tcW w:w="1934" w:type="dxa"/>
          </w:tcPr>
          <w:p w14:paraId="15CB3C85" w14:textId="77777777" w:rsidR="007E1987" w:rsidRDefault="00000000">
            <w:pPr>
              <w:rPr>
                <w:rFonts w:ascii="Times New Roman" w:eastAsia="Times New Roman" w:hAnsi="Times New Roman" w:cs="Times New Roman"/>
              </w:rPr>
            </w:pPr>
            <w:r>
              <w:rPr>
                <w:rFonts w:ascii="Times New Roman" w:eastAsia="Times New Roman" w:hAnsi="Times New Roman" w:cs="Times New Roman"/>
                <w:lang w:val="da-DK" w:eastAsia="zh-CN"/>
              </w:rPr>
              <w:t>&gt;20% and &lt;=40%</w:t>
            </w:r>
          </w:p>
        </w:tc>
        <w:tc>
          <w:tcPr>
            <w:tcW w:w="1486" w:type="dxa"/>
          </w:tcPr>
          <w:p w14:paraId="30DD7ECD" w14:textId="77777777" w:rsidR="007E1987" w:rsidRDefault="00000000">
            <w:pPr>
              <w:rPr>
                <w:rFonts w:ascii="Times New Roman" w:eastAsia="Times New Roman" w:hAnsi="Times New Roman" w:cs="Times New Roman"/>
              </w:rPr>
            </w:pPr>
            <w:r>
              <w:rPr>
                <w:rFonts w:ascii="Times New Roman" w:eastAsia="Times New Roman" w:hAnsi="Times New Roman" w:cs="Times New Roman"/>
                <w:lang w:val="da-DK" w:eastAsia="zh-CN"/>
              </w:rPr>
              <w:t>&lt;=20%</w:t>
            </w:r>
          </w:p>
        </w:tc>
      </w:tr>
    </w:tbl>
    <w:p w14:paraId="57A38571" w14:textId="77777777" w:rsidR="007E1987" w:rsidRDefault="007E1987">
      <w:pPr>
        <w:rPr>
          <w:rFonts w:eastAsia="Calibri" w:cs="Calibri"/>
          <w:color w:val="000000"/>
        </w:rPr>
      </w:pPr>
    </w:p>
    <w:p w14:paraId="37431698" w14:textId="77777777" w:rsidR="007E1987"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rPr>
        <w:t>Extended Data Table 3</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b/>
          <w:bCs/>
          <w:color w:val="000000"/>
        </w:rPr>
        <w:t xml:space="preserve">| </w:t>
      </w:r>
      <w:r>
        <w:rPr>
          <w:rFonts w:ascii="Times New Roman" w:eastAsia="Times New Roman" w:hAnsi="Times New Roman" w:cs="Times New Roman"/>
          <w:color w:val="000000"/>
          <w:sz w:val="24"/>
          <w:szCs w:val="24"/>
        </w:rPr>
        <w:t>Results of principal component analyses (PCA).</w:t>
      </w:r>
    </w:p>
    <w:tbl>
      <w:tblPr>
        <w:tblW w:w="5400" w:type="dxa"/>
        <w:tblLook w:val="0420" w:firstRow="1" w:lastRow="0" w:firstColumn="0" w:lastColumn="0" w:noHBand="0" w:noVBand="1"/>
      </w:tblPr>
      <w:tblGrid>
        <w:gridCol w:w="1441"/>
        <w:gridCol w:w="810"/>
        <w:gridCol w:w="855"/>
        <w:gridCol w:w="765"/>
        <w:gridCol w:w="765"/>
        <w:gridCol w:w="764"/>
      </w:tblGrid>
      <w:tr w:rsidR="007E1987" w14:paraId="26BCF07F" w14:textId="77777777">
        <w:trPr>
          <w:trHeight w:val="300"/>
        </w:trPr>
        <w:tc>
          <w:tcPr>
            <w:tcW w:w="1440" w:type="dxa"/>
            <w:tcBorders>
              <w:top w:val="single" w:sz="6" w:space="0" w:color="000000"/>
              <w:left w:val="single" w:sz="6" w:space="0" w:color="000000"/>
              <w:bottom w:val="single" w:sz="6" w:space="0" w:color="000000"/>
              <w:right w:val="single" w:sz="6" w:space="0" w:color="000000"/>
            </w:tcBorders>
          </w:tcPr>
          <w:p w14:paraId="23C69731" w14:textId="77777777" w:rsidR="007E1987" w:rsidRDefault="007E1987">
            <w:pPr>
              <w:jc w:val="center"/>
              <w:rPr>
                <w:rFonts w:ascii="Times New Roman" w:eastAsia="Times New Roman" w:hAnsi="Times New Roman" w:cs="Times New Roman"/>
                <w:sz w:val="24"/>
                <w:szCs w:val="24"/>
              </w:rPr>
            </w:pPr>
          </w:p>
        </w:tc>
        <w:tc>
          <w:tcPr>
            <w:tcW w:w="810" w:type="dxa"/>
            <w:tcBorders>
              <w:top w:val="single" w:sz="6" w:space="0" w:color="000000"/>
              <w:left w:val="single" w:sz="6" w:space="0" w:color="000000"/>
              <w:bottom w:val="single" w:sz="6" w:space="0" w:color="000000"/>
              <w:right w:val="single" w:sz="6" w:space="0" w:color="000000"/>
            </w:tcBorders>
          </w:tcPr>
          <w:p w14:paraId="14A301B4"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PC*1</w:t>
            </w:r>
          </w:p>
        </w:tc>
        <w:tc>
          <w:tcPr>
            <w:tcW w:w="855" w:type="dxa"/>
            <w:tcBorders>
              <w:top w:val="single" w:sz="6" w:space="0" w:color="000000"/>
              <w:left w:val="single" w:sz="6" w:space="0" w:color="000000"/>
              <w:bottom w:val="single" w:sz="6" w:space="0" w:color="000000"/>
              <w:right w:val="single" w:sz="6" w:space="0" w:color="000000"/>
            </w:tcBorders>
          </w:tcPr>
          <w:p w14:paraId="4C851422"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PC2</w:t>
            </w:r>
          </w:p>
        </w:tc>
        <w:tc>
          <w:tcPr>
            <w:tcW w:w="765" w:type="dxa"/>
            <w:tcBorders>
              <w:top w:val="single" w:sz="6" w:space="0" w:color="000000"/>
              <w:left w:val="single" w:sz="6" w:space="0" w:color="000000"/>
              <w:bottom w:val="single" w:sz="6" w:space="0" w:color="000000"/>
              <w:right w:val="single" w:sz="6" w:space="0" w:color="000000"/>
            </w:tcBorders>
          </w:tcPr>
          <w:p w14:paraId="2862299B"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PC3</w:t>
            </w:r>
          </w:p>
        </w:tc>
        <w:tc>
          <w:tcPr>
            <w:tcW w:w="765" w:type="dxa"/>
            <w:tcBorders>
              <w:top w:val="single" w:sz="6" w:space="0" w:color="000000"/>
              <w:left w:val="single" w:sz="6" w:space="0" w:color="000000"/>
              <w:bottom w:val="single" w:sz="6" w:space="0" w:color="000000"/>
              <w:right w:val="single" w:sz="6" w:space="0" w:color="000000"/>
            </w:tcBorders>
          </w:tcPr>
          <w:p w14:paraId="58E2DD33"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PC4</w:t>
            </w:r>
          </w:p>
        </w:tc>
        <w:tc>
          <w:tcPr>
            <w:tcW w:w="764" w:type="dxa"/>
            <w:tcBorders>
              <w:top w:val="single" w:sz="6" w:space="0" w:color="000000"/>
              <w:left w:val="single" w:sz="6" w:space="0" w:color="000000"/>
              <w:bottom w:val="single" w:sz="6" w:space="0" w:color="000000"/>
              <w:right w:val="single" w:sz="6" w:space="0" w:color="000000"/>
            </w:tcBorders>
          </w:tcPr>
          <w:p w14:paraId="124CC8B8"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PC5</w:t>
            </w:r>
          </w:p>
        </w:tc>
      </w:tr>
      <w:tr w:rsidR="007E1987" w14:paraId="20C19F0E" w14:textId="77777777">
        <w:trPr>
          <w:trHeight w:val="300"/>
        </w:trPr>
        <w:tc>
          <w:tcPr>
            <w:tcW w:w="1440" w:type="dxa"/>
            <w:tcBorders>
              <w:top w:val="single" w:sz="6" w:space="0" w:color="000000"/>
              <w:left w:val="single" w:sz="6" w:space="0" w:color="000000"/>
              <w:bottom w:val="single" w:sz="6" w:space="0" w:color="000000"/>
              <w:right w:val="single" w:sz="6" w:space="0" w:color="000000"/>
            </w:tcBorders>
          </w:tcPr>
          <w:p w14:paraId="3962EDB6"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Eigenvalues</w:t>
            </w:r>
          </w:p>
        </w:tc>
        <w:tc>
          <w:tcPr>
            <w:tcW w:w="810" w:type="dxa"/>
            <w:tcBorders>
              <w:top w:val="single" w:sz="6" w:space="0" w:color="000000"/>
              <w:left w:val="single" w:sz="6" w:space="0" w:color="000000"/>
              <w:bottom w:val="single" w:sz="6" w:space="0" w:color="000000"/>
              <w:right w:val="single" w:sz="6" w:space="0" w:color="000000"/>
            </w:tcBorders>
          </w:tcPr>
          <w:p w14:paraId="23463417"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3.869</w:t>
            </w:r>
          </w:p>
        </w:tc>
        <w:tc>
          <w:tcPr>
            <w:tcW w:w="855" w:type="dxa"/>
            <w:tcBorders>
              <w:top w:val="single" w:sz="6" w:space="0" w:color="000000"/>
              <w:left w:val="single" w:sz="6" w:space="0" w:color="000000"/>
              <w:bottom w:val="single" w:sz="6" w:space="0" w:color="000000"/>
              <w:right w:val="single" w:sz="6" w:space="0" w:color="000000"/>
            </w:tcBorders>
          </w:tcPr>
          <w:p w14:paraId="57490915"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0.76</w:t>
            </w:r>
          </w:p>
        </w:tc>
        <w:tc>
          <w:tcPr>
            <w:tcW w:w="765" w:type="dxa"/>
            <w:tcBorders>
              <w:top w:val="single" w:sz="6" w:space="0" w:color="000000"/>
              <w:left w:val="single" w:sz="6" w:space="0" w:color="000000"/>
              <w:bottom w:val="single" w:sz="6" w:space="0" w:color="000000"/>
              <w:right w:val="single" w:sz="6" w:space="0" w:color="000000"/>
            </w:tcBorders>
          </w:tcPr>
          <w:p w14:paraId="27EE4359"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0.034</w:t>
            </w:r>
          </w:p>
        </w:tc>
        <w:tc>
          <w:tcPr>
            <w:tcW w:w="765" w:type="dxa"/>
            <w:tcBorders>
              <w:top w:val="single" w:sz="6" w:space="0" w:color="000000"/>
              <w:left w:val="single" w:sz="6" w:space="0" w:color="000000"/>
              <w:bottom w:val="single" w:sz="6" w:space="0" w:color="000000"/>
              <w:right w:val="single" w:sz="6" w:space="0" w:color="000000"/>
            </w:tcBorders>
          </w:tcPr>
          <w:p w14:paraId="7A9A6334"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0.175</w:t>
            </w:r>
          </w:p>
        </w:tc>
        <w:tc>
          <w:tcPr>
            <w:tcW w:w="764" w:type="dxa"/>
            <w:tcBorders>
              <w:top w:val="single" w:sz="6" w:space="0" w:color="000000"/>
              <w:left w:val="single" w:sz="6" w:space="0" w:color="000000"/>
              <w:bottom w:val="single" w:sz="6" w:space="0" w:color="000000"/>
              <w:right w:val="single" w:sz="6" w:space="0" w:color="000000"/>
            </w:tcBorders>
          </w:tcPr>
          <w:p w14:paraId="0FDCB2BC"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0.161</w:t>
            </w:r>
          </w:p>
        </w:tc>
      </w:tr>
      <w:tr w:rsidR="007E1987" w14:paraId="21B86AD0" w14:textId="77777777">
        <w:trPr>
          <w:trHeight w:val="300"/>
        </w:trPr>
        <w:tc>
          <w:tcPr>
            <w:tcW w:w="1440" w:type="dxa"/>
            <w:tcBorders>
              <w:top w:val="single" w:sz="6" w:space="0" w:color="000000"/>
              <w:left w:val="single" w:sz="6" w:space="0" w:color="000000"/>
              <w:bottom w:val="single" w:sz="6" w:space="0" w:color="000000"/>
              <w:right w:val="single" w:sz="6" w:space="0" w:color="000000"/>
            </w:tcBorders>
          </w:tcPr>
          <w:p w14:paraId="3EFF9DE0"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Variance</w:t>
            </w:r>
          </w:p>
        </w:tc>
        <w:tc>
          <w:tcPr>
            <w:tcW w:w="810" w:type="dxa"/>
            <w:tcBorders>
              <w:top w:val="single" w:sz="6" w:space="0" w:color="000000"/>
              <w:left w:val="single" w:sz="6" w:space="0" w:color="000000"/>
              <w:bottom w:val="single" w:sz="6" w:space="0" w:color="000000"/>
              <w:right w:val="single" w:sz="6" w:space="0" w:color="000000"/>
            </w:tcBorders>
          </w:tcPr>
          <w:p w14:paraId="6F586048"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0.77</w:t>
            </w:r>
          </w:p>
        </w:tc>
        <w:tc>
          <w:tcPr>
            <w:tcW w:w="855" w:type="dxa"/>
            <w:tcBorders>
              <w:top w:val="single" w:sz="6" w:space="0" w:color="000000"/>
              <w:left w:val="single" w:sz="6" w:space="0" w:color="000000"/>
              <w:bottom w:val="single" w:sz="6" w:space="0" w:color="000000"/>
              <w:right w:val="single" w:sz="6" w:space="0" w:color="000000"/>
            </w:tcBorders>
          </w:tcPr>
          <w:p w14:paraId="2C72960E"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0.15</w:t>
            </w:r>
          </w:p>
        </w:tc>
        <w:tc>
          <w:tcPr>
            <w:tcW w:w="765" w:type="dxa"/>
            <w:tcBorders>
              <w:top w:val="single" w:sz="6" w:space="0" w:color="000000"/>
              <w:left w:val="single" w:sz="6" w:space="0" w:color="000000"/>
              <w:bottom w:val="single" w:sz="6" w:space="0" w:color="000000"/>
              <w:right w:val="single" w:sz="6" w:space="0" w:color="000000"/>
            </w:tcBorders>
          </w:tcPr>
          <w:p w14:paraId="42F36024"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0.007</w:t>
            </w:r>
          </w:p>
        </w:tc>
        <w:tc>
          <w:tcPr>
            <w:tcW w:w="765" w:type="dxa"/>
            <w:tcBorders>
              <w:top w:val="single" w:sz="6" w:space="0" w:color="000000"/>
              <w:left w:val="single" w:sz="6" w:space="0" w:color="000000"/>
              <w:bottom w:val="single" w:sz="6" w:space="0" w:color="000000"/>
              <w:right w:val="single" w:sz="6" w:space="0" w:color="000000"/>
            </w:tcBorders>
          </w:tcPr>
          <w:p w14:paraId="0DBC22BE"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0.04</w:t>
            </w:r>
          </w:p>
        </w:tc>
        <w:tc>
          <w:tcPr>
            <w:tcW w:w="764" w:type="dxa"/>
            <w:tcBorders>
              <w:top w:val="single" w:sz="6" w:space="0" w:color="000000"/>
              <w:left w:val="single" w:sz="6" w:space="0" w:color="000000"/>
              <w:bottom w:val="single" w:sz="6" w:space="0" w:color="000000"/>
              <w:right w:val="single" w:sz="6" w:space="0" w:color="000000"/>
            </w:tcBorders>
          </w:tcPr>
          <w:p w14:paraId="058D8874"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0.03</w:t>
            </w:r>
          </w:p>
        </w:tc>
      </w:tr>
      <w:tr w:rsidR="007E1987" w14:paraId="1177B1AC" w14:textId="77777777">
        <w:trPr>
          <w:trHeight w:val="300"/>
        </w:trPr>
        <w:tc>
          <w:tcPr>
            <w:tcW w:w="1440" w:type="dxa"/>
            <w:tcBorders>
              <w:top w:val="single" w:sz="6" w:space="0" w:color="000000"/>
              <w:left w:val="single" w:sz="6" w:space="0" w:color="000000"/>
              <w:bottom w:val="single" w:sz="6" w:space="0" w:color="000000"/>
              <w:right w:val="single" w:sz="6" w:space="0" w:color="000000"/>
            </w:tcBorders>
          </w:tcPr>
          <w:p w14:paraId="3AE66888"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10% highest</w:t>
            </w:r>
          </w:p>
        </w:tc>
        <w:tc>
          <w:tcPr>
            <w:tcW w:w="810" w:type="dxa"/>
            <w:tcBorders>
              <w:top w:val="single" w:sz="6" w:space="0" w:color="000000"/>
              <w:left w:val="single" w:sz="6" w:space="0" w:color="000000"/>
              <w:bottom w:val="single" w:sz="6" w:space="0" w:color="000000"/>
              <w:right w:val="single" w:sz="6" w:space="0" w:color="000000"/>
            </w:tcBorders>
          </w:tcPr>
          <w:p w14:paraId="34450160"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-0.49</w:t>
            </w:r>
          </w:p>
        </w:tc>
        <w:tc>
          <w:tcPr>
            <w:tcW w:w="855" w:type="dxa"/>
            <w:tcBorders>
              <w:top w:val="single" w:sz="6" w:space="0" w:color="000000"/>
              <w:left w:val="single" w:sz="6" w:space="0" w:color="000000"/>
              <w:bottom w:val="single" w:sz="6" w:space="0" w:color="000000"/>
              <w:right w:val="single" w:sz="6" w:space="0" w:color="000000"/>
            </w:tcBorders>
          </w:tcPr>
          <w:p w14:paraId="56527CCA"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-0.67</w:t>
            </w:r>
          </w:p>
        </w:tc>
        <w:tc>
          <w:tcPr>
            <w:tcW w:w="765" w:type="dxa"/>
            <w:tcBorders>
              <w:top w:val="single" w:sz="6" w:space="0" w:color="000000"/>
              <w:left w:val="single" w:sz="6" w:space="0" w:color="000000"/>
              <w:bottom w:val="single" w:sz="6" w:space="0" w:color="000000"/>
              <w:right w:val="single" w:sz="6" w:space="0" w:color="000000"/>
            </w:tcBorders>
          </w:tcPr>
          <w:p w14:paraId="358A4513"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-0.52</w:t>
            </w:r>
          </w:p>
        </w:tc>
        <w:tc>
          <w:tcPr>
            <w:tcW w:w="765" w:type="dxa"/>
            <w:tcBorders>
              <w:top w:val="single" w:sz="6" w:space="0" w:color="000000"/>
              <w:left w:val="single" w:sz="6" w:space="0" w:color="000000"/>
              <w:bottom w:val="single" w:sz="6" w:space="0" w:color="000000"/>
              <w:right w:val="single" w:sz="6" w:space="0" w:color="000000"/>
            </w:tcBorders>
          </w:tcPr>
          <w:p w14:paraId="1488AEC4"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-0.44</w:t>
            </w:r>
          </w:p>
        </w:tc>
        <w:tc>
          <w:tcPr>
            <w:tcW w:w="764" w:type="dxa"/>
            <w:tcBorders>
              <w:top w:val="single" w:sz="6" w:space="0" w:color="000000"/>
              <w:left w:val="single" w:sz="6" w:space="0" w:color="000000"/>
              <w:bottom w:val="single" w:sz="6" w:space="0" w:color="000000"/>
              <w:right w:val="single" w:sz="6" w:space="0" w:color="000000"/>
            </w:tcBorders>
          </w:tcPr>
          <w:p w14:paraId="5AA545E8"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rPr>
              <w:t>-0.36</w:t>
            </w:r>
          </w:p>
        </w:tc>
      </w:tr>
    </w:tbl>
    <w:p w14:paraId="37E7C58A" w14:textId="77777777" w:rsidR="007E1987"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*PC: principal component</w:t>
      </w:r>
    </w:p>
    <w:p w14:paraId="5191FF7F" w14:textId="77777777" w:rsidR="007E1987" w:rsidRDefault="007E1987">
      <w:pPr>
        <w:rPr>
          <w:rFonts w:eastAsia="Calibri" w:cs="Calibri"/>
          <w:color w:val="000000"/>
        </w:rPr>
      </w:pPr>
    </w:p>
    <w:p w14:paraId="69038619" w14:textId="77777777" w:rsidR="007E1987"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b/>
          <w:bCs/>
          <w:color w:val="000000"/>
        </w:rPr>
        <w:t xml:space="preserve">Extended Data Table 4 | </w:t>
      </w:r>
      <w:r>
        <w:rPr>
          <w:rFonts w:ascii="Times New Roman" w:eastAsia="Times New Roman" w:hAnsi="Times New Roman" w:cs="Times New Roman"/>
          <w:color w:val="000000"/>
        </w:rPr>
        <w:t>Statistics of min-max</w:t>
      </w:r>
      <w:r>
        <w:rPr>
          <w:rFonts w:ascii="Times New Roman" w:eastAsia="Times New Roman" w:hAnsi="Times New Roman" w:cs="Times New Roman"/>
          <w:color w:val="000000"/>
          <w:sz w:val="24"/>
          <w:szCs w:val="24"/>
        </w:rPr>
        <w:t xml:space="preserve"> normalization.</w:t>
      </w:r>
    </w:p>
    <w:tbl>
      <w:tblPr>
        <w:tblStyle w:val="TableGrid"/>
        <w:tblW w:w="9359" w:type="dxa"/>
        <w:tblLook w:val="04A0" w:firstRow="1" w:lastRow="0" w:firstColumn="1" w:lastColumn="0" w:noHBand="0" w:noVBand="1"/>
      </w:tblPr>
      <w:tblGrid>
        <w:gridCol w:w="1337"/>
        <w:gridCol w:w="1337"/>
        <w:gridCol w:w="1338"/>
        <w:gridCol w:w="1336"/>
        <w:gridCol w:w="1339"/>
        <w:gridCol w:w="1336"/>
        <w:gridCol w:w="1336"/>
      </w:tblGrid>
      <w:tr w:rsidR="007E1987" w14:paraId="6670A3FC" w14:textId="77777777">
        <w:tc>
          <w:tcPr>
            <w:tcW w:w="1336" w:type="dxa"/>
          </w:tcPr>
          <w:p w14:paraId="473C5A8D"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w:t>
            </w:r>
          </w:p>
        </w:tc>
        <w:tc>
          <w:tcPr>
            <w:tcW w:w="1337" w:type="dxa"/>
          </w:tcPr>
          <w:p w14:paraId="716ABB85"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CF</w:t>
            </w:r>
          </w:p>
        </w:tc>
        <w:tc>
          <w:tcPr>
            <w:tcW w:w="1338" w:type="dxa"/>
          </w:tcPr>
          <w:p w14:paraId="26A8D787"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CGR</w:t>
            </w:r>
          </w:p>
        </w:tc>
        <w:tc>
          <w:tcPr>
            <w:tcW w:w="1336" w:type="dxa"/>
          </w:tcPr>
          <w:p w14:paraId="36611369"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 xml:space="preserve">SQI </w:t>
            </w:r>
          </w:p>
        </w:tc>
        <w:tc>
          <w:tcPr>
            <w:tcW w:w="1339" w:type="dxa"/>
          </w:tcPr>
          <w:p w14:paraId="453273EB"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PD</w:t>
            </w:r>
          </w:p>
        </w:tc>
        <w:tc>
          <w:tcPr>
            <w:tcW w:w="1336" w:type="dxa"/>
          </w:tcPr>
          <w:p w14:paraId="3B95D0DE"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TC</w:t>
            </w:r>
          </w:p>
        </w:tc>
        <w:tc>
          <w:tcPr>
            <w:tcW w:w="1336" w:type="dxa"/>
          </w:tcPr>
          <w:p w14:paraId="7D7AADF6"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TE</w:t>
            </w:r>
          </w:p>
        </w:tc>
      </w:tr>
      <w:tr w:rsidR="007E1987" w14:paraId="3B123F59" w14:textId="77777777">
        <w:tc>
          <w:tcPr>
            <w:tcW w:w="1336" w:type="dxa"/>
          </w:tcPr>
          <w:p w14:paraId="0A4FF0DD"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Mean</w:t>
            </w:r>
          </w:p>
        </w:tc>
        <w:tc>
          <w:tcPr>
            <w:tcW w:w="1337" w:type="dxa"/>
          </w:tcPr>
          <w:p w14:paraId="37D7FA7E"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31%</w:t>
            </w:r>
          </w:p>
        </w:tc>
        <w:tc>
          <w:tcPr>
            <w:tcW w:w="1338" w:type="dxa"/>
          </w:tcPr>
          <w:p w14:paraId="73B1940E"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0.005</w:t>
            </w:r>
          </w:p>
        </w:tc>
        <w:tc>
          <w:tcPr>
            <w:tcW w:w="1336" w:type="dxa"/>
          </w:tcPr>
          <w:p w14:paraId="7E89C695"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0.267</w:t>
            </w:r>
          </w:p>
        </w:tc>
        <w:tc>
          <w:tcPr>
            <w:tcW w:w="1339" w:type="dxa"/>
          </w:tcPr>
          <w:p w14:paraId="069438BF"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105.86</w:t>
            </w:r>
          </w:p>
        </w:tc>
        <w:tc>
          <w:tcPr>
            <w:tcW w:w="1336" w:type="dxa"/>
          </w:tcPr>
          <w:p w14:paraId="7F51992D"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1.66%</w:t>
            </w:r>
          </w:p>
        </w:tc>
        <w:tc>
          <w:tcPr>
            <w:tcW w:w="1336" w:type="dxa"/>
          </w:tcPr>
          <w:p w14:paraId="786E507A"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143</w:t>
            </w:r>
          </w:p>
        </w:tc>
      </w:tr>
      <w:tr w:rsidR="007E1987" w14:paraId="4F43FB71" w14:textId="77777777">
        <w:tc>
          <w:tcPr>
            <w:tcW w:w="1336" w:type="dxa"/>
          </w:tcPr>
          <w:p w14:paraId="461509E1"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STD</w:t>
            </w:r>
          </w:p>
        </w:tc>
        <w:tc>
          <w:tcPr>
            <w:tcW w:w="1337" w:type="dxa"/>
          </w:tcPr>
          <w:p w14:paraId="3028E0B2"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74%</w:t>
            </w:r>
          </w:p>
        </w:tc>
        <w:tc>
          <w:tcPr>
            <w:tcW w:w="1338" w:type="dxa"/>
          </w:tcPr>
          <w:p w14:paraId="2B40CBFB"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0.002</w:t>
            </w:r>
          </w:p>
        </w:tc>
        <w:tc>
          <w:tcPr>
            <w:tcW w:w="1336" w:type="dxa"/>
          </w:tcPr>
          <w:p w14:paraId="6FDE2250"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0.103</w:t>
            </w:r>
          </w:p>
        </w:tc>
        <w:tc>
          <w:tcPr>
            <w:tcW w:w="1339" w:type="dxa"/>
          </w:tcPr>
          <w:p w14:paraId="37D757DD"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77.52</w:t>
            </w:r>
          </w:p>
        </w:tc>
        <w:tc>
          <w:tcPr>
            <w:tcW w:w="1336" w:type="dxa"/>
          </w:tcPr>
          <w:p w14:paraId="5B529C6A"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1.28%</w:t>
            </w:r>
          </w:p>
        </w:tc>
        <w:tc>
          <w:tcPr>
            <w:tcW w:w="1336" w:type="dxa"/>
          </w:tcPr>
          <w:p w14:paraId="0B477444" w14:textId="77777777" w:rsidR="007E1987" w:rsidRDefault="00000000">
            <w:pPr>
              <w:rPr>
                <w:rFonts w:ascii="Times New Roman" w:eastAsia="Times New Roman" w:hAnsi="Times New Roman" w:cs="Times New Roman"/>
                <w:sz w:val="24"/>
                <w:szCs w:val="24"/>
              </w:rPr>
            </w:pPr>
            <w:r>
              <w:rPr>
                <w:rFonts w:ascii="Times New Roman" w:eastAsia="Times New Roman" w:hAnsi="Times New Roman" w:cs="Times New Roman"/>
                <w:sz w:val="24"/>
                <w:szCs w:val="24"/>
                <w:lang w:eastAsia="zh-CN"/>
              </w:rPr>
              <w:t>296</w:t>
            </w:r>
          </w:p>
        </w:tc>
      </w:tr>
    </w:tbl>
    <w:p w14:paraId="7E11F45D" w14:textId="77777777" w:rsidR="007E1987" w:rsidRDefault="00000000">
      <w:pP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*CF: cultivated fraction, CGR: crop growth rate, SQI: soil quality index, PD: population density, TC: tree cover, TE: terrain elevation</w:t>
      </w:r>
    </w:p>
    <w:p w14:paraId="09D58699" w14:textId="0839BC8D" w:rsidR="007E1987" w:rsidRDefault="007E1987" w:rsidP="00B2508B"/>
    <w:p w14:paraId="5F995C78" w14:textId="77777777" w:rsidR="007E1987" w:rsidRDefault="007E1987"/>
    <w:sectPr w:rsidR="007E1987">
      <w:pgSz w:w="12240" w:h="15840"/>
      <w:pgMar w:top="1440" w:right="1440" w:bottom="1440" w:left="1440" w:header="0" w:footer="0" w:gutter="0"/>
      <w:lnNumType w:countBy="1" w:distance="340" w:restart="continuous"/>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Basic Roman">
    <w:panose1 w:val="00000000000000000000"/>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iberation Sans">
    <w:altName w:val="Arial"/>
    <w:charset w:val="00"/>
    <w:family w:val="swiss"/>
    <w:pitch w:val="variable"/>
    <w:sig w:usb0="E0000AFF" w:usb1="500078FF" w:usb2="00000021" w:usb3="00000000" w:csb0="000001BF" w:csb1="00000000"/>
  </w:font>
  <w:font w:name="Noto Sans CJK SC">
    <w:charset w:val="00"/>
    <w:family w:val="roman"/>
    <w:pitch w:val="default"/>
  </w:font>
  <w:font w:name="Lohit Devanagari">
    <w:charset w:val="00"/>
    <w:family w:val="roman"/>
    <w:pitch w:val="default"/>
  </w:font>
  <w:font w:name="SimHei">
    <w:altName w:val="黑体"/>
    <w:panose1 w:val="0201060003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autoHyphenation/>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1987"/>
    <w:rsid w:val="007E1987"/>
    <w:rsid w:val="00B2508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4F9F64"/>
  <w15:docId w15:val="{D74BAB29-D675-403B-8FCE-C255AC2DFD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SimSun" w:hAnsi="Calibri" w:cs="Basic Roman"/>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qFormat="1"/>
    <w:lsdException w:name="Default Paragraph Font" w:uiPriority="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CommentReference1">
    <w:name w:val="Comment Reference1"/>
    <w:basedOn w:val="DefaultParagraphFont"/>
    <w:qFormat/>
    <w:rPr>
      <w:sz w:val="16"/>
      <w:szCs w:val="16"/>
    </w:rPr>
  </w:style>
  <w:style w:type="character" w:customStyle="1" w:styleId="CommentTextChar">
    <w:name w:val="Comment Text Char"/>
    <w:basedOn w:val="DefaultParagraphFont"/>
    <w:qFormat/>
    <w:rPr>
      <w:sz w:val="20"/>
      <w:szCs w:val="20"/>
    </w:rPr>
  </w:style>
  <w:style w:type="character" w:customStyle="1" w:styleId="CommentSubjectChar">
    <w:name w:val="Comment Subject Char"/>
    <w:basedOn w:val="CommentTextChar"/>
    <w:qFormat/>
    <w:rPr>
      <w:b/>
      <w:bCs/>
      <w:sz w:val="20"/>
      <w:szCs w:val="20"/>
    </w:rPr>
  </w:style>
  <w:style w:type="character" w:customStyle="1" w:styleId="BalloonTextChar">
    <w:name w:val="Balloon Text Char"/>
    <w:basedOn w:val="DefaultParagraphFont"/>
    <w:qFormat/>
    <w:rPr>
      <w:rFonts w:ascii="Segoe UI" w:hAnsi="Segoe UI" w:cs="Segoe UI"/>
      <w:sz w:val="18"/>
      <w:szCs w:val="18"/>
    </w:rPr>
  </w:style>
  <w:style w:type="character" w:styleId="Hyperlink">
    <w:name w:val="Hyperlink"/>
    <w:basedOn w:val="DefaultParagraphFont"/>
    <w:rPr>
      <w:color w:val="0563C1"/>
      <w:u w:val="single"/>
    </w:rPr>
  </w:style>
  <w:style w:type="character" w:customStyle="1" w:styleId="FootnoteTextChar">
    <w:name w:val="Footnote Text Char"/>
    <w:basedOn w:val="DefaultParagraphFont"/>
    <w:qFormat/>
    <w:rPr>
      <w:sz w:val="20"/>
      <w:szCs w:val="20"/>
    </w:rPr>
  </w:style>
  <w:style w:type="character" w:customStyle="1" w:styleId="FootnoteCharacters">
    <w:name w:val="Footnote Characters"/>
    <w:basedOn w:val="DefaultParagraphFont"/>
    <w:qFormat/>
    <w:rPr>
      <w:vertAlign w:val="superscript"/>
    </w:rPr>
  </w:style>
  <w:style w:type="character" w:customStyle="1" w:styleId="FootnoteAnchor">
    <w:name w:val="Footnote Anchor"/>
    <w:rPr>
      <w:vertAlign w:val="superscript"/>
    </w:rPr>
  </w:style>
  <w:style w:type="character" w:styleId="LineNumber">
    <w:name w:val="line number"/>
    <w:basedOn w:val="DefaultParagraphFont"/>
    <w:qFormat/>
  </w:style>
  <w:style w:type="character" w:customStyle="1" w:styleId="CommentReference2">
    <w:name w:val="Comment Reference2"/>
    <w:basedOn w:val="DefaultParagraphFont"/>
    <w:qFormat/>
    <w:rPr>
      <w:sz w:val="16"/>
      <w:szCs w:val="16"/>
    </w:rPr>
  </w:style>
  <w:style w:type="character" w:styleId="Emphasis">
    <w:name w:val="Emphasis"/>
    <w:basedOn w:val="DefaultParagraphFont"/>
    <w:qFormat/>
    <w:rPr>
      <w:i/>
      <w:iCs/>
    </w:rPr>
  </w:style>
  <w:style w:type="character" w:customStyle="1" w:styleId="CommentReference3">
    <w:name w:val="Comment Reference3"/>
    <w:basedOn w:val="DefaultParagraphFont"/>
    <w:qFormat/>
    <w:rPr>
      <w:sz w:val="16"/>
      <w:szCs w:val="16"/>
    </w:rPr>
  </w:style>
  <w:style w:type="character" w:customStyle="1" w:styleId="LineNumbering">
    <w:name w:val="Line Numbering"/>
  </w:style>
  <w:style w:type="character" w:styleId="PlaceholderText">
    <w:name w:val="Placeholder Text"/>
    <w:basedOn w:val="DefaultParagraphFont"/>
    <w:qFormat/>
    <w:rPr>
      <w:color w:val="808080"/>
    </w:rPr>
  </w:style>
  <w:style w:type="character" w:customStyle="1" w:styleId="CommentReference4">
    <w:name w:val="Comment Reference4"/>
    <w:basedOn w:val="DefaultParagraphFont"/>
    <w:qFormat/>
    <w:rPr>
      <w:sz w:val="16"/>
      <w:szCs w:val="16"/>
    </w:rPr>
  </w:style>
  <w:style w:type="character" w:styleId="CommentReference">
    <w:name w:val="annotation reference"/>
    <w:basedOn w:val="DefaultParagraphFont"/>
    <w:uiPriority w:val="99"/>
    <w:qFormat/>
    <w:rPr>
      <w:sz w:val="16"/>
      <w:szCs w:val="16"/>
    </w:rPr>
  </w:style>
  <w:style w:type="character" w:styleId="Mention">
    <w:name w:val="Mention"/>
    <w:basedOn w:val="DefaultParagraphFont"/>
    <w:uiPriority w:val="99"/>
    <w:unhideWhenUsed/>
    <w:qFormat/>
    <w:rsid w:val="000E58C9"/>
    <w:rPr>
      <w:color w:val="2B579A"/>
      <w:shd w:val="clear" w:color="auto" w:fill="E1DFDD"/>
    </w:rPr>
  </w:style>
  <w:style w:type="character" w:styleId="UnresolvedMention">
    <w:name w:val="Unresolved Mention"/>
    <w:basedOn w:val="DefaultParagraphFont"/>
    <w:uiPriority w:val="99"/>
    <w:semiHidden/>
    <w:unhideWhenUsed/>
    <w:qFormat/>
    <w:rsid w:val="00351DA5"/>
    <w:rPr>
      <w:color w:val="605E5C"/>
      <w:shd w:val="clear" w:color="auto" w:fill="E1DFDD"/>
    </w:rPr>
  </w:style>
  <w:style w:type="paragraph" w:customStyle="1" w:styleId="Heading">
    <w:name w:val="Heading"/>
    <w:basedOn w:val="Normal"/>
    <w:next w:val="BodyText"/>
    <w:qFormat/>
    <w:pPr>
      <w:keepNext/>
      <w:spacing w:before="240" w:after="120"/>
    </w:pPr>
    <w:rPr>
      <w:rFonts w:ascii="Liberation Sans" w:eastAsia="Noto Sans CJK SC" w:hAnsi="Liberation Sans" w:cs="Lohit Devanagari"/>
      <w:sz w:val="28"/>
      <w:szCs w:val="28"/>
    </w:rPr>
  </w:style>
  <w:style w:type="paragraph" w:styleId="BodyText">
    <w:name w:val="Body Text"/>
    <w:basedOn w:val="Normal"/>
    <w:qFormat/>
    <w:pPr>
      <w:spacing w:after="140" w:line="276" w:lineRule="auto"/>
    </w:pPr>
  </w:style>
  <w:style w:type="paragraph" w:styleId="List">
    <w:name w:val="List"/>
    <w:basedOn w:val="BodyText"/>
    <w:qFormat/>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customStyle="1" w:styleId="Index">
    <w:name w:val="Index"/>
    <w:basedOn w:val="Normal"/>
    <w:qFormat/>
    <w:pPr>
      <w:suppressLineNumbers/>
    </w:pPr>
    <w:rPr>
      <w:rFonts w:cs="Lohit Devanagari"/>
    </w:rPr>
  </w:style>
  <w:style w:type="paragraph" w:customStyle="1" w:styleId="CommentText1">
    <w:name w:val="Comment Text1"/>
    <w:basedOn w:val="Normal"/>
    <w:qFormat/>
    <w:pPr>
      <w:spacing w:line="240" w:lineRule="auto"/>
    </w:pPr>
    <w:rPr>
      <w:sz w:val="20"/>
      <w:szCs w:val="20"/>
    </w:rPr>
  </w:style>
  <w:style w:type="paragraph" w:customStyle="1" w:styleId="CommentSubject1">
    <w:name w:val="Comment Subject1"/>
    <w:basedOn w:val="CommentText1"/>
    <w:next w:val="CommentText1"/>
    <w:qFormat/>
    <w:rPr>
      <w:b/>
      <w:bCs/>
    </w:rPr>
  </w:style>
  <w:style w:type="paragraph" w:styleId="BalloonText">
    <w:name w:val="Balloon Text"/>
    <w:basedOn w:val="Normal"/>
    <w:qFormat/>
    <w:pPr>
      <w:spacing w:after="0" w:line="240" w:lineRule="auto"/>
    </w:pPr>
    <w:rPr>
      <w:rFonts w:ascii="Segoe UI" w:hAnsi="Segoe UI" w:cs="Segoe UI"/>
      <w:sz w:val="18"/>
      <w:szCs w:val="18"/>
    </w:rPr>
  </w:style>
  <w:style w:type="paragraph" w:customStyle="1" w:styleId="CommentText10">
    <w:name w:val="Comment Text10"/>
    <w:basedOn w:val="Normal"/>
    <w:qFormat/>
    <w:pPr>
      <w:spacing w:after="0" w:line="240" w:lineRule="auto"/>
    </w:pPr>
    <w:rPr>
      <w:sz w:val="20"/>
      <w:szCs w:val="20"/>
      <w:lang w:eastAsia="zh-CN"/>
    </w:rPr>
  </w:style>
  <w:style w:type="paragraph" w:styleId="FootnoteText">
    <w:name w:val="footnote text"/>
    <w:basedOn w:val="Normal"/>
    <w:qFormat/>
    <w:pPr>
      <w:spacing w:after="0" w:line="240" w:lineRule="auto"/>
    </w:pPr>
    <w:rPr>
      <w:sz w:val="20"/>
      <w:szCs w:val="20"/>
    </w:rPr>
  </w:style>
  <w:style w:type="paragraph" w:customStyle="1" w:styleId="CommentText2">
    <w:name w:val="Comment Text2"/>
    <w:basedOn w:val="Normal"/>
    <w:qFormat/>
    <w:pPr>
      <w:spacing w:after="0" w:line="240" w:lineRule="auto"/>
    </w:pPr>
    <w:rPr>
      <w:sz w:val="20"/>
      <w:szCs w:val="20"/>
    </w:rPr>
  </w:style>
  <w:style w:type="paragraph" w:customStyle="1" w:styleId="CommentSubject2">
    <w:name w:val="Comment Subject2"/>
    <w:basedOn w:val="CommentText2"/>
    <w:next w:val="CommentText2"/>
    <w:qFormat/>
    <w:rPr>
      <w:b/>
      <w:bCs/>
    </w:rPr>
  </w:style>
  <w:style w:type="paragraph" w:customStyle="1" w:styleId="Revision1">
    <w:name w:val="Revision1"/>
    <w:qFormat/>
    <w:rPr>
      <w:sz w:val="22"/>
    </w:rPr>
  </w:style>
  <w:style w:type="paragraph" w:customStyle="1" w:styleId="CommentText3">
    <w:name w:val="Comment Text3"/>
    <w:basedOn w:val="Normal"/>
    <w:qFormat/>
    <w:pPr>
      <w:spacing w:after="0" w:line="240" w:lineRule="auto"/>
    </w:pPr>
    <w:rPr>
      <w:sz w:val="20"/>
      <w:szCs w:val="20"/>
    </w:rPr>
  </w:style>
  <w:style w:type="paragraph" w:customStyle="1" w:styleId="CommentSubject3">
    <w:name w:val="Comment Subject3"/>
    <w:basedOn w:val="CommentText3"/>
    <w:next w:val="CommentText3"/>
    <w:qFormat/>
    <w:rPr>
      <w:b/>
      <w:bCs/>
    </w:rPr>
  </w:style>
  <w:style w:type="paragraph" w:customStyle="1" w:styleId="Revision2">
    <w:name w:val="Revision2"/>
    <w:qFormat/>
    <w:rPr>
      <w:sz w:val="22"/>
    </w:rPr>
  </w:style>
  <w:style w:type="paragraph" w:customStyle="1" w:styleId="CommentText4">
    <w:name w:val="Comment Text4"/>
    <w:basedOn w:val="Normal"/>
    <w:qFormat/>
    <w:pPr>
      <w:spacing w:after="0" w:line="240" w:lineRule="auto"/>
    </w:pPr>
    <w:rPr>
      <w:sz w:val="20"/>
      <w:szCs w:val="20"/>
    </w:rPr>
  </w:style>
  <w:style w:type="paragraph" w:customStyle="1" w:styleId="CommentSubject4">
    <w:name w:val="Comment Subject4"/>
    <w:basedOn w:val="CommentText4"/>
    <w:next w:val="CommentText4"/>
    <w:qFormat/>
    <w:rPr>
      <w:b/>
      <w:bCs/>
    </w:rPr>
  </w:style>
  <w:style w:type="paragraph" w:customStyle="1" w:styleId="Revision3">
    <w:name w:val="Revision3"/>
    <w:qFormat/>
    <w:rPr>
      <w:sz w:val="22"/>
    </w:rPr>
  </w:style>
  <w:style w:type="paragraph" w:styleId="CommentText">
    <w:name w:val="annotation text"/>
    <w:basedOn w:val="Normal"/>
    <w:qFormat/>
    <w:pPr>
      <w:spacing w:after="0" w:line="240" w:lineRule="auto"/>
    </w:pPr>
    <w:rPr>
      <w:sz w:val="20"/>
      <w:szCs w:val="20"/>
    </w:rPr>
  </w:style>
  <w:style w:type="paragraph" w:styleId="CommentSubject">
    <w:name w:val="annotation subject"/>
    <w:basedOn w:val="CommentText"/>
    <w:next w:val="CommentText"/>
    <w:qFormat/>
    <w:rPr>
      <w:b/>
      <w:bCs/>
    </w:rPr>
  </w:style>
  <w:style w:type="paragraph" w:styleId="Revision">
    <w:name w:val="Revision"/>
    <w:uiPriority w:val="99"/>
    <w:qFormat/>
    <w:rsid w:val="003277B7"/>
    <w:pPr>
      <w:suppressAutoHyphens w:val="0"/>
    </w:pPr>
    <w:rPr>
      <w:sz w:val="22"/>
    </w:rPr>
  </w:style>
  <w:style w:type="table" w:styleId="TableGrid">
    <w:name w:val="Table Grid"/>
    <w:basedOn w:val="TableNormal"/>
    <w:uiPriority w:val="59"/>
    <w:rPr>
      <w:lang w:eastAsia="zh-CN"/>
    </w:rPr>
    <w:tblPr>
      <w:tblStyleRowBandSize w:val="1"/>
      <w:tblStyleColBandSize w:val="1"/>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png"/><Relationship Id="rId18" Type="http://schemas.openxmlformats.org/officeDocument/2006/relationships/image" Target="media/image14.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SimSun"/>
        <a:cs typeface="Basic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621B39-E100-AC4B-87DA-CABA38CE8B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10</Pages>
  <Words>820</Words>
  <Characters>4675</Characters>
  <Application>Microsoft Office Word</Application>
  <DocSecurity>0</DocSecurity>
  <Lines>38</Lines>
  <Paragraphs>10</Paragraphs>
  <ScaleCrop>false</ScaleCrop>
  <Company>SUND - KU</Company>
  <LinksUpToDate>false</LinksUpToDate>
  <CharactersWithSpaces>5485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Hakim Abdi</dc:creator>
  <dc:description/>
  <cp:lastModifiedBy>Poonam Mutha</cp:lastModifiedBy>
  <cp:revision>546</cp:revision>
  <cp:lastPrinted>2022-02-12T21:25:00Z</cp:lastPrinted>
  <dcterms:created xsi:type="dcterms:W3CDTF">2024-01-27T10:54:00Z</dcterms:created>
  <dcterms:modified xsi:type="dcterms:W3CDTF">2024-04-18T08:27:00Z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SUND - KU</vt:lpwstr>
  </property>
  <property fmtid="{D5CDD505-2E9C-101B-9397-08002B2CF9AE}" pid="4" name="ContentRemapped">
    <vt:lpwstr>true</vt:lpwstr>
  </property>
  <property fmtid="{D5CDD505-2E9C-101B-9397-08002B2CF9AE}" pid="5" name="DocSecurity">
    <vt:i4>4</vt:i4>
  </property>
  <property fmtid="{D5CDD505-2E9C-101B-9397-08002B2CF9AE}" pid="6" name="HyperlinksChanged">
    <vt:bool>false</vt:bool>
  </property>
  <property fmtid="{D5CDD505-2E9C-101B-9397-08002B2CF9AE}" pid="7" name="LinksUpToDate">
    <vt:bool>false</vt:bool>
  </property>
  <property fmtid="{D5CDD505-2E9C-101B-9397-08002B2CF9AE}" pid="8" name="ScaleCrop">
    <vt:bool>false</vt:bool>
  </property>
  <property fmtid="{D5CDD505-2E9C-101B-9397-08002B2CF9AE}" pid="9" name="ShareDoc">
    <vt:bool>false</vt:bool>
  </property>
</Properties>
</file>