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eastAsia" w:ascii="Times New Roman" w:hAnsi="Times New Roman" w:eastAsia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000000"/>
          <w:sz w:val="28"/>
          <w:szCs w:val="28"/>
          <w:lang w:val="en-US" w:eastAsia="zh-CN"/>
        </w:rPr>
        <w:t>Supplementary data</w:t>
      </w:r>
    </w:p>
    <w:p>
      <w:pPr>
        <w:pStyle w:val="2"/>
        <w:widowControl/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000000"/>
          <w:sz w:val="24"/>
          <w:szCs w:val="24"/>
          <w:lang w:val="en-US" w:eastAsia="zh-CN"/>
        </w:rPr>
        <w:t xml:space="preserve">Table S1. 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</w:rPr>
        <w:t>linical characteristics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of the independent validation cohort.</w:t>
      </w:r>
    </w:p>
    <w:p>
      <w:pPr>
        <w:pStyle w:val="2"/>
        <w:widowControl/>
        <w:jc w:val="both"/>
        <w:rPr>
          <w:rFonts w:ascii="Times New Roman" w:hAnsi="Times New Roman"/>
          <w:color w:val="000000"/>
        </w:rPr>
      </w:pPr>
      <w:r>
        <w:rPr>
          <w:rFonts w:hint="eastAsia" w:ascii="Times New Roman" w:hAnsi="Times New Roman" w:eastAsia="宋体"/>
          <w:b/>
          <w:bCs/>
          <w:color w:val="000000"/>
          <w:lang w:val="en-US" w:eastAsia="zh-CN"/>
        </w:rPr>
        <w:t xml:space="preserve">Table S2. </w:t>
      </w:r>
      <w:r>
        <w:rPr>
          <w:rFonts w:hint="eastAsia" w:ascii="Times New Roman" w:hAnsi="Times New Roman" w:eastAsia="宋体"/>
          <w:b w:val="0"/>
          <w:bCs w:val="0"/>
          <w:color w:val="000000"/>
          <w:lang w:val="en-US" w:eastAsia="zh-CN"/>
        </w:rPr>
        <w:t>Predictive factors for ustekinumab-induced steroid-free remission at Week 26 in patients who were active Crohn</w:t>
      </w:r>
      <w:r>
        <w:rPr>
          <w:rFonts w:hint="default" w:ascii="Times New Roman" w:hAnsi="Times New Roman" w:eastAsia="宋体"/>
          <w:b w:val="0"/>
          <w:bCs w:val="0"/>
          <w:color w:val="000000"/>
          <w:lang w:val="en-US" w:eastAsia="zh-CN"/>
        </w:rPr>
        <w:t>’</w:t>
      </w:r>
      <w:r>
        <w:rPr>
          <w:rFonts w:hint="eastAsia" w:ascii="Times New Roman" w:hAnsi="Times New Roman" w:eastAsia="宋体"/>
          <w:b w:val="0"/>
          <w:bCs w:val="0"/>
          <w:color w:val="000000"/>
          <w:lang w:val="en-US" w:eastAsia="zh-CN"/>
        </w:rPr>
        <w:t>s disease and had disease duration greater than 2 years.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9"/>
        <w:gridCol w:w="1932"/>
        <w:gridCol w:w="1832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499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Supplementary Table 1.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</w:rPr>
              <w:t>linical characteristics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of the independent validation cohort.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1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Characteristics</w:t>
            </w:r>
          </w:p>
        </w:tc>
        <w:tc>
          <w:tcPr>
            <w:tcW w:w="193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(n=13)</w:t>
            </w:r>
          </w:p>
        </w:tc>
        <w:tc>
          <w:tcPr>
            <w:tcW w:w="183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NR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(n=9)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</w:rPr>
              <w:t>P</w:t>
            </w:r>
            <w:r>
              <w:rPr>
                <w:rFonts w:hint="default" w:ascii="Times New Roman" w:hAnsi="Times New Roman" w:cs="Times New Roman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Gender,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male,</w:t>
            </w:r>
            <w:r>
              <w:rPr>
                <w:rFonts w:hint="default" w:ascii="Times New Roman" w:hAnsi="Times New Roman" w:cs="Times New Roman"/>
              </w:rPr>
              <w:t xml:space="preserve">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 (23.1%)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 (33.3%)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</w:rPr>
              <w:t>ge, median (IQR)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 (22, 35)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 (24, 30)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Course of disease, m</w:t>
            </w:r>
            <w:r>
              <w:rPr>
                <w:rFonts w:hint="default" w:ascii="Times New Roman" w:hAnsi="Times New Roman" w:cs="Times New Roman"/>
              </w:rPr>
              <w:t>onth, median (IQR)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 (1, 20)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 (1, 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Smoke,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 (0%)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 (22.2%)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Montreal Classification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Location,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 (23.1%)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 (66.7%)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 (7.7%)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 (0%)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 (69.2%)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 (33.3%)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</w:rPr>
              <w:t>ehaviour,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7 (53.8%)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 (44.4%)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 (38.5%)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 (44.4%)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 (7.7%)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 (11.1%)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Perianal disease,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 (46.2%)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 (55.6%)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Extraintestinal manifestation,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 (15.4%)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 (11.1%)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nti</w:t>
            </w:r>
            <w:r>
              <w:rPr>
                <w:rFonts w:hint="default" w:ascii="Times New Roman" w:hAnsi="Times New Roman" w:cs="Times New Roman"/>
              </w:rPr>
              <w:t>-TNF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α</w:t>
            </w:r>
            <w:r>
              <w:rPr>
                <w:rFonts w:hint="default" w:ascii="Times New Roman" w:hAnsi="Times New Roman" w:cs="Times New Roman"/>
              </w:rPr>
              <w:t>, n (%)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 (30.8%)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 (22.2%)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CRP, median (IQR)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</w:rPr>
              <w:t xml:space="preserve"> (0.9, 13.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32.3 (8.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</w:rPr>
              <w:t>, 36.6)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ESR, median (IQR)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 (4, 21)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 (10, 23)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ALB, mean ±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SD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33.1 ± 3.0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35.3 ± 6.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SES-CD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</w:rPr>
              <w:t>), median (IQR)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(5, 1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1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SES-CD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(24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</w:rPr>
              <w:t xml:space="preserve">), mean ±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SD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 ± 1.2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8.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± 3.1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 0.001</w:t>
            </w:r>
          </w:p>
        </w:tc>
      </w:tr>
    </w:tbl>
    <w:p/>
    <w:p/>
    <w:p/>
    <w:p/>
    <w:p/>
    <w:p/>
    <w:p/>
    <w:p/>
    <w:p/>
    <w:p/>
    <w:p/>
    <w:tbl>
      <w:tblPr>
        <w:tblStyle w:val="3"/>
        <w:tblpPr w:leftFromText="180" w:rightFromText="180" w:vertAnchor="page" w:horzAnchor="page" w:tblpX="1449" w:tblpY="1581"/>
        <w:tblOverlap w:val="never"/>
        <w:tblW w:w="9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6"/>
        <w:gridCol w:w="1028"/>
        <w:gridCol w:w="1291"/>
        <w:gridCol w:w="872"/>
        <w:gridCol w:w="800"/>
        <w:gridCol w:w="1355"/>
        <w:gridCol w:w="8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17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bookmarkStart w:id="1" w:name="_GoBack"/>
            <w:bookmarkStart w:id="0" w:name="OLE_LINK1"/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Supplementary Table 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Predictive factors for ustekinumab-induced steroid-free remission in patients who were active Crohn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s disease and had disease duration greater than 2 years at Week 26.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93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Predictors of steroid-free remission at week 26</w:t>
            </w:r>
          </w:p>
        </w:tc>
        <w:tc>
          <w:tcPr>
            <w:tcW w:w="31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Univariate analysis</w:t>
            </w:r>
          </w:p>
        </w:tc>
        <w:tc>
          <w:tcPr>
            <w:tcW w:w="30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95%CI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95%CI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1.854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0.991-3.467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0.053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2.065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1.043-4.089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0.037*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0.689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0.971-1.020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smoke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2.185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0.757-6.306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location L2 vs. L1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1.067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0.334-3.402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location L3 vs. L1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behavior B2 vs. B1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0.562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0.272-1.158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behavior B3 vs. B1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0.708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0.309-1.624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active fistula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2.529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1.150-5.560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0.021*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1.802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0.773-4.023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perianal disease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1.161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0.638-2.111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bio-naive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0.702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0.355-1.388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previous EEN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0.945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0.520-1.719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previous steroids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1.386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0.750-2.561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previous immunosuppressants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1.142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0.627-2.081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CRP at baseline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1.019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1.005-1.034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0.008*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1.018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1.002-1.033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ALB at baseline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0.961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0.904-1.020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CDAI at baseline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1.002-1.014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0.006*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1.001-1.012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EEN combined at baseline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2.543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1.028-6.291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0.043*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2.538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0.955-6.751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Steorids combined at baseline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1.010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0.164-6.198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9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immunosuppressants at baseline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1.083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0.340-3.453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0.893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MGU0YjA5ZTBiYTE5YWQ1OGQ3OWVlNjQ4M2E0MDQifQ=="/>
  </w:docVars>
  <w:rsids>
    <w:rsidRoot w:val="00000000"/>
    <w:rsid w:val="3AB24C47"/>
    <w:rsid w:val="42D130B8"/>
    <w:rsid w:val="4EBC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2023-12-18T13:08:00Z</dcterms:created>
  <dc:creator>mydea</dc:creator>
  <cp:lastModifiedBy>童话星辰</cp:lastModifiedBy>
  <dcterms:modified xsi:type="dcterms:W3CDTF">2024-02-17T06:26:14Z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C136D3704D2B4FEFB2CE8C35CA1B8E40_12</vt:lpwstr>
  </property>
</Properties>
</file>