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E0D66" w14:textId="77777777" w:rsidR="0098684A"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Supplementary for</w:t>
      </w:r>
      <w:r>
        <w:rPr>
          <w:rFonts w:ascii="Times New Roman" w:eastAsia="Times New Roman" w:hAnsi="Times New Roman" w:cs="Times New Roman"/>
          <w:b/>
          <w:sz w:val="24"/>
          <w:szCs w:val="24"/>
        </w:rPr>
        <w:t xml:space="preserve"> </w:t>
      </w:r>
    </w:p>
    <w:p w14:paraId="00A4D84D" w14:textId="61A77C2C" w:rsidR="0098684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Unraveling the Associations Between Voice Pitch and Major Depressive Disorder: A Multisite Genetic Study</w:t>
      </w:r>
    </w:p>
    <w:p w14:paraId="4F0AB812" w14:textId="77777777" w:rsidR="0098684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Supplementary contained the following contents: </w:t>
      </w:r>
    </w:p>
    <w:p w14:paraId="694469EC" w14:textId="7190A5E6" w:rsidR="0098684A"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w:t>
      </w:r>
      <w:r w:rsidR="00B60B6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Text</w:t>
      </w:r>
    </w:p>
    <w:p w14:paraId="00A070CF" w14:textId="66779657" w:rsidR="0098684A" w:rsidRDefault="00B60B6A">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Supplemental</w:t>
      </w:r>
      <w:r>
        <w:rPr>
          <w:rFonts w:ascii="Times New Roman" w:eastAsia="Times New Roman" w:hAnsi="Times New Roman" w:cs="Times New Roman"/>
          <w:sz w:val="24"/>
          <w:szCs w:val="24"/>
        </w:rPr>
        <w:t xml:space="preserve"> </w:t>
      </w:r>
      <w:r w:rsidR="00000000">
        <w:rPr>
          <w:rFonts w:ascii="Times New Roman" w:hAnsi="Times New Roman" w:cs="Times New Roman" w:hint="eastAsia"/>
          <w:sz w:val="24"/>
          <w:szCs w:val="24"/>
        </w:rPr>
        <w:t>Figure</w:t>
      </w:r>
      <w:r w:rsidR="00B7022F">
        <w:rPr>
          <w:rFonts w:ascii="Times New Roman" w:hAnsi="Times New Roman" w:cs="Times New Roman"/>
          <w:sz w:val="24"/>
          <w:szCs w:val="24"/>
        </w:rPr>
        <w:t>s</w:t>
      </w:r>
      <w:r w:rsidR="00000000">
        <w:rPr>
          <w:rFonts w:ascii="Times New Roman" w:hAnsi="Times New Roman" w:cs="Times New Roman" w:hint="eastAsia"/>
          <w:sz w:val="24"/>
          <w:szCs w:val="24"/>
        </w:rPr>
        <w:t xml:space="preserve"> </w:t>
      </w:r>
      <w:r w:rsidR="00000000">
        <w:rPr>
          <w:rFonts w:ascii="Times New Roman" w:hAnsi="Times New Roman" w:cs="Times New Roman" w:hint="eastAsia"/>
          <w:sz w:val="24"/>
          <w:szCs w:val="24"/>
          <w:lang w:val="en-US"/>
        </w:rPr>
        <w:t>S</w:t>
      </w:r>
      <w:r w:rsidR="00000000">
        <w:rPr>
          <w:rFonts w:ascii="Times New Roman" w:hAnsi="Times New Roman" w:cs="Times New Roman" w:hint="eastAsia"/>
          <w:sz w:val="24"/>
          <w:szCs w:val="24"/>
        </w:rPr>
        <w:t>1</w:t>
      </w:r>
      <w:r w:rsidR="00000000">
        <w:rPr>
          <w:rFonts w:ascii="Times New Roman" w:eastAsia="Times New Roman" w:hAnsi="Times New Roman" w:cs="Times New Roman"/>
          <w:sz w:val="24"/>
          <w:szCs w:val="24"/>
        </w:rPr>
        <w:t>-S1</w:t>
      </w:r>
      <w:r w:rsidR="00C45066">
        <w:rPr>
          <w:rFonts w:ascii="Times New Roman" w:eastAsia="Times New Roman" w:hAnsi="Times New Roman" w:cs="Times New Roman" w:hint="eastAsia"/>
          <w:sz w:val="24"/>
          <w:szCs w:val="24"/>
        </w:rPr>
        <w:t>6</w:t>
      </w:r>
    </w:p>
    <w:p w14:paraId="26146228" w14:textId="102E9785" w:rsidR="0098684A" w:rsidRDefault="00B60B6A">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w:t>
      </w:r>
      <w:r w:rsidR="00000000">
        <w:rPr>
          <w:rFonts w:ascii="Times New Roman" w:eastAsia="Times New Roman" w:hAnsi="Times New Roman" w:cs="Times New Roman"/>
          <w:sz w:val="24"/>
          <w:szCs w:val="24"/>
        </w:rPr>
        <w:t>Tables S1-S1</w:t>
      </w:r>
      <w:r w:rsidR="004646AC">
        <w:rPr>
          <w:rFonts w:ascii="Times New Roman" w:eastAsia="Times New Roman" w:hAnsi="Times New Roman" w:cs="Times New Roman"/>
          <w:sz w:val="24"/>
          <w:szCs w:val="24"/>
        </w:rPr>
        <w:t>4</w:t>
      </w:r>
      <w:r w:rsidR="00000000">
        <w:rPr>
          <w:rFonts w:ascii="Times New Roman" w:eastAsia="Times New Roman" w:hAnsi="Times New Roman" w:cs="Times New Roman"/>
          <w:sz w:val="24"/>
          <w:szCs w:val="24"/>
        </w:rPr>
        <w:t xml:space="preserve"> (in a separate MS Excel file)</w:t>
      </w:r>
    </w:p>
    <w:p w14:paraId="770671C5" w14:textId="77777777" w:rsidR="0098684A" w:rsidRDefault="0098684A">
      <w:pPr>
        <w:spacing w:line="480" w:lineRule="auto"/>
        <w:rPr>
          <w:rFonts w:ascii="Times New Roman" w:eastAsia="Times New Roman" w:hAnsi="Times New Roman" w:cs="Times New Roman"/>
          <w:sz w:val="24"/>
          <w:szCs w:val="24"/>
        </w:rPr>
      </w:pPr>
    </w:p>
    <w:p w14:paraId="4D4784B8" w14:textId="77777777" w:rsidR="0098684A"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Text</w:t>
      </w:r>
    </w:p>
    <w:p w14:paraId="4BBB6986" w14:textId="77777777" w:rsidR="0098684A" w:rsidRDefault="0098684A">
      <w:pPr>
        <w:spacing w:line="480" w:lineRule="auto"/>
        <w:rPr>
          <w:rFonts w:ascii="Times New Roman" w:eastAsia="Times New Roman" w:hAnsi="Times New Roman" w:cs="Times New Roman"/>
          <w:b/>
          <w:sz w:val="24"/>
          <w:szCs w:val="24"/>
        </w:rPr>
      </w:pPr>
    </w:p>
    <w:p w14:paraId="6FCC1BFC" w14:textId="77777777" w:rsidR="0098684A" w:rsidRDefault="00000000">
      <w:pPr>
        <w:spacing w:line="480" w:lineRule="auto"/>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p>
    <w:p w14:paraId="045A7861" w14:textId="77777777" w:rsidR="0098684A" w:rsidRDefault="00000000">
      <w:pPr>
        <w:spacing w:line="480" w:lineRule="auto"/>
        <w:outlineLvl w:val="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Interview </w:t>
      </w:r>
      <w:proofErr w:type="gramStart"/>
      <w:r>
        <w:rPr>
          <w:rFonts w:ascii="Times New Roman" w:eastAsia="Times New Roman" w:hAnsi="Times New Roman" w:cs="Times New Roman"/>
          <w:i/>
          <w:sz w:val="24"/>
          <w:szCs w:val="24"/>
        </w:rPr>
        <w:t>protocol</w:t>
      </w:r>
      <w:proofErr w:type="gramEnd"/>
    </w:p>
    <w:p w14:paraId="1DC8CF06" w14:textId="7A9B8075"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subjects were interviewed using a computerized assessment system. Interviewers were postgraduate medical students, junior psychiatrists, or senior nurses, trained by the CONVERGE team for a minimum of 1 week. Interviews were recorded and the research team listened to at least two interviews from each interviewer to identify any errors in the way questions were asked and answers were interpreted. The interview protocol acquired the following assessments for psychopathology: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CIDI (WHO 1997) section of MDD expanded to include a “deep” assessment of the DSM-IV A criteria for MDD, symptoms of DSM-IV melancholia, Beck’s cognitive triad (helplessness, hopefulness, and worthlessness), and irritability/anxiety; ii) CIDI section on dysthymia; iii) sections from interviews in the Virginia Adult Twin Study of Psychiatric and Substance Use Disorders (VATSPSUD) </w:t>
      </w:r>
      <w:r>
        <w:rPr>
          <w:rFonts w:ascii="Times New Roman" w:eastAsia="Arial" w:hAnsi="Times New Roman" w:cs="Times New Roman"/>
          <w:sz w:val="24"/>
          <w:szCs w:val="24"/>
        </w:rPr>
        <w:fldChar w:fldCharType="begin"/>
      </w:r>
      <w:r w:rsidR="00DF1C66">
        <w:rPr>
          <w:rFonts w:ascii="Times New Roman" w:hAnsi="Times New Roman" w:cs="Times New Roman"/>
          <w:sz w:val="24"/>
          <w:szCs w:val="24"/>
        </w:rPr>
        <w:instrText xml:space="preserve"> ADDIN ZOTERO_ITEM CSL_CITATION {"citationID":"G8ReJsqJ","properties":{"formattedCitation":"\\super 1\\nosupersub{}","plainCitation":"1","noteIndex":0},"citationItems":[{"id":291,"uris":["http://zotero.org/users/6340627/items/XA2RB97N"],"itemData":{"id":291,"type":"book","ISBN":"1-59385-645-8","publisher":"Guilford Press","title":"Genes, environment, and psychopathology: Understanding the causes of psychiatric and substance use disorders","author":[{"family":"Kendler","given":"Kenneth S"},{"family":"Prescott","given":"Carol A"}],"issued":{"date-parts":[["2007"]]}}}],"schema":"https://github.com/citation-style-language/schema/raw/master/csl-citation.json"} </w:instrText>
      </w:r>
      <w:r>
        <w:rPr>
          <w:rFonts w:ascii="Times New Roman" w:eastAsia="Arial" w:hAnsi="Times New Roman" w:cs="Times New Roman"/>
          <w:sz w:val="24"/>
          <w:szCs w:val="24"/>
        </w:rPr>
        <w:fldChar w:fldCharType="separate"/>
      </w:r>
      <w:r w:rsidR="00DF1C66" w:rsidRPr="00DF1C66">
        <w:rPr>
          <w:rFonts w:ascii="Times New Roman" w:hAnsi="Times New Roman" w:cs="Times New Roman"/>
          <w:sz w:val="24"/>
          <w:vertAlign w:val="superscript"/>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generalized anxiety disorder, panic, and five phobia subtypes (agoraphobia and social, situational, animal, and blood injury phobias), (iv) brief </w:t>
      </w:r>
      <w:r>
        <w:rPr>
          <w:rFonts w:ascii="Times New Roman" w:eastAsia="Times New Roman" w:hAnsi="Times New Roman" w:cs="Times New Roman"/>
          <w:sz w:val="24"/>
          <w:szCs w:val="24"/>
        </w:rPr>
        <w:lastRenderedPageBreak/>
        <w:t xml:space="preserve">assessments of premenstrual syndrome and postnatal depression </w:t>
      </w:r>
      <w:r>
        <w:rPr>
          <w:rFonts w:ascii="Times New Roman" w:eastAsia="Arial" w:hAnsi="Times New Roman" w:cs="Times New Roman"/>
          <w:sz w:val="24"/>
          <w:szCs w:val="24"/>
        </w:rPr>
        <w:fldChar w:fldCharType="begin"/>
      </w:r>
      <w:r w:rsidR="00DF1C66">
        <w:rPr>
          <w:rFonts w:ascii="Times New Roman" w:hAnsi="Times New Roman" w:cs="Times New Roman"/>
          <w:sz w:val="24"/>
          <w:szCs w:val="24"/>
        </w:rPr>
        <w:instrText xml:space="preserve"> ADDIN ZOTERO_ITEM CSL_CITATION {"citationID":"vEH4x8qO","properties":{"formattedCitation":"\\super 2,3\\nosupersub{}","plainCitation":"2,3","noteIndex":0},"citationItems":[{"id":298,"uris":["http://zotero.org/users/6340627/items/P6ENEF9W"],"itemData":{"id":298,"type":"article-journal","container-title":"The British journal of psychiatry","ISSN":"0007-1250","issue":"6","journalAbbreviation":"The British journal of psychiatry","note":"publisher: Cambridge University Press","page":"782-786","title":"Detection of postnatal depression: development of the 10-item Edinburgh Postnatal Depression Scale","volume":"150","author":[{"family":"Cox","given":"John L"},{"family":"Holden","given":"Jeni M"},{"family":"Sagovsky","given":"Ruth"}],"issued":{"date-parts":[["1987"]]}}},{"id":296,"uris":["http://zotero.org/users/6340627/items/GP8B7SJ5"],"itemData":{"id":296,"type":"article-journal","container-title":"Psychological Medicine","ISSN":"1469-8978","issue":"1","journalAbbreviation":"Psychological Medicine","note":"publisher: Cambridge University Press","page":"85-100","title":"Genetic and environmental factors in the aetiology of menstrual, premenstrual and neurotic symptoms: a population-based twin study","volume":"22","author":[{"family":"Kendler","given":"KS"},{"family":"Silberg","given":"JL"},{"family":"Neale","given":"MC"},{"family":"Kessler","given":"RC"},{"family":"Heath","given":"AC"},{"family":"Eaves","given":"LJ"}],"issued":{"date-parts":[["1992"]]}}}],"schema":"https://github.com/citation-style-language/schema/raw/master/csl-citation.json"} </w:instrText>
      </w:r>
      <w:r>
        <w:rPr>
          <w:rFonts w:ascii="Times New Roman" w:eastAsia="Arial" w:hAnsi="Times New Roman" w:cs="Times New Roman"/>
          <w:sz w:val="24"/>
          <w:szCs w:val="24"/>
        </w:rPr>
        <w:fldChar w:fldCharType="separate"/>
      </w:r>
      <w:r w:rsidR="00DF1C66" w:rsidRPr="00DF1C66">
        <w:rPr>
          <w:rFonts w:ascii="Times New Roman" w:hAnsi="Times New Roman" w:cs="Times New Roman"/>
          <w:sz w:val="24"/>
          <w:vertAlign w:val="superscript"/>
        </w:rPr>
        <w:t>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(v) assessments of smoking/nicotine dependence  (Heatherton et al., 1991) (alcohol and substance abuse were virtually absent in this study, so it was not assessed).  Additionally, four key environmental exposures known to be strongly associated with the risk of MDD were assessed in cases and controls: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child sexual abuse; ii) parent-child relationships; iii) social support; and iv) stressful live events. Neuroticism was assessed using the full 23-item Eysenck personality questionnaire N scale. Family history of MDD was individually assessed in parents and full siblings using the Family History Research Diagnostic Criteria. In each case, measures used are those developed, field-tested, and validated in the VATSPSUD studies </w:t>
      </w:r>
      <w:r>
        <w:rPr>
          <w:rFonts w:ascii="Times New Roman" w:eastAsia="Arial" w:hAnsi="Times New Roman" w:cs="Times New Roman"/>
          <w:sz w:val="24"/>
          <w:szCs w:val="24"/>
        </w:rPr>
        <w:fldChar w:fldCharType="begin"/>
      </w:r>
      <w:r w:rsidR="00DF1C66">
        <w:rPr>
          <w:rFonts w:ascii="Times New Roman" w:hAnsi="Times New Roman" w:cs="Times New Roman"/>
          <w:sz w:val="24"/>
          <w:szCs w:val="24"/>
        </w:rPr>
        <w:instrText xml:space="preserve"> ADDIN ZOTERO_ITEM CSL_CITATION {"citationID":"OkdvrRYi","properties":{"formattedCitation":"\\super 3\\nosupersub{}","plainCitation":"3","noteIndex":0},"citationItems":[{"id":296,"uris":["http://zotero.org/users/6340627/items/GP8B7SJ5"],"itemData":{"id":296,"type":"article-journal","container-title":"Psychological Medicine","ISSN":"1469-8978","issue":"1","journalAbbreviation":"Psychological Medicine","note":"publisher: Cambridge University Press","page":"85-100","title":"Genetic and environmental factors in the aetiology of menstrual, premenstrual and neurotic symptoms: a population-based twin study","volume":"22","author":[{"family":"Kendler","given":"KS"},{"family":"Silberg","given":"JL"},{"family":"Neale","given":"MC"},{"family":"Kessler","given":"RC"},{"family":"Heath","given":"AC"},{"family":"Eaves","given":"LJ"}],"issued":{"date-parts":[["1992"]]}}}],"schema":"https://github.com/citation-style-language/schema/raw/master/csl-citation.json"} </w:instrText>
      </w:r>
      <w:r>
        <w:rPr>
          <w:rFonts w:ascii="Times New Roman" w:eastAsia="Arial" w:hAnsi="Times New Roman" w:cs="Times New Roman"/>
          <w:sz w:val="24"/>
          <w:szCs w:val="24"/>
        </w:rPr>
        <w:fldChar w:fldCharType="separate"/>
      </w:r>
      <w:r w:rsidR="00DF1C66" w:rsidRPr="00DF1C66">
        <w:rPr>
          <w:rFonts w:ascii="Times New Roman" w:hAnsi="Times New Roman" w:cs="Times New Roman"/>
          <w:sz w:val="24"/>
          <w:vertAlign w:val="superscript"/>
        </w:rPr>
        <w:t>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3BBACBFB" w14:textId="79CC4720"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interview protocol in the replication study largely mirrored that used in the CONVERGE study, with a few additional elements. Firstly, all subjects took part in a 16-item, self-administered questionnaire assessing the severity of depression-related symptoms on a five-point distress scale over the past 30 days (subscales for depression in symptom checklist, SCL)  </w:t>
      </w:r>
      <w:r>
        <w:rPr>
          <w:rFonts w:ascii="Times New Roman" w:eastAsia="Arial" w:hAnsi="Times New Roman" w:cs="Times New Roman"/>
          <w:sz w:val="24"/>
          <w:szCs w:val="24"/>
        </w:rPr>
        <w:fldChar w:fldCharType="begin"/>
      </w:r>
      <w:r w:rsidR="00DF1C66">
        <w:rPr>
          <w:rFonts w:ascii="Times New Roman" w:hAnsi="Times New Roman" w:cs="Times New Roman"/>
          <w:sz w:val="24"/>
          <w:szCs w:val="24"/>
        </w:rPr>
        <w:instrText xml:space="preserve"> ADDIN ZOTERO_ITEM CSL_CITATION {"citationID":"3arMWtXD","properties":{"formattedCitation":"\\super 4\\nosupersub{}","plainCitation":"4","noteIndex":0},"citationItems":[{"id":1489,"uris":["http://zotero.org/users/6340627/items/BLLPJHSD"],"itemData":{"id":1489,"type":"article-journal","container-title":"Psychopharmacol Bull","page":"13–28","title":"SCL-90: an outpatient psychiatric rating scale-preliminary report","volume":"9","author":[{"family":"Derogatis","given":"Leonard R"}],"issued":{"date-parts":[["1973"]]}}}],"schema":"https://github.com/citation-style-language/schema/raw/master/csl-citation.json"} </w:instrText>
      </w:r>
      <w:r>
        <w:rPr>
          <w:rFonts w:ascii="Times New Roman" w:eastAsia="Arial" w:hAnsi="Times New Roman" w:cs="Times New Roman"/>
          <w:sz w:val="24"/>
          <w:szCs w:val="24"/>
        </w:rPr>
        <w:fldChar w:fldCharType="separate"/>
      </w:r>
      <w:r w:rsidR="00DF1C66" w:rsidRPr="00DF1C66">
        <w:rPr>
          <w:rFonts w:ascii="Times New Roman" w:hAnsi="Times New Roman" w:cs="Times New Roman"/>
          <w:sz w:val="24"/>
          <w:vertAlign w:val="superscript"/>
        </w:rPr>
        <w:t>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providing a more immediate assessment of their depressive state. Secondly, case subjects were asked to give details about their life history, specifically focusing on the occurrence of stressful events prior to their episodes of depression.</w:t>
      </w:r>
    </w:p>
    <w:p w14:paraId="08303BDF" w14:textId="77777777" w:rsidR="0098684A" w:rsidRDefault="0098684A">
      <w:pPr>
        <w:spacing w:line="480" w:lineRule="auto"/>
        <w:jc w:val="both"/>
        <w:rPr>
          <w:rFonts w:ascii="Times New Roman" w:eastAsia="Times New Roman" w:hAnsi="Times New Roman" w:cs="Times New Roman"/>
          <w:sz w:val="24"/>
          <w:szCs w:val="24"/>
        </w:rPr>
      </w:pPr>
    </w:p>
    <w:p w14:paraId="3D758BC4" w14:textId="77777777" w:rsidR="0098684A" w:rsidRDefault="00000000">
      <w:pPr>
        <w:pStyle w:val="Heading2"/>
        <w:spacing w:before="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DNA Sequencing and Genotype imputation</w:t>
      </w:r>
    </w:p>
    <w:p w14:paraId="617FA90E" w14:textId="39EF038B" w:rsidR="0098684A" w:rsidRDefault="00000000">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The CONVERGE study used </w:t>
      </w:r>
      <w:proofErr w:type="gramStart"/>
      <w:r>
        <w:rPr>
          <w:rFonts w:ascii="Times New Roman" w:eastAsia="Times New Roman" w:hAnsi="Times New Roman" w:cs="Times New Roman"/>
          <w:sz w:val="24"/>
          <w:szCs w:val="24"/>
        </w:rPr>
        <w:t>low-coverage</w:t>
      </w:r>
      <w:proofErr w:type="gramEnd"/>
      <w:r>
        <w:rPr>
          <w:rFonts w:ascii="Times New Roman" w:eastAsia="Times New Roman" w:hAnsi="Times New Roman" w:cs="Times New Roman"/>
          <w:sz w:val="24"/>
          <w:szCs w:val="24"/>
        </w:rPr>
        <w:t xml:space="preserve"> sequencing to genotype the sample. DNA was extracted from saliva samples using the </w:t>
      </w:r>
      <w:proofErr w:type="spellStart"/>
      <w:r>
        <w:rPr>
          <w:rFonts w:ascii="Times New Roman" w:eastAsia="Times New Roman" w:hAnsi="Times New Roman" w:cs="Times New Roman"/>
          <w:sz w:val="24"/>
          <w:szCs w:val="24"/>
        </w:rPr>
        <w:t>Oragene</w:t>
      </w:r>
      <w:proofErr w:type="spellEnd"/>
      <w:r>
        <w:rPr>
          <w:rFonts w:ascii="Times New Roman" w:eastAsia="Times New Roman" w:hAnsi="Times New Roman" w:cs="Times New Roman"/>
          <w:sz w:val="24"/>
          <w:szCs w:val="24"/>
        </w:rPr>
        <w:t xml:space="preserve"> protocol. Sequencing reads obtained from Illumina </w:t>
      </w:r>
      <w:proofErr w:type="spellStart"/>
      <w:r>
        <w:rPr>
          <w:rFonts w:ascii="Times New Roman" w:eastAsia="Times New Roman" w:hAnsi="Times New Roman" w:cs="Times New Roman"/>
          <w:sz w:val="24"/>
          <w:szCs w:val="24"/>
        </w:rPr>
        <w:t>Hiseq</w:t>
      </w:r>
      <w:proofErr w:type="spellEnd"/>
      <w:r>
        <w:rPr>
          <w:rFonts w:ascii="Times New Roman" w:eastAsia="Times New Roman" w:hAnsi="Times New Roman" w:cs="Times New Roman"/>
          <w:sz w:val="24"/>
          <w:szCs w:val="24"/>
        </w:rPr>
        <w:t xml:space="preserve"> machines were aligned to Genome Reference Consortium Human Build 37 patch release 5 (GRCh37.p5) with </w:t>
      </w:r>
      <w:proofErr w:type="spellStart"/>
      <w:r>
        <w:rPr>
          <w:rFonts w:ascii="Times New Roman" w:eastAsia="Times New Roman" w:hAnsi="Times New Roman" w:cs="Times New Roman"/>
          <w:sz w:val="24"/>
          <w:szCs w:val="24"/>
        </w:rPr>
        <w:t>Stampy</w:t>
      </w:r>
      <w:proofErr w:type="spellEnd"/>
      <w:r>
        <w:rPr>
          <w:rFonts w:ascii="Times New Roman" w:eastAsia="Times New Roman" w:hAnsi="Times New Roman" w:cs="Times New Roman"/>
          <w:sz w:val="24"/>
          <w:szCs w:val="24"/>
        </w:rPr>
        <w:t xml:space="preserve"> (v1.0.17)</w:t>
      </w:r>
      <w:r>
        <w:rPr>
          <w:rFonts w:ascii="Times New Roman" w:eastAsia="Times New Roman" w:hAnsi="Times New Roman" w:cs="Times New Roman"/>
          <w:sz w:val="24"/>
          <w:szCs w:val="24"/>
        </w:rPr>
        <w:fldChar w:fldCharType="begin"/>
      </w:r>
      <w:r w:rsidR="00DF1C66">
        <w:rPr>
          <w:rFonts w:ascii="Times New Roman" w:eastAsia="Times New Roman" w:hAnsi="Times New Roman" w:cs="Times New Roman"/>
          <w:sz w:val="24"/>
          <w:szCs w:val="24"/>
        </w:rPr>
        <w:instrText xml:space="preserve"> ADDIN ZOTERO_ITEM CSL_CITATION {"citationID":"ZBKeWNmM","properties":{"formattedCitation":"\\super 5\\nosupersub{}","plainCitation":"5","noteIndex":0},"citationItems":[{"id":1684,"uris":["http://zotero.org/users/6340627/items/MBUTMWKY"],"itemData":{"id":1684,"type":"article-journal","abstract":"High-volume sequencing of DNA and RNA is now within reach of any research laboratory and is quickly becoming established as a key research tool. In many workflows, each of the short sequences (\"reads\") resulting from a sequencing run are first \"mapped\" (aligned) to a reference sequence to infer the read from which the genomic location derived, a challenging task because of the high data volumes and often large genomes. Existing read mapping software excel in either speed (e.g., BWA, Bowtie, ELAND) or sensitivity (e.g., Novoalign), but not in both. In addition, performance often deteriorates in the presence of sequence variation, particularly so for short insertions and deletions (indels). Here, we present a read mapper, Stampy, which uses a hybrid mapping algorithm and a detailed statistical model to achieve both speed and sensitivity, particularly when reads include sequence variation. This results in a higher useable sequence yield and improved accuracy compared to that of existing software.","container-title":"Genome Research","DOI":"10.1101/gr.111120.110","ISSN":"1549-5469","issue":"6","journalAbbreviation":"Genome Res","language":"eng","note":"PMID: 20980556\nPMCID: PMC3106326","page":"936-939","source":"PubMed","title":"Stampy: a statistical algorithm for sensitive and fast mapping of Illumina sequence reads","title-short":"Stampy","volume":"21","author":[{"family":"Lunter","given":"Gerton"},{"family":"Goodson","given":"Martin"}],"issued":{"date-parts":[["2011",6]]}}}],"schema":"https://github.com/citation-style-language/schema/raw/master/csl-citation.json"} </w:instrText>
      </w:r>
      <w:r>
        <w:rPr>
          <w:rFonts w:ascii="Times New Roman" w:eastAsia="Times New Roman" w:hAnsi="Times New Roman" w:cs="Times New Roman"/>
          <w:sz w:val="24"/>
          <w:szCs w:val="24"/>
        </w:rPr>
        <w:fldChar w:fldCharType="separate"/>
      </w:r>
      <w:r w:rsidR="00DF1C66" w:rsidRPr="00DF1C66">
        <w:rPr>
          <w:rFonts w:ascii="Times New Roman" w:hAnsi="Times New Roman" w:cs="Times New Roman"/>
          <w:sz w:val="24"/>
          <w:vertAlign w:val="superscript"/>
        </w:rPr>
        <w:t>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using default parameters after filtering out reads containing adaptor sequences or consisting of more than 50% poor quality bases. The aligned reads </w:t>
      </w:r>
      <w:r>
        <w:rPr>
          <w:rFonts w:ascii="Times New Roman" w:eastAsia="Times New Roman" w:hAnsi="Times New Roman" w:cs="Times New Roman"/>
          <w:sz w:val="24"/>
          <w:szCs w:val="24"/>
        </w:rPr>
        <w:lastRenderedPageBreak/>
        <w:t xml:space="preserve">were indexed, and PCR duplicates were marked for removal. Base quality score recalibration (BQSR) was performed on the BAM files using the Genome Analysis Toolkit (GATK) </w:t>
      </w:r>
      <w:r>
        <w:rPr>
          <w:rFonts w:ascii="Times New Roman" w:eastAsia="Times New Roman" w:hAnsi="Times New Roman" w:cs="Times New Roman"/>
          <w:sz w:val="24"/>
          <w:szCs w:val="24"/>
        </w:rPr>
        <w:fldChar w:fldCharType="begin"/>
      </w:r>
      <w:r w:rsidR="00DF1C66">
        <w:rPr>
          <w:rFonts w:ascii="Times New Roman" w:eastAsia="Times New Roman" w:hAnsi="Times New Roman" w:cs="Times New Roman"/>
          <w:sz w:val="24"/>
          <w:szCs w:val="24"/>
        </w:rPr>
        <w:instrText xml:space="preserve"> ADDIN ZOTERO_ITEM CSL_CITATION {"citationID":"deDSLdrU","properties":{"formattedCitation":"\\super 6\\nosupersub{}","plainCitation":"6","noteIndex":0},"citationItems":[{"id":1687,"uris":["http://zotero.org/users/6340627/items/3LFAZMN7"],"itemData":{"id":1687,"type":"article-journal","abstract":"Next-generation DNA sequencing (NGS) projects, such as the 1000 Genomes Project, are already revolutionizing our understanding of genetic variation among individuals. However, the massive data sets generated by NGS--the 1000 Genome pilot alone includes nearly five terabases--make writing feature-rich, efficient, and robust analysis tools difficult for even computationally sophisticated individuals. Indeed, many professionals are limited in the scope and the ease with which they can answer scientific questions by the complexity of accessing and manipulating the data produced by these machines. Here, we discuss our Genome Analysis Toolkit (GATK), a structured programming framework designed to ease the development of efficient and robust analysis tools for next-generation DNA sequencers using the functional programming philosophy of MapReduce. The GATK provides a small but rich set of data access patterns that encompass the majority of analysis tool needs. Separating specific analysis calculations from common data management infrastructure enables us to optimize the GATK framework for correctness, stability, and CPU and memory efficiency and to enable distributed and shared memory parallelization. We highlight the capabilities of the GATK by describing the implementation and application of robust, scale-tolerant tools like coverage calculators and single nucleotide polymorphism (SNP) calling. We conclude that the GATK programming framework enables developers and analysts to quickly and easily write efficient and robust NGS tools, many of which have already been incorporated into large-scale sequencing projects like the 1000 Genomes Project and The Cancer Genome Atlas.","container-title":"Genome Research","DOI":"10.1101/gr.107524.110","ISSN":"1549-5469","issue":"9","journalAbbreviation":"Genome Res","language":"eng","note":"PMID: 20644199\nPMCID: PMC2928508","page":"1297-1303","source":"PubMed","title":"The Genome Analysis Toolkit: a MapReduce framework for analyzing next-generation DNA sequencing data","title-short":"The Genome Analysis Toolkit","volume":"20","author":[{"family":"McKenna","given":"Aaron"},{"family":"Hanna","given":"Matthew"},{"family":"Banks","given":"Eric"},{"family":"Sivachenko","given":"Andrey"},{"family":"Cibulskis","given":"Kristian"},{"family":"Kernytsky","given":"Andrew"},{"family":"Garimella","given":"Kiran"},{"family":"Altshuler","given":"David"},{"family":"Gabriel","given":"Stacey"},{"family":"Daly","given":"Mark"},{"family":"DePristo","given":"Mark A."}],"issued":{"date-parts":[["2010",9]]}}}],"schema":"https://github.com/citation-style-language/schema/raw/master/csl-citation.json"} </w:instrText>
      </w:r>
      <w:r>
        <w:rPr>
          <w:rFonts w:ascii="Times New Roman" w:eastAsia="Times New Roman" w:hAnsi="Times New Roman" w:cs="Times New Roman"/>
          <w:sz w:val="24"/>
          <w:szCs w:val="24"/>
        </w:rPr>
        <w:fldChar w:fldCharType="separate"/>
      </w:r>
      <w:r w:rsidR="00DF1C66" w:rsidRPr="00DF1C66">
        <w:rPr>
          <w:rFonts w:ascii="Times New Roman" w:hAnsi="Times New Roman" w:cs="Times New Roman"/>
          <w:sz w:val="24"/>
          <w:vertAlign w:val="superscript"/>
        </w:rPr>
        <w:t>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with known SNPs and INDELs masked. Whole-genome sequences were acquired to a mean depth of 1.73 (95% confidence intervals (CIs) 0.7–4.3) per individual, from which 32,781,340 SNP sites were identified.</w:t>
      </w:r>
    </w:p>
    <w:p w14:paraId="79856988" w14:textId="5FE9888C"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Variant discovery and genotyping were conducted using the GATK's </w:t>
      </w:r>
      <w:proofErr w:type="spellStart"/>
      <w:r>
        <w:rPr>
          <w:rFonts w:ascii="Times New Roman" w:eastAsia="Times New Roman" w:hAnsi="Times New Roman" w:cs="Times New Roman"/>
          <w:sz w:val="24"/>
          <w:szCs w:val="24"/>
        </w:rPr>
        <w:t>UnifiedGenotyper</w:t>
      </w:r>
      <w:proofErr w:type="spellEnd"/>
      <w:r>
        <w:rPr>
          <w:rFonts w:ascii="Times New Roman" w:eastAsia="Times New Roman" w:hAnsi="Times New Roman" w:cs="Times New Roman"/>
          <w:sz w:val="24"/>
          <w:szCs w:val="24"/>
        </w:rPr>
        <w:t xml:space="preserve">, targeting polymorphic SNPs in the 1000 Genomes Project Phase 1 East Asian reference panel. The </w:t>
      </w:r>
      <w:proofErr w:type="spellStart"/>
      <w:r>
        <w:rPr>
          <w:rFonts w:ascii="Times New Roman" w:eastAsia="Times New Roman" w:hAnsi="Times New Roman" w:cs="Times New Roman"/>
          <w:sz w:val="24"/>
          <w:szCs w:val="24"/>
        </w:rPr>
        <w:t>dbSNP</w:t>
      </w:r>
      <w:proofErr w:type="spellEnd"/>
      <w:r>
        <w:rPr>
          <w:rFonts w:ascii="Times New Roman" w:eastAsia="Times New Roman" w:hAnsi="Times New Roman" w:cs="Times New Roman"/>
          <w:sz w:val="24"/>
          <w:szCs w:val="24"/>
        </w:rPr>
        <w:t xml:space="preserve"> v137 </w:t>
      </w:r>
      <w:proofErr w:type="spellStart"/>
      <w:r>
        <w:rPr>
          <w:rFonts w:ascii="Times New Roman" w:eastAsia="Times New Roman" w:hAnsi="Times New Roman" w:cs="Times New Roman"/>
          <w:sz w:val="24"/>
          <w:szCs w:val="24"/>
        </w:rPr>
        <w:t>rsids</w:t>
      </w:r>
      <w:proofErr w:type="spellEnd"/>
      <w:r>
        <w:rPr>
          <w:rFonts w:ascii="Times New Roman" w:eastAsia="Times New Roman" w:hAnsi="Times New Roman" w:cs="Times New Roman"/>
          <w:sz w:val="24"/>
          <w:szCs w:val="24"/>
        </w:rPr>
        <w:t xml:space="preserve"> were used to fill in the variant ID column of the output variant call format (VCF) files. A sensitivity threshold of 90% to SNPs in the 1000G Phase1 ASN panel was applied for SNP selection for imputation. This gave a total of 21,356,798 (9,053,391 known in 1000 Genomes Phase 1 ASN Panel and 11,486,024 novel) biallelic SNPs identified from all chromosomes and unassembled contigs. Genotype likelihoods were calculated using </w:t>
      </w:r>
      <w:proofErr w:type="spellStart"/>
      <w:r>
        <w:rPr>
          <w:rFonts w:ascii="Times New Roman" w:eastAsia="Times New Roman" w:hAnsi="Times New Roman" w:cs="Times New Roman"/>
          <w:sz w:val="24"/>
          <w:szCs w:val="24"/>
        </w:rPr>
        <w:t>SNPtools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sidR="00DF1C66">
        <w:rPr>
          <w:rFonts w:ascii="Times New Roman" w:eastAsia="Times New Roman" w:hAnsi="Times New Roman" w:cs="Times New Roman"/>
          <w:sz w:val="24"/>
          <w:szCs w:val="24"/>
        </w:rPr>
        <w:instrText xml:space="preserve"> ADDIN ZOTERO_ITEM CSL_CITATION {"citationID":"P5goZKED","properties":{"formattedCitation":"\\super 7\\nosupersub{}","plainCitation":"7","noteIndex":0},"citationItems":[{"id":1690,"uris":["http://zotero.org/users/6340627/items/Z8YPSCVQ"],"itemData":{"id":1690,"type":"article-journal","abstract":"Next-generation sequencing is a powerful approach for discovering genetic variation. Sensitive variant calling and haplotype inference from population sequencing data remain challenging. We describe methods for high-quality discovery, genotyping, and phasing of SNPs for low-coverage (approximately 5×) sequencing of populations, implemented in a pipeline called SNPTools. Our pipeline contains several innovations that specifically address challenges caused by low-coverage population sequencing: (1) effective base depth (EBD), a nonparametric statistic that enables more accurate statistical modeling of sequencing data; (2) variance ratio scoring, a variance-based statistic that discovers polymorphic loci with high sensitivity and specificity; and (3) BAM-specific binomial mixture modeling (BBMM), a clustering algorithm that generates robust genotype likelihoods from heterogeneous sequencing data. Last, we develop an imputation engine that refines raw genotype likelihoods to produce high-quality phased genotypes/haplotypes. Designed for large population studies, SNPTools' input/output (I/O) and storage aware design leads to improved computing performance on large sequencing data sets. We apply SNPTools to the International 1000 Genomes Project (1000G) Phase 1 low-coverage data set and obtain genotyping accuracy comparable to that of SNP microarray.","container-title":"Genome Research","DOI":"10.1101/gr.146084.112","ISSN":"1549-5469","issue":"5","journalAbbreviation":"Genome Res","language":"eng","note":"PMID: 23296920\nPMCID: PMC3638139","page":"833-842","source":"PubMed","title":"An integrative variant analysis pipeline for accurate genotype/haplotype inference in population NGS data","volume":"23","author":[{"family":"Wang","given":"Yi"},{"family":"Lu","given":"James"},{"family":"Yu","given":"Jin"},{"family":"Gibbs","given":"Richard A."},{"family":"Yu","given":"Fuli"}],"issued":{"date-parts":[["2013",5]]}}}],"schema":"https://github.com/citation-style-language/schema/raw/master/csl-citation.json"} </w:instrText>
      </w:r>
      <w:r>
        <w:rPr>
          <w:rFonts w:ascii="Times New Roman" w:eastAsia="Times New Roman" w:hAnsi="Times New Roman" w:cs="Times New Roman"/>
          <w:sz w:val="24"/>
          <w:szCs w:val="24"/>
        </w:rPr>
        <w:fldChar w:fldCharType="separate"/>
      </w:r>
      <w:r w:rsidR="00DF1C66" w:rsidRPr="00DF1C66">
        <w:rPr>
          <w:rFonts w:ascii="Times New Roman" w:hAnsi="Times New Roman" w:cs="Times New Roman"/>
          <w:sz w:val="24"/>
          <w:vertAlign w:val="superscript"/>
        </w:rPr>
        <w:t>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imputation process was conducted using BEAGLE software </w:t>
      </w:r>
      <w:r>
        <w:rPr>
          <w:rFonts w:ascii="Times New Roman" w:eastAsia="Times New Roman" w:hAnsi="Times New Roman" w:cs="Times New Roman"/>
          <w:sz w:val="24"/>
          <w:szCs w:val="24"/>
        </w:rPr>
        <w:fldChar w:fldCharType="begin"/>
      </w:r>
      <w:r w:rsidR="00DF1C66">
        <w:rPr>
          <w:rFonts w:ascii="Times New Roman" w:eastAsia="Times New Roman" w:hAnsi="Times New Roman" w:cs="Times New Roman"/>
          <w:sz w:val="24"/>
          <w:szCs w:val="24"/>
        </w:rPr>
        <w:instrText xml:space="preserve"> ADDIN ZOTERO_ITEM CSL_CITATION {"citationID":"OfPEeiNR","properties":{"formattedCitation":"\\super 8\\nosupersub{}","plainCitation":"8","noteIndex":0},"citationItems":[{"id":1693,"uris":["http://zotero.org/users/6340627/items/2S9RN2BA"],"itemData":{"id":1693,"type":"article-journal","abstract":"Whole-genome association studies present many new statistical and computational challenges due to the large quantity of data obtained. One of these challenges is haplotype inference; methods for haplotype inference designed for small data sets from candidate-gene studies do not scale well to the large number of individuals genotyped in whole-genome association studies. We present a new method and software for inference of haplotype phase and missing data that can accurately phase data from whole-genome association studies, and we present the first comparison of haplotype-inference methods for real and simulated data sets with thousands of genotyped individuals. We find that our method outperforms existing methods in terms of both speed and accuracy for large data sets with thousands of individuals and densely spaced genetic markers, and we use our method to phase a real data set of 3,002 individuals genotyped for 490,032 markers in 3.1 days of computing time, with 99% of masked alleles imputed correctly. Our method is implemented in the Beagle software package, which is freely available.","container-title":"American Journal of Human Genetics","ISSN":"0002-9297","issue":"5","journalAbbreviation":"Am J Hum Genet","note":"PMID: 17924348\nPMCID: PMC2265661","page":"1084-1097","source":"PubMed Central","title":"Rapid and Accurate Haplotype Phasing and Missing-Data Inference for Whole-Genome Association Studies By Use of Localized Haplotype Clustering","volume":"81","author":[{"family":"Browning","given":"Sharon R."},{"family":"Browning","given":"Brian L."}],"issued":{"date-parts":[["2007",11]]}}}],"schema":"https://github.com/citation-style-language/schema/raw/master/csl-citation.json"} </w:instrText>
      </w:r>
      <w:r>
        <w:rPr>
          <w:rFonts w:ascii="Times New Roman" w:eastAsia="Times New Roman" w:hAnsi="Times New Roman" w:cs="Times New Roman"/>
          <w:sz w:val="24"/>
          <w:szCs w:val="24"/>
        </w:rPr>
        <w:fldChar w:fldCharType="separate"/>
      </w:r>
      <w:r w:rsidR="00DF1C66" w:rsidRPr="00DF1C66">
        <w:rPr>
          <w:rFonts w:ascii="Times New Roman" w:hAnsi="Times New Roman" w:cs="Times New Roman"/>
          <w:sz w:val="24"/>
          <w:vertAlign w:val="superscript"/>
        </w:rPr>
        <w:t>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E2E7262" w14:textId="77777777" w:rsidR="0098684A" w:rsidRDefault="0098684A">
      <w:pPr>
        <w:spacing w:line="480" w:lineRule="auto"/>
        <w:jc w:val="both"/>
        <w:rPr>
          <w:rFonts w:ascii="Times New Roman" w:eastAsia="Times New Roman" w:hAnsi="Times New Roman" w:cs="Times New Roman"/>
          <w:sz w:val="24"/>
          <w:szCs w:val="24"/>
        </w:rPr>
      </w:pPr>
    </w:p>
    <w:p w14:paraId="26E6C357" w14:textId="77777777" w:rsidR="0098684A" w:rsidRDefault="00000000">
      <w:pPr>
        <w:pStyle w:val="Heading2"/>
        <w:spacing w:before="0" w:after="0" w:line="480" w:lineRule="auto"/>
        <w:jc w:val="both"/>
        <w:rPr>
          <w:rFonts w:ascii="Times New Roman" w:eastAsia="Times New Roman" w:hAnsi="Times New Roman" w:cs="Times New Roman"/>
          <w:i/>
          <w:sz w:val="24"/>
          <w:szCs w:val="24"/>
        </w:rPr>
      </w:pPr>
      <w:bookmarkStart w:id="0" w:name="_r0mxpnukso96" w:colFirst="0" w:colLast="0"/>
      <w:bookmarkEnd w:id="0"/>
      <w:r>
        <w:rPr>
          <w:rFonts w:ascii="Times New Roman" w:eastAsia="Times New Roman" w:hAnsi="Times New Roman" w:cs="Times New Roman"/>
          <w:i/>
          <w:sz w:val="24"/>
          <w:szCs w:val="24"/>
        </w:rPr>
        <w:t>Voice Data Preprocessing</w:t>
      </w:r>
    </w:p>
    <w:p w14:paraId="7DE09ABF" w14:textId="77777777"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 the initial subjects recruited in CONVERGE, 8,322 subjects have interview recordings (</w:t>
      </w:r>
      <w:r>
        <w:rPr>
          <w:rFonts w:ascii="Times New Roman" w:hAnsi="Times New Roman" w:cs="Times New Roman" w:hint="eastAsia"/>
          <w:b/>
          <w:bCs/>
          <w:sz w:val="24"/>
          <w:szCs w:val="24"/>
        </w:rPr>
        <w:t>Figure 1</w:t>
      </w:r>
      <w:r>
        <w:rPr>
          <w:rFonts w:ascii="Times New Roman" w:eastAsia="Times New Roman" w:hAnsi="Times New Roman" w:cs="Times New Roman"/>
          <w:sz w:val="24"/>
          <w:szCs w:val="24"/>
        </w:rPr>
        <w:t>). To obtain the subjects’ utterances, a group of undergraduates listened to the recordings to identify any voice segments from the subjects with a duration &gt;2 seconds. Audio samples were excluded where the noise was so prominent that the content of the subject's speech could not be understood, which yielded 7,654 subjects with available segments. All segments from the same subject were concatenated in the order in which they occur in the interview and down sampled to 8 kHz. Two postgraduate psychological students listened to all the segments to ensure that no speech voice other than the subjects was included in the segments.</w:t>
      </w:r>
    </w:p>
    <w:p w14:paraId="2C9D8FCB" w14:textId="2160AFA2"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preprocessing procedure in the replication study was the same as in CONVERGE. Of the initially recruited 1,301 participants (551 cases), 1,189 subjects (including 490 cases) had available voice segments (</w:t>
      </w:r>
      <w:r>
        <w:rPr>
          <w:rFonts w:ascii="Times New Roman" w:hAnsi="Times New Roman" w:cs="Times New Roman" w:hint="eastAsia"/>
          <w:b/>
          <w:bCs/>
          <w:sz w:val="24"/>
          <w:szCs w:val="24"/>
        </w:rPr>
        <w:t>Figure 1</w:t>
      </w:r>
      <w:r>
        <w:rPr>
          <w:rFonts w:ascii="Times New Roman" w:eastAsia="Times New Roman" w:hAnsi="Times New Roman" w:cs="Times New Roman"/>
          <w:sz w:val="24"/>
          <w:szCs w:val="24"/>
        </w:rPr>
        <w:t xml:space="preserve">). All segments from the same subject were concatenated into one, to extract voice features for replicating the association between voice and MDD and identifying the voice features associated with SCL. The speech segments in the replication study were further annotated to indicate the specific question that prompted each spoken response (For example, questions listed in </w:t>
      </w:r>
      <w:r>
        <w:rPr>
          <w:rFonts w:ascii="Times New Roman" w:eastAsia="Times New Roman" w:hAnsi="Times New Roman" w:cs="Times New Roman"/>
          <w:b/>
          <w:bCs/>
          <w:sz w:val="24"/>
          <w:szCs w:val="24"/>
        </w:rPr>
        <w:t>Table S1</w:t>
      </w:r>
      <w:r w:rsidR="004646AC">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This additional level of data analysis was introduced to better understand the relationship between the interview content and the participants' speech patterns. We additionally extracted the same voice features on the non-concatenated segments corresponding to a single question for a sensitivity analysis, which we referred to as, the single-item analysis (described below).</w:t>
      </w:r>
    </w:p>
    <w:p w14:paraId="33A222B5" w14:textId="77777777" w:rsidR="0098684A" w:rsidRDefault="0098684A">
      <w:pPr>
        <w:spacing w:line="480" w:lineRule="auto"/>
        <w:jc w:val="both"/>
        <w:rPr>
          <w:rFonts w:ascii="Times New Roman" w:eastAsia="Times New Roman" w:hAnsi="Times New Roman" w:cs="Times New Roman"/>
          <w:sz w:val="24"/>
          <w:szCs w:val="24"/>
        </w:rPr>
      </w:pPr>
    </w:p>
    <w:p w14:paraId="6E1A49ED" w14:textId="77777777" w:rsidR="0098684A" w:rsidRDefault="00000000">
      <w:pPr>
        <w:spacing w:line="480" w:lineRule="auto"/>
        <w:jc w:val="both"/>
        <w:outlineLvl w:val="1"/>
        <w:rPr>
          <w:rFonts w:ascii="Times New Roman" w:eastAsia="Times New Roman" w:hAnsi="Times New Roman" w:cs="Times New Roman"/>
          <w:i/>
          <w:sz w:val="24"/>
          <w:szCs w:val="24"/>
        </w:rPr>
      </w:pPr>
      <w:r>
        <w:rPr>
          <w:rFonts w:ascii="Times New Roman" w:eastAsia="Times New Roman" w:hAnsi="Times New Roman" w:cs="Times New Roman"/>
          <w:i/>
          <w:sz w:val="24"/>
          <w:szCs w:val="24"/>
        </w:rPr>
        <w:t>Voice Feature extraction</w:t>
      </w:r>
    </w:p>
    <w:p w14:paraId="0192F094" w14:textId="77777777" w:rsidR="0098684A" w:rsidRDefault="00000000">
      <w:pPr>
        <w:spacing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The process to calculate the pitch (Fundamental frequency, F0) and its dynamics is as follows:</w:t>
      </w:r>
    </w:p>
    <w:p w14:paraId="7D240B65" w14:textId="5C913BD6" w:rsidR="0098684A" w:rsidRDefault="00000000">
      <w:pPr>
        <w:numPr>
          <w:ilvl w:val="0"/>
          <w:numId w:val="2"/>
        </w:numPr>
        <w:spacing w:line="480" w:lineRule="auto"/>
        <w:jc w:val="both"/>
        <w:rPr>
          <w:rFonts w:ascii="Times New Roman" w:hAnsi="Times New Roman" w:cs="Times New Roman"/>
        </w:rPr>
      </w:pPr>
      <w:r>
        <w:rPr>
          <w:rFonts w:ascii="Times New Roman" w:eastAsia="Times New Roman" w:hAnsi="Times New Roman" w:cs="Times New Roman"/>
          <w:b/>
        </w:rPr>
        <w:t>F0 Calculation</w:t>
      </w:r>
      <w:r>
        <w:rPr>
          <w:rFonts w:ascii="Times New Roman" w:eastAsia="Times New Roman" w:hAnsi="Times New Roman" w:cs="Times New Roman"/>
        </w:rPr>
        <w:t>: given an audio segment, a time series of the F0 values was computed</w:t>
      </w:r>
      <w:r>
        <w:rPr>
          <w:rFonts w:ascii="Times New Roman" w:eastAsia="Arial" w:hAnsi="Times New Roman" w:cs="Times New Roman"/>
        </w:rPr>
        <w:fldChar w:fldCharType="begin"/>
      </w:r>
      <w:r w:rsidR="00DF1C66">
        <w:rPr>
          <w:rFonts w:ascii="Times New Roman" w:hAnsi="Times New Roman" w:cs="Times New Roman"/>
        </w:rPr>
        <w:instrText xml:space="preserve"> ADDIN ZOTERO_ITEM CSL_CITATION {"citationID":"20799X7G","properties":{"formattedCitation":"\\super 9\\nosupersub{}","plainCitation":"9","noteIndex":0},"citationItems":[{"id":1494,"uris":["http://zotero.org/users/6340627/items/57GCY56T"],"itemData":{"id":</w:instrText>
      </w:r>
      <w:r w:rsidR="00DF1C66">
        <w:rPr>
          <w:rFonts w:ascii="Times New Roman" w:hAnsi="Times New Roman" w:cs="Times New Roman" w:hint="eastAsia"/>
        </w:rPr>
        <w:instrText>1494,"type":"article-journal","abstract":"In order to account for the phenomenon of virtual pitch, various theories assume implicitly or explicitly that each spectral component introduces a series of subharmonics. The spectral</w:instrText>
      </w:r>
      <w:r w:rsidR="00DF1C66">
        <w:rPr>
          <w:rFonts w:ascii="Times New Roman" w:hAnsi="Times New Roman" w:cs="Times New Roman" w:hint="eastAsia"/>
        </w:rPr>
        <w:instrText>‐</w:instrText>
      </w:r>
      <w:r w:rsidR="00DF1C66">
        <w:rPr>
          <w:rFonts w:ascii="Times New Roman" w:hAnsi="Times New Roman" w:cs="Times New Roman" w:hint="eastAsia"/>
        </w:rPr>
        <w:instrText>compression method for pitch</w:instrText>
      </w:r>
      <w:r w:rsidR="00DF1C66">
        <w:rPr>
          <w:rFonts w:ascii="Times New Roman" w:hAnsi="Times New Roman" w:cs="Times New Roman"/>
        </w:rPr>
        <w:instrText xml:space="preserve"> determination can be viewed as a direct implementation of this principle. The widespread application of this principle in pitch determination is, however, impeded by numerical problems with respect to accuracy and computational efficiency. A modified alg</w:instrText>
      </w:r>
      <w:r w:rsidR="00DF1C66">
        <w:rPr>
          <w:rFonts w:ascii="Times New Roman" w:hAnsi="Times New Roman" w:cs="Times New Roman" w:hint="eastAsia"/>
        </w:rPr>
        <w:instrText xml:space="preserve">orithm is described that solves these problems. Its performance is tested for normal speech and </w:instrText>
      </w:r>
      <w:r w:rsidR="00DF1C66">
        <w:rPr>
          <w:rFonts w:ascii="Times New Roman" w:hAnsi="Times New Roman" w:cs="Times New Roman" w:hint="eastAsia"/>
        </w:rPr>
        <w:instrText>‘‘</w:instrText>
      </w:r>
      <w:r w:rsidR="00DF1C66">
        <w:rPr>
          <w:rFonts w:ascii="Times New Roman" w:hAnsi="Times New Roman" w:cs="Times New Roman" w:hint="eastAsia"/>
        </w:rPr>
        <w:instrText>telephone</w:instrText>
      </w:r>
      <w:r w:rsidR="00DF1C66">
        <w:rPr>
          <w:rFonts w:ascii="Times New Roman" w:hAnsi="Times New Roman" w:cs="Times New Roman" w:hint="eastAsia"/>
        </w:rPr>
        <w:instrText>’’</w:instrText>
      </w:r>
      <w:r w:rsidR="00DF1C66">
        <w:rPr>
          <w:rFonts w:ascii="Times New Roman" w:hAnsi="Times New Roman" w:cs="Times New Roman" w:hint="eastAsia"/>
        </w:rPr>
        <w:instrText xml:space="preserve"> speech, i.e., speech high</w:instrText>
      </w:r>
      <w:r w:rsidR="00DF1C66">
        <w:rPr>
          <w:rFonts w:ascii="Times New Roman" w:hAnsi="Times New Roman" w:cs="Times New Roman" w:hint="eastAsia"/>
        </w:rPr>
        <w:instrText>‐</w:instrText>
      </w:r>
      <w:r w:rsidR="00DF1C66">
        <w:rPr>
          <w:rFonts w:ascii="Times New Roman" w:hAnsi="Times New Roman" w:cs="Times New Roman" w:hint="eastAsia"/>
        </w:rPr>
        <w:instrText>pass filtered at 300 Hz. The algorithm outperforms the harmonic</w:instrText>
      </w:r>
      <w:r w:rsidR="00DF1C66">
        <w:rPr>
          <w:rFonts w:ascii="Times New Roman" w:hAnsi="Times New Roman" w:cs="Times New Roman" w:hint="eastAsia"/>
        </w:rPr>
        <w:instrText>‐</w:instrText>
      </w:r>
      <w:r w:rsidR="00DF1C66">
        <w:rPr>
          <w:rFonts w:ascii="Times New Roman" w:hAnsi="Times New Roman" w:cs="Times New Roman" w:hint="eastAsia"/>
        </w:rPr>
        <w:instrText>sieve method for pitch determination, while its computational requirements are about the same. The algorithm is described in terms of nonlinear system theory, i.c., subharmonic summation. It is argued that the favorable performance of the subharmonic</w:instrText>
      </w:r>
      <w:r w:rsidR="00DF1C66">
        <w:rPr>
          <w:rFonts w:ascii="Times New Roman" w:hAnsi="Times New Roman" w:cs="Times New Roman" w:hint="eastAsia"/>
        </w:rPr>
        <w:instrText>‐</w:instrText>
      </w:r>
      <w:r w:rsidR="00DF1C66">
        <w:rPr>
          <w:rFonts w:ascii="Times New Roman" w:hAnsi="Times New Roman" w:cs="Times New Roman" w:hint="eastAsia"/>
        </w:rPr>
        <w:instrText>summation algorithm stems from its corresponding more closely with current pitch</w:instrText>
      </w:r>
      <w:r w:rsidR="00DF1C66">
        <w:rPr>
          <w:rFonts w:ascii="Times New Roman" w:hAnsi="Times New Roman" w:cs="Times New Roman" w:hint="eastAsia"/>
        </w:rPr>
        <w:instrText>‐</w:instrText>
      </w:r>
      <w:r w:rsidR="00DF1C66">
        <w:rPr>
          <w:rFonts w:ascii="Times New Roman" w:hAnsi="Times New Roman" w:cs="Times New Roman" w:hint="eastAsia"/>
        </w:rPr>
        <w:instrText>perception theories than does the harmonic sieve.","container-title":"The Journal of the Acoustical Society of America","DOI":"10.1121/1.396427","ISSN":"0001-4966","issue":"1","journalAbbreviation":"The Journal of the Acoustical Soci</w:instrText>
      </w:r>
      <w:r w:rsidR="00DF1C66">
        <w:rPr>
          <w:rFonts w:ascii="Times New Roman" w:hAnsi="Times New Roman" w:cs="Times New Roman"/>
        </w:rPr>
        <w:instrText xml:space="preserve">ety of America","page":"257-264","source":"Silverchair","title":"Measurement of pitch by subharmonic summation","volume":"83","author":[{"family":"Hermes","given":"Dik J."}],"issued":{"date-parts":[["1988",1,1]]}}}],"schema":"https://github.com/citation-style-language/schema/raw/master/csl-citation.json"} </w:instrText>
      </w:r>
      <w:r>
        <w:rPr>
          <w:rFonts w:ascii="Times New Roman" w:eastAsia="Arial" w:hAnsi="Times New Roman" w:cs="Times New Roman"/>
        </w:rPr>
        <w:fldChar w:fldCharType="separate"/>
      </w:r>
      <w:r w:rsidR="00DF1C66" w:rsidRPr="00DF1C66">
        <w:rPr>
          <w:rFonts w:ascii="Times New Roman" w:hAnsi="Times New Roman" w:cs="Times New Roman"/>
          <w:sz w:val="24"/>
          <w:vertAlign w:val="superscript"/>
        </w:rPr>
        <w:t>9</w:t>
      </w:r>
      <w:r>
        <w:rPr>
          <w:rFonts w:ascii="Times New Roman" w:eastAsia="Times New Roman" w:hAnsi="Times New Roman" w:cs="Times New Roman"/>
        </w:rPr>
        <w:fldChar w:fldCharType="end"/>
      </w:r>
      <w:r>
        <w:rPr>
          <w:rFonts w:ascii="Times New Roman" w:eastAsia="Times New Roman" w:hAnsi="Times New Roman" w:cs="Times New Roman"/>
        </w:rPr>
        <w:t xml:space="preserve"> and subsequently smoothed. F0 captures the statical information at the time-point, reflecting the rate of vocal fold vibration and approximates the voice pitch</w:t>
      </w:r>
      <w:r>
        <w:rPr>
          <w:rFonts w:ascii="Times New Roman" w:hAnsi="Times New Roman" w:cs="Times New Roman"/>
        </w:rPr>
        <w:t xml:space="preserve"> </w:t>
      </w:r>
      <w:r>
        <w:rPr>
          <w:rFonts w:ascii="Times New Roman" w:eastAsia="Arial" w:hAnsi="Times New Roman" w:cs="Times New Roman"/>
        </w:rPr>
        <w:fldChar w:fldCharType="begin"/>
      </w:r>
      <w:r w:rsidR="00DF1C66">
        <w:rPr>
          <w:rFonts w:ascii="Times New Roman" w:hAnsi="Times New Roman" w:cs="Times New Roman"/>
        </w:rPr>
        <w:instrText xml:space="preserve"> ADDIN ZOTERO_ITEM CSL_CITATION {"citationID":"zPgcO2DQ","properties":{"formattedCitation":"\\super 9\\nosupersub{}","plainCitation":"9","noteIndex":0},"citationItems":[{"id":1494,"uris":["http://zotero.org/users/6340627/items/57GCY56T"],"itemData":{"id":</w:instrText>
      </w:r>
      <w:r w:rsidR="00DF1C66">
        <w:rPr>
          <w:rFonts w:ascii="Times New Roman" w:hAnsi="Times New Roman" w:cs="Times New Roman" w:hint="eastAsia"/>
        </w:rPr>
        <w:instrText>1494,"type":"article-journal","abstract":"In order to account for the phenomenon of virtual pitch, various theories assume implicitly or explicitly that each spectral component introduces a series of subharmonics. The spectral</w:instrText>
      </w:r>
      <w:r w:rsidR="00DF1C66">
        <w:rPr>
          <w:rFonts w:ascii="Times New Roman" w:hAnsi="Times New Roman" w:cs="Times New Roman" w:hint="eastAsia"/>
        </w:rPr>
        <w:instrText>‐</w:instrText>
      </w:r>
      <w:r w:rsidR="00DF1C66">
        <w:rPr>
          <w:rFonts w:ascii="Times New Roman" w:hAnsi="Times New Roman" w:cs="Times New Roman" w:hint="eastAsia"/>
        </w:rPr>
        <w:instrText>compression method for pitch</w:instrText>
      </w:r>
      <w:r w:rsidR="00DF1C66">
        <w:rPr>
          <w:rFonts w:ascii="Times New Roman" w:hAnsi="Times New Roman" w:cs="Times New Roman"/>
        </w:rPr>
        <w:instrText xml:space="preserve"> determination can be viewed as a direct implementation of this principle. The widespread application of this principle in pitch determination is, however, impeded by numerical problems with respect to accuracy and computational efficiency. A modified alg</w:instrText>
      </w:r>
      <w:r w:rsidR="00DF1C66">
        <w:rPr>
          <w:rFonts w:ascii="Times New Roman" w:hAnsi="Times New Roman" w:cs="Times New Roman" w:hint="eastAsia"/>
        </w:rPr>
        <w:instrText xml:space="preserve">orithm is described that solves these problems. Its performance is tested for normal speech and </w:instrText>
      </w:r>
      <w:r w:rsidR="00DF1C66">
        <w:rPr>
          <w:rFonts w:ascii="Times New Roman" w:hAnsi="Times New Roman" w:cs="Times New Roman" w:hint="eastAsia"/>
        </w:rPr>
        <w:instrText>‘‘</w:instrText>
      </w:r>
      <w:r w:rsidR="00DF1C66">
        <w:rPr>
          <w:rFonts w:ascii="Times New Roman" w:hAnsi="Times New Roman" w:cs="Times New Roman" w:hint="eastAsia"/>
        </w:rPr>
        <w:instrText>telephone</w:instrText>
      </w:r>
      <w:r w:rsidR="00DF1C66">
        <w:rPr>
          <w:rFonts w:ascii="Times New Roman" w:hAnsi="Times New Roman" w:cs="Times New Roman" w:hint="eastAsia"/>
        </w:rPr>
        <w:instrText>’’</w:instrText>
      </w:r>
      <w:r w:rsidR="00DF1C66">
        <w:rPr>
          <w:rFonts w:ascii="Times New Roman" w:hAnsi="Times New Roman" w:cs="Times New Roman" w:hint="eastAsia"/>
        </w:rPr>
        <w:instrText xml:space="preserve"> speech, i.e., speech high</w:instrText>
      </w:r>
      <w:r w:rsidR="00DF1C66">
        <w:rPr>
          <w:rFonts w:ascii="Times New Roman" w:hAnsi="Times New Roman" w:cs="Times New Roman" w:hint="eastAsia"/>
        </w:rPr>
        <w:instrText>‐</w:instrText>
      </w:r>
      <w:r w:rsidR="00DF1C66">
        <w:rPr>
          <w:rFonts w:ascii="Times New Roman" w:hAnsi="Times New Roman" w:cs="Times New Roman" w:hint="eastAsia"/>
        </w:rPr>
        <w:instrText>pass filtered at 300 Hz. The algorithm outperforms the harmonic</w:instrText>
      </w:r>
      <w:r w:rsidR="00DF1C66">
        <w:rPr>
          <w:rFonts w:ascii="Times New Roman" w:hAnsi="Times New Roman" w:cs="Times New Roman" w:hint="eastAsia"/>
        </w:rPr>
        <w:instrText>‐</w:instrText>
      </w:r>
      <w:r w:rsidR="00DF1C66">
        <w:rPr>
          <w:rFonts w:ascii="Times New Roman" w:hAnsi="Times New Roman" w:cs="Times New Roman" w:hint="eastAsia"/>
        </w:rPr>
        <w:instrText>sieve method for pitch determination, while its computational requirements are about the same. The algorithm is described in terms of nonlinear system theory, i.c., subharmonic summation. It is argued that the favorable performance of the subharmonic</w:instrText>
      </w:r>
      <w:r w:rsidR="00DF1C66">
        <w:rPr>
          <w:rFonts w:ascii="Times New Roman" w:hAnsi="Times New Roman" w:cs="Times New Roman" w:hint="eastAsia"/>
        </w:rPr>
        <w:instrText>‐</w:instrText>
      </w:r>
      <w:r w:rsidR="00DF1C66">
        <w:rPr>
          <w:rFonts w:ascii="Times New Roman" w:hAnsi="Times New Roman" w:cs="Times New Roman" w:hint="eastAsia"/>
        </w:rPr>
        <w:instrText>summation algorithm stems from its corresponding more closely with current pitch</w:instrText>
      </w:r>
      <w:r w:rsidR="00DF1C66">
        <w:rPr>
          <w:rFonts w:ascii="Times New Roman" w:hAnsi="Times New Roman" w:cs="Times New Roman" w:hint="eastAsia"/>
        </w:rPr>
        <w:instrText>‐</w:instrText>
      </w:r>
      <w:r w:rsidR="00DF1C66">
        <w:rPr>
          <w:rFonts w:ascii="Times New Roman" w:hAnsi="Times New Roman" w:cs="Times New Roman" w:hint="eastAsia"/>
        </w:rPr>
        <w:instrText>perception theories than does the harmonic sieve.","container-title":"The Journal of the Acoustical Society of America","DOI":"10.1121/1.396427","ISSN":"0001-4966","issue":"1","journalAbbreviation":"The Journal of the Acoustical Soci</w:instrText>
      </w:r>
      <w:r w:rsidR="00DF1C66">
        <w:rPr>
          <w:rFonts w:ascii="Times New Roman" w:hAnsi="Times New Roman" w:cs="Times New Roman"/>
        </w:rPr>
        <w:instrText xml:space="preserve">ety of America","page":"257-264","source":"Silverchair","title":"Measurement of pitch by subharmonic summation","volume":"83","author":[{"family":"Hermes","given":"Dik J."}],"issued":{"date-parts":[["1988",1,1]]}}}],"schema":"https://github.com/citation-style-language/schema/raw/master/csl-citation.json"} </w:instrText>
      </w:r>
      <w:r>
        <w:rPr>
          <w:rFonts w:ascii="Times New Roman" w:eastAsia="Arial" w:hAnsi="Times New Roman" w:cs="Times New Roman"/>
        </w:rPr>
        <w:fldChar w:fldCharType="separate"/>
      </w:r>
      <w:r w:rsidR="00DF1C66" w:rsidRPr="00DF1C66">
        <w:rPr>
          <w:rFonts w:ascii="Times New Roman" w:hAnsi="Times New Roman" w:cs="Times New Roman"/>
          <w:sz w:val="24"/>
          <w:vertAlign w:val="superscript"/>
        </w:rPr>
        <w:t>9</w:t>
      </w:r>
      <w:r>
        <w:rPr>
          <w:rFonts w:ascii="Times New Roman" w:eastAsia="Times New Roman" w:hAnsi="Times New Roman" w:cs="Times New Roman"/>
        </w:rPr>
        <w:fldChar w:fldCharType="end"/>
      </w:r>
      <w:r>
        <w:rPr>
          <w:rFonts w:ascii="Times New Roman" w:eastAsia="Times New Roman" w:hAnsi="Times New Roman" w:cs="Times New Roman"/>
        </w:rPr>
        <w:t>.</w:t>
      </w:r>
    </w:p>
    <w:p w14:paraId="6AD61348" w14:textId="77777777" w:rsidR="0098684A" w:rsidRDefault="00000000">
      <w:pPr>
        <w:numPr>
          <w:ilvl w:val="0"/>
          <w:numId w:val="2"/>
        </w:numPr>
        <w:spacing w:line="480" w:lineRule="auto"/>
        <w:jc w:val="both"/>
        <w:rPr>
          <w:rFonts w:ascii="Times New Roman" w:hAnsi="Times New Roman" w:cs="Times New Roman"/>
        </w:rPr>
      </w:pPr>
      <w:r>
        <w:rPr>
          <w:rFonts w:ascii="Times New Roman" w:eastAsia="Times New Roman" w:hAnsi="Times New Roman" w:cs="Times New Roman"/>
          <w:b/>
        </w:rPr>
        <w:t>Delta regression coefficients</w:t>
      </w:r>
      <w:r>
        <w:rPr>
          <w:rFonts w:ascii="Times New Roman" w:eastAsia="Times New Roman" w:hAnsi="Times New Roman" w:cs="Times New Roman"/>
        </w:rPr>
        <w:t>: the first-order delta regression coefficients (differential values, ΔF0) were computed on the time series of F0 values, using a context window size of 2. ΔF0 captures the dynamical information, reflecting the speed of pitch change.</w:t>
      </w:r>
    </w:p>
    <w:p w14:paraId="31AEA49F" w14:textId="478E2124" w:rsidR="0098684A" w:rsidRDefault="00000000">
      <w:pPr>
        <w:pStyle w:val="ListParagraph"/>
        <w:numPr>
          <w:ilvl w:val="0"/>
          <w:numId w:val="2"/>
        </w:numPr>
        <w:spacing w:line="480" w:lineRule="auto"/>
        <w:jc w:val="both"/>
        <w:rPr>
          <w:rFonts w:ascii="Times New Roman" w:eastAsia="Times New Roman" w:hAnsi="Times New Roman" w:cs="Times New Roman"/>
        </w:rPr>
      </w:pPr>
      <w:r>
        <w:rPr>
          <w:rFonts w:ascii="Times New Roman" w:eastAsia="Times New Roman" w:hAnsi="Times New Roman" w:cs="Times New Roman"/>
          <w:b/>
        </w:rPr>
        <w:t>Derived features</w:t>
      </w:r>
      <w:r>
        <w:rPr>
          <w:rFonts w:ascii="Times New Roman" w:hAnsi="Times New Roman"/>
        </w:rPr>
        <w:t xml:space="preserve">: A group of statistical/functionals was applied to </w:t>
      </w:r>
      <w:r>
        <w:rPr>
          <w:rFonts w:ascii="Times New Roman" w:eastAsia="Times New Roman" w:hAnsi="Times New Roman" w:cs="Times New Roman"/>
          <w:bCs/>
        </w:rPr>
        <w:t xml:space="preserve">the F0 and ΔF0 time series to extract 83 derived features, capturing the long-term temporal information of the speech. These </w:t>
      </w:r>
      <w:r>
        <w:rPr>
          <w:rFonts w:ascii="Times New Roman" w:hAnsi="Times New Roman"/>
        </w:rPr>
        <w:t xml:space="preserve">statistical/functionals included maximum/minimum, mean, quartiles, range, inter quartile range, relative position (time point) for the first maximum/minimum value, </w:t>
      </w:r>
      <w:r>
        <w:rPr>
          <w:rFonts w:ascii="Times New Roman" w:hAnsi="Times New Roman"/>
        </w:rPr>
        <w:lastRenderedPageBreak/>
        <w:t xml:space="preserve">time ratio for upper/lower range, linear regression coefficients, quadratic regression coefficients, linear predictive coding coefficients, etc. </w:t>
      </w:r>
      <w:r>
        <w:rPr>
          <w:rFonts w:ascii="Times New Roman" w:eastAsia="Times New Roman" w:hAnsi="Times New Roman" w:cs="Times New Roman"/>
          <w:bCs/>
        </w:rPr>
        <w:t>All these 83 features are described in</w:t>
      </w:r>
      <w:r>
        <w:rPr>
          <w:rFonts w:ascii="Times New Roman" w:eastAsia="Times New Roman" w:hAnsi="Times New Roman" w:cs="Times New Roman"/>
          <w:bCs/>
        </w:rPr>
        <w:fldChar w:fldCharType="begin"/>
      </w:r>
      <w:r w:rsidR="00DF1C66">
        <w:rPr>
          <w:rFonts w:ascii="Times New Roman" w:eastAsia="Times New Roman" w:hAnsi="Times New Roman" w:cs="Times New Roman"/>
          <w:bCs/>
        </w:rPr>
        <w:instrText xml:space="preserve"> ADDIN ZOTERO_ITEM CSL_CITATION {"citationID":"QPnumqXd","properties":{"formattedCitation":"\\super 10\\nosupersub{}","plainCitation":"10","noteIndex":0},"citationItems":[{"id":1459,"uris":["http://zotero.org/users/6340627/items/GWEX8IFF"],"itemData":{"id":1459,"type":"book","ISBN":"3-319-27299-3","publisher":"Springer","title":"Real-time speech and music classification by large audio feature space extraction","author":[{"family":"Eyben","given":"Florian"}],"issued":{"date-parts":[["2015"]]}},"locator":"260","label":"page"}],"schema":"https://github.com/citation-style-language/schema/raw/master/csl-citation.json"} </w:instrText>
      </w:r>
      <w:r>
        <w:rPr>
          <w:rFonts w:ascii="Times New Roman" w:eastAsia="Times New Roman" w:hAnsi="Times New Roman" w:cs="Times New Roman"/>
          <w:bCs/>
        </w:rPr>
        <w:fldChar w:fldCharType="separate"/>
      </w:r>
      <w:r w:rsidR="00DF1C66" w:rsidRPr="00DF1C66">
        <w:rPr>
          <w:rFonts w:ascii="Times New Roman" w:hAnsi="Times New Roman" w:cs="Times New Roman"/>
          <w:vertAlign w:val="superscript"/>
        </w:rPr>
        <w:t>10</w:t>
      </w:r>
      <w:r>
        <w:rPr>
          <w:rFonts w:ascii="Times New Roman" w:eastAsia="Times New Roman" w:hAnsi="Times New Roman" w:cs="Times New Roman"/>
          <w:bCs/>
        </w:rPr>
        <w:fldChar w:fldCharType="end"/>
      </w:r>
      <w:r>
        <w:rPr>
          <w:rFonts w:ascii="Times New Roman" w:eastAsia="Times New Roman" w:hAnsi="Times New Roman" w:cs="Times New Roman"/>
          <w:bCs/>
        </w:rPr>
        <w:t>.</w:t>
      </w:r>
    </w:p>
    <w:p w14:paraId="13EE3E28" w14:textId="77777777" w:rsidR="0098684A" w:rsidRDefault="0098684A">
      <w:pPr>
        <w:spacing w:line="480" w:lineRule="auto"/>
        <w:jc w:val="both"/>
        <w:rPr>
          <w:rFonts w:ascii="Times New Roman" w:eastAsia="Times New Roman" w:hAnsi="Times New Roman" w:cs="Times New Roman"/>
          <w:sz w:val="24"/>
          <w:szCs w:val="24"/>
        </w:rPr>
      </w:pPr>
    </w:p>
    <w:p w14:paraId="35D34891" w14:textId="77777777" w:rsidR="0098684A" w:rsidRDefault="00000000">
      <w:pPr>
        <w:spacing w:line="480" w:lineRule="auto"/>
        <w:jc w:val="both"/>
        <w:outlineLvl w:val="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Feature selection process to remove redundant </w:t>
      </w:r>
      <w:proofErr w:type="gramStart"/>
      <w:r>
        <w:rPr>
          <w:rFonts w:ascii="Times New Roman" w:eastAsia="Times New Roman" w:hAnsi="Times New Roman" w:cs="Times New Roman"/>
          <w:i/>
          <w:sz w:val="24"/>
          <w:szCs w:val="24"/>
        </w:rPr>
        <w:t>features</w:t>
      </w:r>
      <w:proofErr w:type="gramEnd"/>
      <w:r>
        <w:rPr>
          <w:rFonts w:ascii="Times New Roman" w:eastAsia="Times New Roman" w:hAnsi="Times New Roman" w:cs="Times New Roman"/>
          <w:i/>
          <w:sz w:val="24"/>
          <w:szCs w:val="24"/>
        </w:rPr>
        <w:t xml:space="preserve"> </w:t>
      </w:r>
    </w:p>
    <w:p w14:paraId="0593B9D2" w14:textId="60660F8B" w:rsidR="0098684A" w:rsidRDefault="00000000">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From the COMPARE16 feature set, we obtained 83 F0/ΔF0-based features. We excluded one feature, the minimal length for F0 &gt;0 because the values of this feature were the same for almost all subjects. They were forced to the frame size unit, according to </w:t>
      </w:r>
      <w:r>
        <w:rPr>
          <w:rFonts w:ascii="Times New Roman" w:eastAsia="Arial" w:hAnsi="Times New Roman" w:cs="Times New Roman"/>
          <w:sz w:val="24"/>
          <w:szCs w:val="24"/>
        </w:rPr>
        <w:fldChar w:fldCharType="begin"/>
      </w:r>
      <w:r w:rsidR="00DF1C66">
        <w:rPr>
          <w:rFonts w:ascii="Times New Roman" w:hAnsi="Times New Roman" w:cs="Times New Roman"/>
          <w:sz w:val="24"/>
          <w:szCs w:val="24"/>
        </w:rPr>
        <w:instrText xml:space="preserve"> ADDIN ZOTERO_ITEM CSL_CITATION {"citationID":"y03tC7eo","properties":{"formattedCitation":"\\super 10\\nosupersub{}","plainCitation":"10","noteIndex":0},"citationItems":[{"id":1459,"uris":["http://zotero.org/users/6340627/items/GWEX8IFF"],"itemData":{"id":1459,"type":"book","ISBN":"3-319-27299-3","publisher":"Springer","title":"Real-time speech and music classification by large audio feature space extraction","author":[{"family":"Eyben","given":"Florian"}],"issued":{"date-parts":[["2015"]]}},"locator":"102","label":"page"}],"schema":"https://github.com/citation-style-language/schema/raw/master/csl-citation.json"} </w:instrText>
      </w:r>
      <w:r>
        <w:rPr>
          <w:rFonts w:ascii="Times New Roman" w:eastAsia="Arial" w:hAnsi="Times New Roman" w:cs="Times New Roman"/>
          <w:sz w:val="24"/>
          <w:szCs w:val="24"/>
        </w:rPr>
        <w:fldChar w:fldCharType="separate"/>
      </w:r>
      <w:r w:rsidR="00DF1C66" w:rsidRPr="00DF1C66">
        <w:rPr>
          <w:rFonts w:ascii="Times New Roman" w:hAnsi="Times New Roman" w:cs="Times New Roman"/>
          <w:sz w:val="24"/>
          <w:vertAlign w:val="superscript"/>
        </w:rPr>
        <w:t>10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0F4C6A49" w14:textId="3CC9C88E"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Next, given that many of the features were highly correlated (for example, the arithmetic and root-quadratic mean of F0) (</w:t>
      </w:r>
      <w:r>
        <w:rPr>
          <w:rFonts w:ascii="Times New Roman" w:eastAsia="Times New Roman" w:hAnsi="Times New Roman" w:cs="Times New Roman"/>
          <w:b/>
          <w:bCs/>
          <w:sz w:val="24"/>
          <w:szCs w:val="24"/>
        </w:rPr>
        <w:t>Figure S</w:t>
      </w:r>
      <w:r w:rsidR="0083472C">
        <w:rPr>
          <w:rFonts w:ascii="Times New Roman" w:eastAsia="Times New Roman" w:hAnsi="Times New Roman" w:cs="Times New Roman" w:hint="eastAsia"/>
          <w:b/>
          <w:bCs/>
          <w:sz w:val="24"/>
          <w:szCs w:val="24"/>
        </w:rPr>
        <w:t>16</w:t>
      </w:r>
      <w:r>
        <w:rPr>
          <w:rFonts w:ascii="Times New Roman" w:eastAsia="Times New Roman" w:hAnsi="Times New Roman" w:cs="Times New Roman"/>
          <w:sz w:val="24"/>
          <w:szCs w:val="24"/>
        </w:rPr>
        <w:t xml:space="preserve">), we implemented a feature selection process to remove redundant features. We first calculated the pairwise Pearson correlation for each voice feature pair and ranked the voice features from high to low according to their sum of squared correlation r values with all other features. We then retained the first (leading) feature and excluded all other features that had an absolute r value &gt;0.5 with the leading one. This process was repeated, each time keeping the next leading feature remaining in the list and excluding its correlates. </w:t>
      </w:r>
    </w:p>
    <w:p w14:paraId="01962074" w14:textId="204FACAF"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above procedure resulted in a set of 30 F0/ΔF0-based features (</w:t>
      </w:r>
      <w:r>
        <w:rPr>
          <w:rFonts w:ascii="Times New Roman" w:hAnsi="Times New Roman" w:cs="Times New Roman" w:hint="eastAsia"/>
          <w:b/>
          <w:sz w:val="24"/>
          <w:szCs w:val="24"/>
        </w:rPr>
        <w:t>Table S</w:t>
      </w:r>
      <w:r w:rsidR="004646AC">
        <w:rPr>
          <w:rFonts w:ascii="Times New Roman" w:hAnsi="Times New Roman" w:cs="Times New Roman"/>
          <w:b/>
          <w:sz w:val="24"/>
          <w:szCs w:val="24"/>
        </w:rPr>
        <w:t>3</w:t>
      </w:r>
      <w:r>
        <w:rPr>
          <w:rFonts w:ascii="Times New Roman" w:eastAsia="Times New Roman" w:hAnsi="Times New Roman" w:cs="Times New Roman"/>
          <w:sz w:val="24"/>
          <w:szCs w:val="24"/>
        </w:rPr>
        <w:t>) that were representative of the original 82 features and not highly correlated with each other.</w:t>
      </w:r>
    </w:p>
    <w:p w14:paraId="7767C2E0" w14:textId="77777777" w:rsidR="0098684A" w:rsidRDefault="00000000">
      <w:pPr>
        <w:rPr>
          <w:rFonts w:ascii="Times New Roman" w:eastAsia="Times New Roman" w:hAnsi="Times New Roman" w:cs="Times New Roman"/>
          <w:b/>
        </w:rPr>
      </w:pPr>
      <w:r>
        <w:rPr>
          <w:rFonts w:ascii="Times New Roman" w:eastAsia="Times New Roman" w:hAnsi="Times New Roman" w:cs="Times New Roman"/>
          <w:b/>
        </w:rPr>
        <w:br w:type="page"/>
      </w:r>
    </w:p>
    <w:p w14:paraId="62AC092E" w14:textId="77777777"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rPr>
        <w:lastRenderedPageBreak/>
        <w:t>Reference</w:t>
      </w:r>
    </w:p>
    <w:p w14:paraId="5D3476AA" w14:textId="77777777" w:rsidR="0088699E" w:rsidRPr="0088699E" w:rsidRDefault="00000000" w:rsidP="0088699E">
      <w:pPr>
        <w:pStyle w:val="Bibliography"/>
        <w:rPr>
          <w:rFonts w:ascii="Times New Roman" w:hAnsi="Times New Roman" w:cs="Times New Roman"/>
          <w:sz w:val="24"/>
        </w:rPr>
      </w:pPr>
      <w:r>
        <w:rPr>
          <w:sz w:val="24"/>
          <w:szCs w:val="24"/>
        </w:rPr>
        <w:fldChar w:fldCharType="begin"/>
      </w:r>
      <w:r w:rsidR="0088699E">
        <w:rPr>
          <w:sz w:val="24"/>
          <w:szCs w:val="24"/>
        </w:rPr>
        <w:instrText xml:space="preserve"> ADDIN ZOTERO_BIBL {"uncited":[],"omitted":[],"custom":[]} CSL_BIBLIOGRAPHY </w:instrText>
      </w:r>
      <w:r>
        <w:rPr>
          <w:sz w:val="24"/>
          <w:szCs w:val="24"/>
        </w:rPr>
        <w:fldChar w:fldCharType="separate"/>
      </w:r>
      <w:r w:rsidR="0088699E" w:rsidRPr="0088699E">
        <w:rPr>
          <w:rFonts w:ascii="Times New Roman" w:hAnsi="Times New Roman" w:cs="Times New Roman"/>
          <w:sz w:val="24"/>
        </w:rPr>
        <w:t>1.</w:t>
      </w:r>
      <w:r w:rsidR="0088699E" w:rsidRPr="0088699E">
        <w:rPr>
          <w:rFonts w:ascii="Times New Roman" w:hAnsi="Times New Roman" w:cs="Times New Roman"/>
          <w:sz w:val="24"/>
        </w:rPr>
        <w:tab/>
        <w:t xml:space="preserve">Kendler, K. S. &amp; Prescott, C. A. </w:t>
      </w:r>
      <w:r w:rsidR="0088699E" w:rsidRPr="0088699E">
        <w:rPr>
          <w:rFonts w:ascii="Times New Roman" w:hAnsi="Times New Roman" w:cs="Times New Roman"/>
          <w:i/>
          <w:iCs/>
          <w:sz w:val="24"/>
        </w:rPr>
        <w:t>Genes, Environment, and Psychopathology: Understanding the Causes of Psychiatric and Substance Use Disorders</w:t>
      </w:r>
      <w:r w:rsidR="0088699E" w:rsidRPr="0088699E">
        <w:rPr>
          <w:rFonts w:ascii="Times New Roman" w:hAnsi="Times New Roman" w:cs="Times New Roman"/>
          <w:sz w:val="24"/>
        </w:rPr>
        <w:t>. (Guilford Press, 2007).</w:t>
      </w:r>
    </w:p>
    <w:p w14:paraId="40B93B0A"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2.</w:t>
      </w:r>
      <w:r w:rsidRPr="0088699E">
        <w:rPr>
          <w:rFonts w:ascii="Times New Roman" w:hAnsi="Times New Roman" w:cs="Times New Roman"/>
          <w:sz w:val="24"/>
        </w:rPr>
        <w:tab/>
        <w:t xml:space="preserve">Cox, J. L., Holden, J. M. &amp; Sagovsky, R. Detection of postnatal depression: development of the 10-item Edinburgh Postnatal Depression Scale. </w:t>
      </w:r>
      <w:r w:rsidRPr="0088699E">
        <w:rPr>
          <w:rFonts w:ascii="Times New Roman" w:hAnsi="Times New Roman" w:cs="Times New Roman"/>
          <w:i/>
          <w:iCs/>
          <w:sz w:val="24"/>
        </w:rPr>
        <w:t>Br. J. Psychiatry</w:t>
      </w:r>
      <w:r w:rsidRPr="0088699E">
        <w:rPr>
          <w:rFonts w:ascii="Times New Roman" w:hAnsi="Times New Roman" w:cs="Times New Roman"/>
          <w:sz w:val="24"/>
        </w:rPr>
        <w:t xml:space="preserve"> </w:t>
      </w:r>
      <w:r w:rsidRPr="0088699E">
        <w:rPr>
          <w:rFonts w:ascii="Times New Roman" w:hAnsi="Times New Roman" w:cs="Times New Roman"/>
          <w:b/>
          <w:bCs/>
          <w:sz w:val="24"/>
        </w:rPr>
        <w:t>150</w:t>
      </w:r>
      <w:r w:rsidRPr="0088699E">
        <w:rPr>
          <w:rFonts w:ascii="Times New Roman" w:hAnsi="Times New Roman" w:cs="Times New Roman"/>
          <w:sz w:val="24"/>
        </w:rPr>
        <w:t>, 782–786 (1987).</w:t>
      </w:r>
    </w:p>
    <w:p w14:paraId="1D1ABBF6"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3.</w:t>
      </w:r>
      <w:r w:rsidRPr="0088699E">
        <w:rPr>
          <w:rFonts w:ascii="Times New Roman" w:hAnsi="Times New Roman" w:cs="Times New Roman"/>
          <w:sz w:val="24"/>
        </w:rPr>
        <w:tab/>
        <w:t xml:space="preserve">Kendler, K. </w:t>
      </w:r>
      <w:r w:rsidRPr="0088699E">
        <w:rPr>
          <w:rFonts w:ascii="Times New Roman" w:hAnsi="Times New Roman" w:cs="Times New Roman"/>
          <w:i/>
          <w:iCs/>
          <w:sz w:val="24"/>
        </w:rPr>
        <w:t>et al.</w:t>
      </w:r>
      <w:r w:rsidRPr="0088699E">
        <w:rPr>
          <w:rFonts w:ascii="Times New Roman" w:hAnsi="Times New Roman" w:cs="Times New Roman"/>
          <w:sz w:val="24"/>
        </w:rPr>
        <w:t xml:space="preserve"> Genetic and environmental factors in the aetiology of menstrual, premenstrual and neurotic symptoms: a population-based twin study. </w:t>
      </w:r>
      <w:r w:rsidRPr="0088699E">
        <w:rPr>
          <w:rFonts w:ascii="Times New Roman" w:hAnsi="Times New Roman" w:cs="Times New Roman"/>
          <w:i/>
          <w:iCs/>
          <w:sz w:val="24"/>
        </w:rPr>
        <w:t>Psychol. Med.</w:t>
      </w:r>
      <w:r w:rsidRPr="0088699E">
        <w:rPr>
          <w:rFonts w:ascii="Times New Roman" w:hAnsi="Times New Roman" w:cs="Times New Roman"/>
          <w:sz w:val="24"/>
        </w:rPr>
        <w:t xml:space="preserve"> </w:t>
      </w:r>
      <w:r w:rsidRPr="0088699E">
        <w:rPr>
          <w:rFonts w:ascii="Times New Roman" w:hAnsi="Times New Roman" w:cs="Times New Roman"/>
          <w:b/>
          <w:bCs/>
          <w:sz w:val="24"/>
        </w:rPr>
        <w:t>22</w:t>
      </w:r>
      <w:r w:rsidRPr="0088699E">
        <w:rPr>
          <w:rFonts w:ascii="Times New Roman" w:hAnsi="Times New Roman" w:cs="Times New Roman"/>
          <w:sz w:val="24"/>
        </w:rPr>
        <w:t>, 85–100 (1992).</w:t>
      </w:r>
    </w:p>
    <w:p w14:paraId="25A9913A"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4.</w:t>
      </w:r>
      <w:r w:rsidRPr="0088699E">
        <w:rPr>
          <w:rFonts w:ascii="Times New Roman" w:hAnsi="Times New Roman" w:cs="Times New Roman"/>
          <w:sz w:val="24"/>
        </w:rPr>
        <w:tab/>
        <w:t xml:space="preserve">Derogatis, L. R. SCL-90: an outpatient psychiatric rating scale-preliminary report. </w:t>
      </w:r>
      <w:r w:rsidRPr="0088699E">
        <w:rPr>
          <w:rFonts w:ascii="Times New Roman" w:hAnsi="Times New Roman" w:cs="Times New Roman"/>
          <w:i/>
          <w:iCs/>
          <w:sz w:val="24"/>
        </w:rPr>
        <w:t>Psychopharmacol Bull</w:t>
      </w:r>
      <w:r w:rsidRPr="0088699E">
        <w:rPr>
          <w:rFonts w:ascii="Times New Roman" w:hAnsi="Times New Roman" w:cs="Times New Roman"/>
          <w:sz w:val="24"/>
        </w:rPr>
        <w:t xml:space="preserve"> </w:t>
      </w:r>
      <w:r w:rsidRPr="0088699E">
        <w:rPr>
          <w:rFonts w:ascii="Times New Roman" w:hAnsi="Times New Roman" w:cs="Times New Roman"/>
          <w:b/>
          <w:bCs/>
          <w:sz w:val="24"/>
        </w:rPr>
        <w:t>9</w:t>
      </w:r>
      <w:r w:rsidRPr="0088699E">
        <w:rPr>
          <w:rFonts w:ascii="Times New Roman" w:hAnsi="Times New Roman" w:cs="Times New Roman"/>
          <w:sz w:val="24"/>
        </w:rPr>
        <w:t>, 13–28 (1973).</w:t>
      </w:r>
    </w:p>
    <w:p w14:paraId="75353522"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5.</w:t>
      </w:r>
      <w:r w:rsidRPr="0088699E">
        <w:rPr>
          <w:rFonts w:ascii="Times New Roman" w:hAnsi="Times New Roman" w:cs="Times New Roman"/>
          <w:sz w:val="24"/>
        </w:rPr>
        <w:tab/>
        <w:t xml:space="preserve">Lunter, G. &amp; Goodson, M. Stampy: a statistical algorithm for sensitive and fast mapping of Illumina sequence reads. </w:t>
      </w:r>
      <w:r w:rsidRPr="0088699E">
        <w:rPr>
          <w:rFonts w:ascii="Times New Roman" w:hAnsi="Times New Roman" w:cs="Times New Roman"/>
          <w:i/>
          <w:iCs/>
          <w:sz w:val="24"/>
        </w:rPr>
        <w:t>Genome Res.</w:t>
      </w:r>
      <w:r w:rsidRPr="0088699E">
        <w:rPr>
          <w:rFonts w:ascii="Times New Roman" w:hAnsi="Times New Roman" w:cs="Times New Roman"/>
          <w:sz w:val="24"/>
        </w:rPr>
        <w:t xml:space="preserve"> </w:t>
      </w:r>
      <w:r w:rsidRPr="0088699E">
        <w:rPr>
          <w:rFonts w:ascii="Times New Roman" w:hAnsi="Times New Roman" w:cs="Times New Roman"/>
          <w:b/>
          <w:bCs/>
          <w:sz w:val="24"/>
        </w:rPr>
        <w:t>21</w:t>
      </w:r>
      <w:r w:rsidRPr="0088699E">
        <w:rPr>
          <w:rFonts w:ascii="Times New Roman" w:hAnsi="Times New Roman" w:cs="Times New Roman"/>
          <w:sz w:val="24"/>
        </w:rPr>
        <w:t>, 936–939 (2011).</w:t>
      </w:r>
    </w:p>
    <w:p w14:paraId="15445C1B"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6.</w:t>
      </w:r>
      <w:r w:rsidRPr="0088699E">
        <w:rPr>
          <w:rFonts w:ascii="Times New Roman" w:hAnsi="Times New Roman" w:cs="Times New Roman"/>
          <w:sz w:val="24"/>
        </w:rPr>
        <w:tab/>
        <w:t xml:space="preserve">McKenna, A. </w:t>
      </w:r>
      <w:r w:rsidRPr="0088699E">
        <w:rPr>
          <w:rFonts w:ascii="Times New Roman" w:hAnsi="Times New Roman" w:cs="Times New Roman"/>
          <w:i/>
          <w:iCs/>
          <w:sz w:val="24"/>
        </w:rPr>
        <w:t>et al.</w:t>
      </w:r>
      <w:r w:rsidRPr="0088699E">
        <w:rPr>
          <w:rFonts w:ascii="Times New Roman" w:hAnsi="Times New Roman" w:cs="Times New Roman"/>
          <w:sz w:val="24"/>
        </w:rPr>
        <w:t xml:space="preserve"> The Genome Analysis Toolkit: a MapReduce framework for analyzing next-generation DNA sequencing data. </w:t>
      </w:r>
      <w:r w:rsidRPr="0088699E">
        <w:rPr>
          <w:rFonts w:ascii="Times New Roman" w:hAnsi="Times New Roman" w:cs="Times New Roman"/>
          <w:i/>
          <w:iCs/>
          <w:sz w:val="24"/>
        </w:rPr>
        <w:t>Genome Res.</w:t>
      </w:r>
      <w:r w:rsidRPr="0088699E">
        <w:rPr>
          <w:rFonts w:ascii="Times New Roman" w:hAnsi="Times New Roman" w:cs="Times New Roman"/>
          <w:sz w:val="24"/>
        </w:rPr>
        <w:t xml:space="preserve"> </w:t>
      </w:r>
      <w:r w:rsidRPr="0088699E">
        <w:rPr>
          <w:rFonts w:ascii="Times New Roman" w:hAnsi="Times New Roman" w:cs="Times New Roman"/>
          <w:b/>
          <w:bCs/>
          <w:sz w:val="24"/>
        </w:rPr>
        <w:t>20</w:t>
      </w:r>
      <w:r w:rsidRPr="0088699E">
        <w:rPr>
          <w:rFonts w:ascii="Times New Roman" w:hAnsi="Times New Roman" w:cs="Times New Roman"/>
          <w:sz w:val="24"/>
        </w:rPr>
        <w:t>, 1297–1303 (2010).</w:t>
      </w:r>
    </w:p>
    <w:p w14:paraId="7A8E29EF"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7.</w:t>
      </w:r>
      <w:r w:rsidRPr="0088699E">
        <w:rPr>
          <w:rFonts w:ascii="Times New Roman" w:hAnsi="Times New Roman" w:cs="Times New Roman"/>
          <w:sz w:val="24"/>
        </w:rPr>
        <w:tab/>
        <w:t xml:space="preserve">Wang, Y., Lu, J., Yu, J., Gibbs, R. A. &amp; Yu, F. An integrative variant analysis pipeline for accurate genotype/haplotype inference in population NGS data. </w:t>
      </w:r>
      <w:r w:rsidRPr="0088699E">
        <w:rPr>
          <w:rFonts w:ascii="Times New Roman" w:hAnsi="Times New Roman" w:cs="Times New Roman"/>
          <w:i/>
          <w:iCs/>
          <w:sz w:val="24"/>
        </w:rPr>
        <w:t>Genome Res.</w:t>
      </w:r>
      <w:r w:rsidRPr="0088699E">
        <w:rPr>
          <w:rFonts w:ascii="Times New Roman" w:hAnsi="Times New Roman" w:cs="Times New Roman"/>
          <w:sz w:val="24"/>
        </w:rPr>
        <w:t xml:space="preserve"> </w:t>
      </w:r>
      <w:r w:rsidRPr="0088699E">
        <w:rPr>
          <w:rFonts w:ascii="Times New Roman" w:hAnsi="Times New Roman" w:cs="Times New Roman"/>
          <w:b/>
          <w:bCs/>
          <w:sz w:val="24"/>
        </w:rPr>
        <w:t>23</w:t>
      </w:r>
      <w:r w:rsidRPr="0088699E">
        <w:rPr>
          <w:rFonts w:ascii="Times New Roman" w:hAnsi="Times New Roman" w:cs="Times New Roman"/>
          <w:sz w:val="24"/>
        </w:rPr>
        <w:t>, 833–842 (2013).</w:t>
      </w:r>
    </w:p>
    <w:p w14:paraId="3AEBA385"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8.</w:t>
      </w:r>
      <w:r w:rsidRPr="0088699E">
        <w:rPr>
          <w:rFonts w:ascii="Times New Roman" w:hAnsi="Times New Roman" w:cs="Times New Roman"/>
          <w:sz w:val="24"/>
        </w:rPr>
        <w:tab/>
        <w:t xml:space="preserve">Browning, S. R. &amp; Browning, B. L. Rapid and Accurate Haplotype Phasing and Missing-Data Inference for Whole-Genome Association Studies By Use of Localized Haplotype Clustering. </w:t>
      </w:r>
      <w:r w:rsidRPr="0088699E">
        <w:rPr>
          <w:rFonts w:ascii="Times New Roman" w:hAnsi="Times New Roman" w:cs="Times New Roman"/>
          <w:i/>
          <w:iCs/>
          <w:sz w:val="24"/>
        </w:rPr>
        <w:t>Am. J. Hum. Genet.</w:t>
      </w:r>
      <w:r w:rsidRPr="0088699E">
        <w:rPr>
          <w:rFonts w:ascii="Times New Roman" w:hAnsi="Times New Roman" w:cs="Times New Roman"/>
          <w:sz w:val="24"/>
        </w:rPr>
        <w:t xml:space="preserve"> </w:t>
      </w:r>
      <w:r w:rsidRPr="0088699E">
        <w:rPr>
          <w:rFonts w:ascii="Times New Roman" w:hAnsi="Times New Roman" w:cs="Times New Roman"/>
          <w:b/>
          <w:bCs/>
          <w:sz w:val="24"/>
        </w:rPr>
        <w:t>81</w:t>
      </w:r>
      <w:r w:rsidRPr="0088699E">
        <w:rPr>
          <w:rFonts w:ascii="Times New Roman" w:hAnsi="Times New Roman" w:cs="Times New Roman"/>
          <w:sz w:val="24"/>
        </w:rPr>
        <w:t>, 1084–1097 (2007).</w:t>
      </w:r>
    </w:p>
    <w:p w14:paraId="7CECFC28"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9.</w:t>
      </w:r>
      <w:r w:rsidRPr="0088699E">
        <w:rPr>
          <w:rFonts w:ascii="Times New Roman" w:hAnsi="Times New Roman" w:cs="Times New Roman"/>
          <w:sz w:val="24"/>
        </w:rPr>
        <w:tab/>
        <w:t xml:space="preserve">Hermes, D. J. Measurement of pitch by subharmonic summation. </w:t>
      </w:r>
      <w:r w:rsidRPr="0088699E">
        <w:rPr>
          <w:rFonts w:ascii="Times New Roman" w:hAnsi="Times New Roman" w:cs="Times New Roman"/>
          <w:i/>
          <w:iCs/>
          <w:sz w:val="24"/>
        </w:rPr>
        <w:t>J. Acoust. Soc. Am.</w:t>
      </w:r>
      <w:r w:rsidRPr="0088699E">
        <w:rPr>
          <w:rFonts w:ascii="Times New Roman" w:hAnsi="Times New Roman" w:cs="Times New Roman"/>
          <w:sz w:val="24"/>
        </w:rPr>
        <w:t xml:space="preserve"> </w:t>
      </w:r>
      <w:r w:rsidRPr="0088699E">
        <w:rPr>
          <w:rFonts w:ascii="Times New Roman" w:hAnsi="Times New Roman" w:cs="Times New Roman"/>
          <w:b/>
          <w:bCs/>
          <w:sz w:val="24"/>
        </w:rPr>
        <w:t>83</w:t>
      </w:r>
      <w:r w:rsidRPr="0088699E">
        <w:rPr>
          <w:rFonts w:ascii="Times New Roman" w:hAnsi="Times New Roman" w:cs="Times New Roman"/>
          <w:sz w:val="24"/>
        </w:rPr>
        <w:t>, 257–264 (1988).</w:t>
      </w:r>
    </w:p>
    <w:p w14:paraId="2A927861" w14:textId="77777777" w:rsidR="0088699E" w:rsidRPr="0088699E" w:rsidRDefault="0088699E" w:rsidP="0088699E">
      <w:pPr>
        <w:pStyle w:val="Bibliography"/>
        <w:rPr>
          <w:rFonts w:ascii="Times New Roman" w:hAnsi="Times New Roman" w:cs="Times New Roman"/>
          <w:sz w:val="24"/>
        </w:rPr>
      </w:pPr>
      <w:r w:rsidRPr="0088699E">
        <w:rPr>
          <w:rFonts w:ascii="Times New Roman" w:hAnsi="Times New Roman" w:cs="Times New Roman"/>
          <w:sz w:val="24"/>
        </w:rPr>
        <w:t>10.</w:t>
      </w:r>
      <w:r w:rsidRPr="0088699E">
        <w:rPr>
          <w:rFonts w:ascii="Times New Roman" w:hAnsi="Times New Roman" w:cs="Times New Roman"/>
          <w:sz w:val="24"/>
        </w:rPr>
        <w:tab/>
        <w:t xml:space="preserve">Eyben, F. </w:t>
      </w:r>
      <w:r w:rsidRPr="0088699E">
        <w:rPr>
          <w:rFonts w:ascii="Times New Roman" w:hAnsi="Times New Roman" w:cs="Times New Roman"/>
          <w:i/>
          <w:iCs/>
          <w:sz w:val="24"/>
        </w:rPr>
        <w:t>Real-Time Speech and Music Classification by Large Audio Feature Space Extraction</w:t>
      </w:r>
      <w:r w:rsidRPr="0088699E">
        <w:rPr>
          <w:rFonts w:ascii="Times New Roman" w:hAnsi="Times New Roman" w:cs="Times New Roman"/>
          <w:sz w:val="24"/>
        </w:rPr>
        <w:t>. (Springer, 2015).</w:t>
      </w:r>
    </w:p>
    <w:p w14:paraId="11AC7FB8" w14:textId="1830EF46" w:rsidR="0098684A" w:rsidRDefault="00000000">
      <w:pPr>
        <w:widowControl w:val="0"/>
        <w:spacing w:line="240" w:lineRule="auto"/>
        <w:ind w:left="384" w:hanging="384"/>
        <w:rPr>
          <w:rFonts w:ascii="Times New Roman" w:eastAsia="Times New Roman" w:hAnsi="Times New Roman" w:cs="Times New Roman"/>
          <w:sz w:val="24"/>
          <w:szCs w:val="24"/>
        </w:rPr>
      </w:pPr>
      <w:r>
        <w:rPr>
          <w:rFonts w:ascii="Times New Roman" w:hAnsi="Times New Roman" w:cs="Times New Roman"/>
          <w:sz w:val="24"/>
          <w:szCs w:val="24"/>
        </w:rPr>
        <w:lastRenderedPageBreak/>
        <w:fldChar w:fldCharType="end"/>
      </w:r>
    </w:p>
    <w:p w14:paraId="21AC778F" w14:textId="5AD80C16" w:rsidR="0098684A" w:rsidRDefault="00000000">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w:t>
      </w:r>
      <w:r w:rsidR="004646AC">
        <w:rPr>
          <w:rFonts w:ascii="Times New Roman" w:eastAsia="Times New Roman" w:hAnsi="Times New Roman" w:cs="Times New Roman"/>
          <w:b/>
          <w:sz w:val="24"/>
          <w:szCs w:val="24"/>
        </w:rPr>
        <w:t>l</w:t>
      </w:r>
      <w:r>
        <w:rPr>
          <w:rFonts w:ascii="Times New Roman" w:eastAsia="Times New Roman" w:hAnsi="Times New Roman" w:cs="Times New Roman"/>
          <w:b/>
          <w:sz w:val="24"/>
          <w:szCs w:val="24"/>
        </w:rPr>
        <w:t xml:space="preserve"> Figures</w:t>
      </w:r>
    </w:p>
    <w:p w14:paraId="707367E3"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t xml:space="preserve">Figure </w:t>
      </w:r>
      <w:r>
        <w:rPr>
          <w:rFonts w:ascii="Times New Roman" w:hAnsi="Times New Roman" w:cs="Times New Roman" w:hint="eastAsia"/>
          <w:b/>
          <w:sz w:val="24"/>
          <w:szCs w:val="24"/>
          <w:lang w:val="en-US"/>
        </w:rPr>
        <w:t>S1</w:t>
      </w:r>
      <w:r>
        <w:rPr>
          <w:rFonts w:ascii="Times New Roman" w:eastAsia="Times New Roman" w:hAnsi="Times New Roman" w:cs="Times New Roman"/>
          <w:b/>
          <w:sz w:val="24"/>
          <w:szCs w:val="24"/>
        </w:rPr>
        <w:t>. QQ plot for initial naive estimation of associations between voice F0/ΔF0 features and MDD.</w:t>
      </w:r>
    </w:p>
    <w:p w14:paraId="16655F7C" w14:textId="77777777" w:rsidR="0098684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37D45F33" wp14:editId="6955026A">
            <wp:extent cx="2879725" cy="2879725"/>
            <wp:effectExtent l="0" t="0" r="15875" b="15875"/>
            <wp:docPr id="10" name="image1.png"/>
            <wp:cNvGraphicFramePr/>
            <a:graphic xmlns:a="http://schemas.openxmlformats.org/drawingml/2006/main">
              <a:graphicData uri="http://schemas.openxmlformats.org/drawingml/2006/picture">
                <pic:pic xmlns:pic="http://schemas.openxmlformats.org/drawingml/2006/picture">
                  <pic:nvPicPr>
                    <pic:cNvPr id="10" name="image1.png"/>
                    <pic:cNvPicPr preferRelativeResize="0"/>
                  </pic:nvPicPr>
                  <pic:blipFill>
                    <a:blip r:embed="rId8"/>
                    <a:srcRect/>
                    <a:stretch>
                      <a:fillRect/>
                    </a:stretch>
                  </pic:blipFill>
                  <pic:spPr>
                    <a:xfrm>
                      <a:off x="0" y="0"/>
                      <a:ext cx="2879725" cy="2879725"/>
                    </a:xfrm>
                    <a:prstGeom prst="rect">
                      <a:avLst/>
                    </a:prstGeom>
                  </pic:spPr>
                </pic:pic>
              </a:graphicData>
            </a:graphic>
          </wp:inline>
        </w:drawing>
      </w:r>
    </w:p>
    <w:p w14:paraId="4A0CE0CD" w14:textId="77777777" w:rsidR="0098684A" w:rsidRDefault="0098684A">
      <w:pPr>
        <w:rPr>
          <w:rFonts w:ascii="Times New Roman" w:eastAsia="Times New Roman" w:hAnsi="Times New Roman" w:cs="Times New Roman"/>
          <w:b/>
          <w:sz w:val="24"/>
          <w:szCs w:val="24"/>
        </w:rPr>
      </w:pPr>
    </w:p>
    <w:p w14:paraId="6B19009F"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t xml:space="preserve">Figure </w:t>
      </w:r>
      <w:r>
        <w:rPr>
          <w:rFonts w:ascii="Times New Roman" w:hAnsi="Times New Roman" w:cs="Times New Roman" w:hint="eastAsia"/>
          <w:b/>
          <w:sz w:val="24"/>
          <w:szCs w:val="24"/>
          <w:lang w:val="en-US"/>
        </w:rPr>
        <w:t>S2.</w:t>
      </w:r>
      <w:r>
        <w:rPr>
          <w:rFonts w:ascii="Times New Roman" w:eastAsia="Times New Roman" w:hAnsi="Times New Roman" w:cs="Times New Roman"/>
          <w:b/>
          <w:sz w:val="24"/>
          <w:szCs w:val="24"/>
        </w:rPr>
        <w:t xml:space="preserve"> QQ plot for two-stage meta-analysis of associations between voice F0/ΔF0 features and MDD.</w:t>
      </w:r>
    </w:p>
    <w:p w14:paraId="7788DEE0" w14:textId="3CFD0E65" w:rsidR="0098684A" w:rsidRDefault="00000000" w:rsidP="00DF1C6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D4A8302" wp14:editId="2E90D026">
            <wp:extent cx="2879725" cy="2879725"/>
            <wp:effectExtent l="0" t="0" r="15875" b="15875"/>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9"/>
                    <a:srcRect/>
                    <a:stretch>
                      <a:fillRect/>
                    </a:stretch>
                  </pic:blipFill>
                  <pic:spPr>
                    <a:xfrm>
                      <a:off x="0" y="0"/>
                      <a:ext cx="2879725" cy="2879725"/>
                    </a:xfrm>
                    <a:prstGeom prst="rect">
                      <a:avLst/>
                    </a:prstGeom>
                  </pic:spPr>
                </pic:pic>
              </a:graphicData>
            </a:graphic>
          </wp:inline>
        </w:drawing>
      </w:r>
    </w:p>
    <w:p w14:paraId="6B776B60"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S3. The distribution of the ΔF0 features in CONVERGE.</w:t>
      </w:r>
    </w:p>
    <w:p w14:paraId="5F5F4466"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48E155B" wp14:editId="59D5E57A">
            <wp:extent cx="5943600" cy="66040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8" name="image15.png"/>
                    <pic:cNvPicPr preferRelativeResize="0"/>
                  </pic:nvPicPr>
                  <pic:blipFill>
                    <a:blip r:embed="rId10"/>
                    <a:srcRect/>
                    <a:stretch>
                      <a:fillRect/>
                    </a:stretch>
                  </pic:blipFill>
                  <pic:spPr>
                    <a:xfrm>
                      <a:off x="0" y="0"/>
                      <a:ext cx="5943600" cy="6604000"/>
                    </a:xfrm>
                    <a:prstGeom prst="rect">
                      <a:avLst/>
                    </a:prstGeom>
                  </pic:spPr>
                </pic:pic>
              </a:graphicData>
            </a:graphic>
          </wp:inline>
        </w:drawing>
      </w:r>
    </w:p>
    <w:p w14:paraId="64CFE6ED" w14:textId="77777777" w:rsidR="0098684A" w:rsidRDefault="0098684A">
      <w:pPr>
        <w:spacing w:line="480" w:lineRule="auto"/>
        <w:jc w:val="both"/>
        <w:rPr>
          <w:rFonts w:ascii="Times New Roman" w:eastAsia="Times New Roman" w:hAnsi="Times New Roman" w:cs="Times New Roman"/>
          <w:b/>
          <w:sz w:val="24"/>
          <w:szCs w:val="24"/>
        </w:rPr>
      </w:pPr>
    </w:p>
    <w:p w14:paraId="16DB0531"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sz w:val="24"/>
          <w:szCs w:val="24"/>
        </w:rPr>
        <w:br w:type="page"/>
      </w:r>
    </w:p>
    <w:p w14:paraId="6B62DC46"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S4. The distribution of the F0 features in CONVERGE.</w:t>
      </w:r>
    </w:p>
    <w:p w14:paraId="4AA96177"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DD1539B" wp14:editId="62815CCA">
            <wp:extent cx="5943600" cy="3302000"/>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7" name="image14.png"/>
                    <pic:cNvPicPr preferRelativeResize="0"/>
                  </pic:nvPicPr>
                  <pic:blipFill>
                    <a:blip r:embed="rId11"/>
                    <a:srcRect/>
                    <a:stretch>
                      <a:fillRect/>
                    </a:stretch>
                  </pic:blipFill>
                  <pic:spPr>
                    <a:xfrm>
                      <a:off x="0" y="0"/>
                      <a:ext cx="5943600" cy="3302000"/>
                    </a:xfrm>
                    <a:prstGeom prst="rect">
                      <a:avLst/>
                    </a:prstGeom>
                  </pic:spPr>
                </pic:pic>
              </a:graphicData>
            </a:graphic>
          </wp:inline>
        </w:drawing>
      </w:r>
    </w:p>
    <w:p w14:paraId="5F0CEB9E" w14:textId="77777777" w:rsidR="0098684A" w:rsidRDefault="0098684A">
      <w:pPr>
        <w:spacing w:line="480" w:lineRule="auto"/>
        <w:jc w:val="both"/>
        <w:rPr>
          <w:rFonts w:ascii="Times New Roman" w:eastAsia="Times New Roman" w:hAnsi="Times New Roman" w:cs="Times New Roman"/>
          <w:sz w:val="24"/>
          <w:szCs w:val="24"/>
        </w:rPr>
      </w:pPr>
    </w:p>
    <w:p w14:paraId="0DB800FE"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sz w:val="24"/>
          <w:szCs w:val="24"/>
        </w:rPr>
        <w:br w:type="page"/>
      </w:r>
    </w:p>
    <w:p w14:paraId="670AB5A9"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S</w:t>
      </w:r>
      <w:proofErr w:type="gramStart"/>
      <w:r>
        <w:rPr>
          <w:rFonts w:ascii="Times New Roman" w:eastAsia="Times New Roman" w:hAnsi="Times New Roman" w:cs="Times New Roman"/>
          <w:b/>
          <w:sz w:val="24"/>
          <w:szCs w:val="24"/>
        </w:rPr>
        <w:t>5  Manhattan</w:t>
      </w:r>
      <w:proofErr w:type="gramEnd"/>
      <w:r>
        <w:rPr>
          <w:rFonts w:ascii="Times New Roman" w:eastAsia="Times New Roman" w:hAnsi="Times New Roman" w:cs="Times New Roman"/>
          <w:b/>
          <w:sz w:val="24"/>
          <w:szCs w:val="24"/>
        </w:rPr>
        <w:t xml:space="preserve"> Plot for ΔF0_iqr1-3</w:t>
      </w:r>
    </w:p>
    <w:p w14:paraId="20E806BD"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7D19869" wp14:editId="5ED0C49E">
            <wp:extent cx="5943600" cy="19812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13" name="image11.png"/>
                    <pic:cNvPicPr preferRelativeResize="0"/>
                  </pic:nvPicPr>
                  <pic:blipFill>
                    <a:blip r:embed="rId12"/>
                    <a:srcRect/>
                    <a:stretch>
                      <a:fillRect/>
                    </a:stretch>
                  </pic:blipFill>
                  <pic:spPr>
                    <a:xfrm>
                      <a:off x="0" y="0"/>
                      <a:ext cx="5943600" cy="1981200"/>
                    </a:xfrm>
                    <a:prstGeom prst="rect">
                      <a:avLst/>
                    </a:prstGeom>
                  </pic:spPr>
                </pic:pic>
              </a:graphicData>
            </a:graphic>
          </wp:inline>
        </w:drawing>
      </w:r>
    </w:p>
    <w:p w14:paraId="00573B2F"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S6 QQ Plot for ΔF0_iqr1-</w:t>
      </w:r>
      <w:proofErr w:type="gramStart"/>
      <w:r>
        <w:rPr>
          <w:rFonts w:ascii="Times New Roman" w:eastAsia="Times New Roman" w:hAnsi="Times New Roman" w:cs="Times New Roman"/>
          <w:b/>
          <w:sz w:val="24"/>
          <w:szCs w:val="24"/>
        </w:rPr>
        <w:t>3</w:t>
      </w:r>
      <w:proofErr w:type="gramEnd"/>
    </w:p>
    <w:p w14:paraId="2D86283B" w14:textId="77777777" w:rsidR="0098684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A13BE63" wp14:editId="327B9F67">
            <wp:extent cx="4419600" cy="44196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6" name="image4.png"/>
                    <pic:cNvPicPr preferRelativeResize="0"/>
                  </pic:nvPicPr>
                  <pic:blipFill>
                    <a:blip r:embed="rId13"/>
                    <a:srcRect/>
                    <a:stretch>
                      <a:fillRect/>
                    </a:stretch>
                  </pic:blipFill>
                  <pic:spPr>
                    <a:xfrm>
                      <a:off x="0" y="0"/>
                      <a:ext cx="4419916" cy="4419916"/>
                    </a:xfrm>
                    <a:prstGeom prst="rect">
                      <a:avLst/>
                    </a:prstGeom>
                  </pic:spPr>
                </pic:pic>
              </a:graphicData>
            </a:graphic>
          </wp:inline>
        </w:drawing>
      </w:r>
    </w:p>
    <w:p w14:paraId="0EC23515" w14:textId="77777777" w:rsidR="0098684A" w:rsidRDefault="0098684A">
      <w:pPr>
        <w:spacing w:line="480" w:lineRule="auto"/>
        <w:jc w:val="both"/>
        <w:rPr>
          <w:rFonts w:ascii="Times New Roman" w:eastAsia="Times New Roman" w:hAnsi="Times New Roman" w:cs="Times New Roman"/>
          <w:b/>
          <w:sz w:val="24"/>
          <w:szCs w:val="24"/>
        </w:rPr>
      </w:pPr>
    </w:p>
    <w:p w14:paraId="4B7B19BB"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sz w:val="24"/>
          <w:szCs w:val="24"/>
        </w:rPr>
        <w:br w:type="page"/>
      </w:r>
    </w:p>
    <w:p w14:paraId="4C96F020"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S7 Manhattan Plot for F0_</w:t>
      </w:r>
      <w:proofErr w:type="gramStart"/>
      <w:r>
        <w:rPr>
          <w:rFonts w:ascii="Times New Roman" w:eastAsia="Times New Roman" w:hAnsi="Times New Roman" w:cs="Times New Roman"/>
          <w:b/>
          <w:sz w:val="24"/>
          <w:szCs w:val="24"/>
        </w:rPr>
        <w:t>kurtosis</w:t>
      </w:r>
      <w:proofErr w:type="gramEnd"/>
    </w:p>
    <w:p w14:paraId="5586E99E"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B9EF82D" wp14:editId="2CA3B44F">
            <wp:extent cx="5943600" cy="1981200"/>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14" name="image9.png"/>
                    <pic:cNvPicPr preferRelativeResize="0"/>
                  </pic:nvPicPr>
                  <pic:blipFill>
                    <a:blip r:embed="rId14"/>
                    <a:srcRect/>
                    <a:stretch>
                      <a:fillRect/>
                    </a:stretch>
                  </pic:blipFill>
                  <pic:spPr>
                    <a:xfrm>
                      <a:off x="0" y="0"/>
                      <a:ext cx="5943600" cy="1981200"/>
                    </a:xfrm>
                    <a:prstGeom prst="rect">
                      <a:avLst/>
                    </a:prstGeom>
                  </pic:spPr>
                </pic:pic>
              </a:graphicData>
            </a:graphic>
          </wp:inline>
        </w:drawing>
      </w:r>
    </w:p>
    <w:p w14:paraId="33BD451D"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S8 QQ Plot for F0_</w:t>
      </w:r>
      <w:proofErr w:type="gramStart"/>
      <w:r>
        <w:rPr>
          <w:rFonts w:ascii="Times New Roman" w:eastAsia="Times New Roman" w:hAnsi="Times New Roman" w:cs="Times New Roman"/>
          <w:b/>
          <w:sz w:val="24"/>
          <w:szCs w:val="24"/>
        </w:rPr>
        <w:t>kurtosis</w:t>
      </w:r>
      <w:proofErr w:type="gramEnd"/>
    </w:p>
    <w:p w14:paraId="7F1146E4" w14:textId="77777777" w:rsidR="0098684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F490C00" wp14:editId="505E128C">
            <wp:extent cx="4429125" cy="4429125"/>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2" name="image10.png"/>
                    <pic:cNvPicPr preferRelativeResize="0"/>
                  </pic:nvPicPr>
                  <pic:blipFill>
                    <a:blip r:embed="rId15"/>
                    <a:srcRect/>
                    <a:stretch>
                      <a:fillRect/>
                    </a:stretch>
                  </pic:blipFill>
                  <pic:spPr>
                    <a:xfrm>
                      <a:off x="0" y="0"/>
                      <a:ext cx="4429441" cy="4429441"/>
                    </a:xfrm>
                    <a:prstGeom prst="rect">
                      <a:avLst/>
                    </a:prstGeom>
                  </pic:spPr>
                </pic:pic>
              </a:graphicData>
            </a:graphic>
          </wp:inline>
        </w:drawing>
      </w:r>
    </w:p>
    <w:p w14:paraId="54D9A578" w14:textId="77777777" w:rsidR="0098684A" w:rsidRDefault="0098684A">
      <w:pPr>
        <w:spacing w:line="480" w:lineRule="auto"/>
        <w:jc w:val="both"/>
        <w:rPr>
          <w:rFonts w:ascii="Times New Roman" w:eastAsia="Times New Roman" w:hAnsi="Times New Roman" w:cs="Times New Roman"/>
          <w:b/>
          <w:sz w:val="24"/>
          <w:szCs w:val="24"/>
        </w:rPr>
      </w:pPr>
    </w:p>
    <w:p w14:paraId="3CADC42F"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sz w:val="24"/>
          <w:szCs w:val="24"/>
        </w:rPr>
        <w:br w:type="page"/>
      </w:r>
    </w:p>
    <w:p w14:paraId="714C25E0"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S9 Manhattan Plot for ΔF0_</w:t>
      </w:r>
      <w:proofErr w:type="gramStart"/>
      <w:r>
        <w:rPr>
          <w:rFonts w:ascii="Times New Roman" w:eastAsia="Times New Roman" w:hAnsi="Times New Roman" w:cs="Times New Roman"/>
          <w:b/>
          <w:sz w:val="24"/>
          <w:szCs w:val="24"/>
        </w:rPr>
        <w:t>kurtosis</w:t>
      </w:r>
      <w:proofErr w:type="gramEnd"/>
    </w:p>
    <w:p w14:paraId="1155E44F"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3FA67B1" wp14:editId="7868BB2D">
            <wp:extent cx="5943600" cy="19812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15" name="image7.png"/>
                    <pic:cNvPicPr preferRelativeResize="0"/>
                  </pic:nvPicPr>
                  <pic:blipFill>
                    <a:blip r:embed="rId16"/>
                    <a:srcRect/>
                    <a:stretch>
                      <a:fillRect/>
                    </a:stretch>
                  </pic:blipFill>
                  <pic:spPr>
                    <a:xfrm>
                      <a:off x="0" y="0"/>
                      <a:ext cx="5943600" cy="1981200"/>
                    </a:xfrm>
                    <a:prstGeom prst="rect">
                      <a:avLst/>
                    </a:prstGeom>
                  </pic:spPr>
                </pic:pic>
              </a:graphicData>
            </a:graphic>
          </wp:inline>
        </w:drawing>
      </w:r>
    </w:p>
    <w:p w14:paraId="27246DC3"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t xml:space="preserve">Figure </w:t>
      </w:r>
      <w:r>
        <w:rPr>
          <w:rFonts w:ascii="Times New Roman" w:hAnsi="Times New Roman" w:cs="Times New Roman" w:hint="eastAsia"/>
          <w:b/>
          <w:sz w:val="24"/>
          <w:szCs w:val="24"/>
          <w:lang w:val="en-US"/>
        </w:rPr>
        <w:t>S</w:t>
      </w:r>
      <w:r>
        <w:rPr>
          <w:rFonts w:ascii="Times New Roman" w:hAnsi="Times New Roman" w:cs="Times New Roman" w:hint="eastAsia"/>
          <w:b/>
          <w:sz w:val="24"/>
          <w:szCs w:val="24"/>
        </w:rPr>
        <w:t>1</w:t>
      </w:r>
      <w:r>
        <w:rPr>
          <w:rFonts w:ascii="Times New Roman" w:eastAsia="Times New Roman" w:hAnsi="Times New Roman" w:cs="Times New Roman"/>
          <w:b/>
          <w:sz w:val="24"/>
          <w:szCs w:val="24"/>
        </w:rPr>
        <w:t>0 QQ Plot for ΔF0_</w:t>
      </w:r>
      <w:proofErr w:type="gramStart"/>
      <w:r>
        <w:rPr>
          <w:rFonts w:ascii="Times New Roman" w:eastAsia="Times New Roman" w:hAnsi="Times New Roman" w:cs="Times New Roman"/>
          <w:b/>
          <w:sz w:val="24"/>
          <w:szCs w:val="24"/>
        </w:rPr>
        <w:t>kurtosis</w:t>
      </w:r>
      <w:proofErr w:type="gramEnd"/>
    </w:p>
    <w:p w14:paraId="3B939B1F" w14:textId="77777777" w:rsidR="0098684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64E1B14B" wp14:editId="415B8581">
            <wp:extent cx="4266565" cy="4266565"/>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9" name="image8.png"/>
                    <pic:cNvPicPr preferRelativeResize="0"/>
                  </pic:nvPicPr>
                  <pic:blipFill>
                    <a:blip r:embed="rId17"/>
                    <a:srcRect/>
                    <a:stretch>
                      <a:fillRect/>
                    </a:stretch>
                  </pic:blipFill>
                  <pic:spPr>
                    <a:xfrm>
                      <a:off x="0" y="0"/>
                      <a:ext cx="4266884" cy="4266884"/>
                    </a:xfrm>
                    <a:prstGeom prst="rect">
                      <a:avLst/>
                    </a:prstGeom>
                  </pic:spPr>
                </pic:pic>
              </a:graphicData>
            </a:graphic>
          </wp:inline>
        </w:drawing>
      </w:r>
    </w:p>
    <w:p w14:paraId="28B2C077"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sz w:val="24"/>
          <w:szCs w:val="24"/>
        </w:rPr>
        <w:br w:type="page"/>
      </w:r>
    </w:p>
    <w:p w14:paraId="6C8E64A7"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lastRenderedPageBreak/>
        <w:t xml:space="preserve">Figure </w:t>
      </w:r>
      <w:r>
        <w:rPr>
          <w:rFonts w:ascii="Times New Roman" w:hAnsi="Times New Roman" w:cs="Times New Roman" w:hint="eastAsia"/>
          <w:b/>
          <w:sz w:val="24"/>
          <w:szCs w:val="24"/>
          <w:lang w:val="en-US"/>
        </w:rPr>
        <w:t>S</w:t>
      </w:r>
      <w:r>
        <w:rPr>
          <w:rFonts w:ascii="Times New Roman" w:hAnsi="Times New Roman" w:cs="Times New Roman" w:hint="eastAsia"/>
          <w:b/>
          <w:sz w:val="24"/>
          <w:szCs w:val="24"/>
        </w:rPr>
        <w:t>1</w:t>
      </w:r>
      <w:r>
        <w:rPr>
          <w:rFonts w:ascii="Times New Roman" w:eastAsia="Times New Roman" w:hAnsi="Times New Roman" w:cs="Times New Roman"/>
          <w:b/>
          <w:sz w:val="24"/>
          <w:szCs w:val="24"/>
        </w:rPr>
        <w:t>1 Manhattan Plot for ΔF0_percentile99.0</w:t>
      </w:r>
    </w:p>
    <w:p w14:paraId="2DB84930"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6F1D77FB" wp14:editId="5890DB62">
            <wp:extent cx="5943600" cy="19812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11" name="image5.png"/>
                    <pic:cNvPicPr preferRelativeResize="0"/>
                  </pic:nvPicPr>
                  <pic:blipFill>
                    <a:blip r:embed="rId18"/>
                    <a:srcRect/>
                    <a:stretch>
                      <a:fillRect/>
                    </a:stretch>
                  </pic:blipFill>
                  <pic:spPr>
                    <a:xfrm>
                      <a:off x="0" y="0"/>
                      <a:ext cx="5943600" cy="1981200"/>
                    </a:xfrm>
                    <a:prstGeom prst="rect">
                      <a:avLst/>
                    </a:prstGeom>
                  </pic:spPr>
                </pic:pic>
              </a:graphicData>
            </a:graphic>
          </wp:inline>
        </w:drawing>
      </w:r>
    </w:p>
    <w:p w14:paraId="11DC8D48" w14:textId="77777777" w:rsidR="0098684A" w:rsidRDefault="0098684A">
      <w:pPr>
        <w:spacing w:line="480" w:lineRule="auto"/>
        <w:jc w:val="both"/>
        <w:rPr>
          <w:rFonts w:ascii="Times New Roman" w:eastAsia="Times New Roman" w:hAnsi="Times New Roman" w:cs="Times New Roman"/>
          <w:b/>
          <w:sz w:val="24"/>
          <w:szCs w:val="24"/>
        </w:rPr>
      </w:pPr>
    </w:p>
    <w:p w14:paraId="5524CAA3"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t xml:space="preserve">Figure </w:t>
      </w:r>
      <w:r>
        <w:rPr>
          <w:rFonts w:ascii="Times New Roman" w:hAnsi="Times New Roman" w:cs="Times New Roman" w:hint="eastAsia"/>
          <w:b/>
          <w:sz w:val="24"/>
          <w:szCs w:val="24"/>
          <w:lang w:val="en-US"/>
        </w:rPr>
        <w:t>S</w:t>
      </w:r>
      <w:r>
        <w:rPr>
          <w:rFonts w:ascii="Times New Roman" w:hAnsi="Times New Roman" w:cs="Times New Roman" w:hint="eastAsia"/>
          <w:b/>
          <w:sz w:val="24"/>
          <w:szCs w:val="24"/>
        </w:rPr>
        <w:t>1</w:t>
      </w:r>
      <w:r>
        <w:rPr>
          <w:rFonts w:ascii="Times New Roman" w:eastAsia="Times New Roman" w:hAnsi="Times New Roman" w:cs="Times New Roman"/>
          <w:b/>
          <w:sz w:val="24"/>
          <w:szCs w:val="24"/>
        </w:rPr>
        <w:t>2 QQ Plot forΔF0_percentile99.0</w:t>
      </w:r>
    </w:p>
    <w:p w14:paraId="7F7EB3FD" w14:textId="77777777" w:rsidR="0098684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83D1A8A" wp14:editId="6B2FF519">
            <wp:extent cx="4029075" cy="402907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19"/>
                    <a:srcRect/>
                    <a:stretch>
                      <a:fillRect/>
                    </a:stretch>
                  </pic:blipFill>
                  <pic:spPr>
                    <a:xfrm>
                      <a:off x="0" y="0"/>
                      <a:ext cx="4029075" cy="4029075"/>
                    </a:xfrm>
                    <a:prstGeom prst="rect">
                      <a:avLst/>
                    </a:prstGeom>
                  </pic:spPr>
                </pic:pic>
              </a:graphicData>
            </a:graphic>
          </wp:inline>
        </w:drawing>
      </w:r>
    </w:p>
    <w:p w14:paraId="3ACBFCE0" w14:textId="77777777" w:rsidR="0098684A" w:rsidRDefault="0098684A">
      <w:pPr>
        <w:spacing w:line="480" w:lineRule="auto"/>
        <w:jc w:val="center"/>
        <w:rPr>
          <w:rFonts w:ascii="Times New Roman" w:eastAsia="Times New Roman" w:hAnsi="Times New Roman" w:cs="Times New Roman"/>
          <w:b/>
          <w:sz w:val="24"/>
          <w:szCs w:val="24"/>
        </w:rPr>
      </w:pPr>
    </w:p>
    <w:p w14:paraId="3EB102E7"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sz w:val="24"/>
          <w:szCs w:val="24"/>
        </w:rPr>
        <w:br w:type="page"/>
      </w:r>
    </w:p>
    <w:p w14:paraId="27C9367B"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lastRenderedPageBreak/>
        <w:t xml:space="preserve">Figure </w:t>
      </w:r>
      <w:r>
        <w:rPr>
          <w:rFonts w:ascii="Times New Roman" w:hAnsi="Times New Roman" w:cs="Times New Roman" w:hint="eastAsia"/>
          <w:b/>
          <w:sz w:val="24"/>
          <w:szCs w:val="24"/>
          <w:lang w:val="en-US"/>
        </w:rPr>
        <w:t>S</w:t>
      </w:r>
      <w:r>
        <w:rPr>
          <w:rFonts w:ascii="Times New Roman" w:hAnsi="Times New Roman" w:cs="Times New Roman" w:hint="eastAsia"/>
          <w:b/>
          <w:sz w:val="24"/>
          <w:szCs w:val="24"/>
        </w:rPr>
        <w:t>1</w:t>
      </w:r>
      <w:r>
        <w:rPr>
          <w:rFonts w:ascii="Times New Roman" w:eastAsia="Times New Roman" w:hAnsi="Times New Roman" w:cs="Times New Roman"/>
          <w:b/>
          <w:sz w:val="24"/>
          <w:szCs w:val="24"/>
        </w:rPr>
        <w:t>3 The distribution of Symptom Checklist scores.</w:t>
      </w:r>
    </w:p>
    <w:p w14:paraId="6D3BC900"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9DABF89" wp14:editId="47F2C38F">
            <wp:extent cx="5943600" cy="29718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5" name="image12.png"/>
                    <pic:cNvPicPr preferRelativeResize="0"/>
                  </pic:nvPicPr>
                  <pic:blipFill>
                    <a:blip r:embed="rId20"/>
                    <a:srcRect/>
                    <a:stretch>
                      <a:fillRect/>
                    </a:stretch>
                  </pic:blipFill>
                  <pic:spPr>
                    <a:xfrm>
                      <a:off x="0" y="0"/>
                      <a:ext cx="5943600" cy="2971800"/>
                    </a:xfrm>
                    <a:prstGeom prst="rect">
                      <a:avLst/>
                    </a:prstGeom>
                  </pic:spPr>
                </pic:pic>
              </a:graphicData>
            </a:graphic>
          </wp:inline>
        </w:drawing>
      </w:r>
    </w:p>
    <w:p w14:paraId="299AE74F" w14:textId="77777777" w:rsidR="0098684A" w:rsidRDefault="0098684A">
      <w:pPr>
        <w:spacing w:line="480" w:lineRule="auto"/>
        <w:jc w:val="both"/>
        <w:rPr>
          <w:rFonts w:ascii="Times New Roman" w:hAnsi="Times New Roman" w:cs="Times New Roman"/>
          <w:b/>
          <w:sz w:val="24"/>
          <w:szCs w:val="24"/>
        </w:rPr>
      </w:pPr>
    </w:p>
    <w:p w14:paraId="36A8812A"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t xml:space="preserve">Figure </w:t>
      </w:r>
      <w:r>
        <w:rPr>
          <w:rFonts w:ascii="Times New Roman" w:hAnsi="Times New Roman" w:cs="Times New Roman" w:hint="eastAsia"/>
          <w:b/>
          <w:sz w:val="24"/>
          <w:szCs w:val="24"/>
          <w:lang w:val="en-US"/>
        </w:rPr>
        <w:t>S</w:t>
      </w:r>
      <w:r>
        <w:rPr>
          <w:rFonts w:ascii="Times New Roman" w:hAnsi="Times New Roman" w:cs="Times New Roman" w:hint="eastAsia"/>
          <w:b/>
          <w:sz w:val="24"/>
          <w:szCs w:val="24"/>
        </w:rPr>
        <w:t>1</w:t>
      </w:r>
      <w:r>
        <w:rPr>
          <w:rFonts w:ascii="Times New Roman" w:eastAsia="Times New Roman" w:hAnsi="Times New Roman" w:cs="Times New Roman"/>
          <w:b/>
          <w:sz w:val="24"/>
          <w:szCs w:val="24"/>
        </w:rPr>
        <w:t>4. Classification performance with different maximum durations of segments.</w:t>
      </w:r>
    </w:p>
    <w:p w14:paraId="796FFC53"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noProof/>
          <w:sz w:val="24"/>
          <w:szCs w:val="24"/>
        </w:rPr>
        <w:drawing>
          <wp:inline distT="0" distB="0" distL="0" distR="0" wp14:anchorId="47452827" wp14:editId="43224CE4">
            <wp:extent cx="5943600" cy="3566160"/>
            <wp:effectExtent l="0" t="0" r="0" b="2540"/>
            <wp:docPr id="1378704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04714" name="Picture 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br w:type="page"/>
      </w:r>
    </w:p>
    <w:p w14:paraId="582FF4B6" w14:textId="77777777" w:rsidR="0098684A" w:rsidRDefault="0098684A">
      <w:pPr>
        <w:spacing w:line="480" w:lineRule="auto"/>
        <w:jc w:val="center"/>
        <w:rPr>
          <w:rFonts w:ascii="Times New Roman" w:eastAsia="Times New Roman" w:hAnsi="Times New Roman" w:cs="Times New Roman"/>
          <w:b/>
          <w:sz w:val="24"/>
          <w:szCs w:val="24"/>
        </w:rPr>
      </w:pPr>
    </w:p>
    <w:p w14:paraId="42CBCDFF" w14:textId="77777777" w:rsidR="0098684A" w:rsidRDefault="00000000">
      <w:pPr>
        <w:spacing w:line="480" w:lineRule="auto"/>
        <w:jc w:val="both"/>
        <w:rPr>
          <w:rFonts w:ascii="Times New Roman" w:eastAsia="Times New Roman" w:hAnsi="Times New Roman" w:cs="Times New Roman"/>
          <w:b/>
          <w:sz w:val="24"/>
          <w:szCs w:val="24"/>
        </w:rPr>
      </w:pPr>
      <w:r>
        <w:rPr>
          <w:rFonts w:ascii="Times New Roman" w:hAnsi="Times New Roman" w:cs="Times New Roman" w:hint="eastAsia"/>
          <w:b/>
          <w:sz w:val="24"/>
          <w:szCs w:val="24"/>
        </w:rPr>
        <w:t>Figure S15</w:t>
      </w:r>
      <w:r>
        <w:rPr>
          <w:rFonts w:ascii="Times New Roman" w:eastAsia="Times New Roman" w:hAnsi="Times New Roman" w:cs="Times New Roman"/>
          <w:b/>
          <w:sz w:val="24"/>
          <w:szCs w:val="24"/>
        </w:rPr>
        <w:t>. Estimated beta coefficients with 95% confidence interval from associations between 16 voice F0/ΔF0 features and MDD. Estimations were conducted using the two-stage meta-analysis method on four corpora: CONVERGE, replication, single-segment about weight (D10) from replication, and single-segment about birthday (D2.A) from replication.</w:t>
      </w:r>
    </w:p>
    <w:p w14:paraId="1FAA8E59" w14:textId="77777777"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5EC8FD0" wp14:editId="2F55CEE5">
            <wp:extent cx="5943600" cy="4457700"/>
            <wp:effectExtent l="0" t="0" r="0" b="0"/>
            <wp:docPr id="1017379945" name="Picture 1017379945"/>
            <wp:cNvGraphicFramePr/>
            <a:graphic xmlns:a="http://schemas.openxmlformats.org/drawingml/2006/main">
              <a:graphicData uri="http://schemas.openxmlformats.org/drawingml/2006/picture">
                <pic:pic xmlns:pic="http://schemas.openxmlformats.org/drawingml/2006/picture">
                  <pic:nvPicPr>
                    <pic:cNvPr id="1017379945" name="Picture 1017379945"/>
                    <pic:cNvPicPr preferRelativeResize="0"/>
                  </pic:nvPicPr>
                  <pic:blipFill>
                    <a:blip r:embed="rId22"/>
                    <a:srcRect/>
                    <a:stretch>
                      <a:fillRect/>
                    </a:stretch>
                  </pic:blipFill>
                  <pic:spPr>
                    <a:xfrm>
                      <a:off x="0" y="0"/>
                      <a:ext cx="5943600" cy="4457700"/>
                    </a:xfrm>
                    <a:prstGeom prst="rect">
                      <a:avLst/>
                    </a:prstGeom>
                  </pic:spPr>
                </pic:pic>
              </a:graphicData>
            </a:graphic>
          </wp:inline>
        </w:drawing>
      </w:r>
    </w:p>
    <w:p w14:paraId="6D23B695" w14:textId="77777777" w:rsidR="0098684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E20728F" w14:textId="77777777" w:rsidR="0098684A" w:rsidRDefault="00000000">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Figure S</w:t>
      </w:r>
      <w:r>
        <w:rPr>
          <w:rFonts w:ascii="Times New Roman" w:hAnsi="Times New Roman" w:cs="Times New Roman" w:hint="eastAsia"/>
          <w:b/>
          <w:sz w:val="24"/>
          <w:szCs w:val="24"/>
          <w:lang w:val="en-US"/>
        </w:rPr>
        <w:t>16</w:t>
      </w:r>
      <w:r>
        <w:rPr>
          <w:rFonts w:ascii="Times New Roman" w:eastAsia="Times New Roman" w:hAnsi="Times New Roman" w:cs="Times New Roman"/>
          <w:b/>
          <w:sz w:val="24"/>
          <w:szCs w:val="24"/>
        </w:rPr>
        <w:t xml:space="preserve">. Heatmap of the correlation </w:t>
      </w:r>
      <w:proofErr w:type="spellStart"/>
      <w:r>
        <w:rPr>
          <w:rFonts w:ascii="Times New Roman" w:eastAsia="Times New Roman" w:hAnsi="Times New Roman" w:cs="Times New Roman"/>
          <w:b/>
          <w:sz w:val="24"/>
          <w:szCs w:val="24"/>
        </w:rPr>
        <w:t>r-values</w:t>
      </w:r>
      <w:proofErr w:type="spellEnd"/>
      <w:r>
        <w:rPr>
          <w:rFonts w:ascii="Times New Roman" w:eastAsia="Times New Roman" w:hAnsi="Times New Roman" w:cs="Times New Roman"/>
          <w:b/>
          <w:sz w:val="24"/>
          <w:szCs w:val="24"/>
        </w:rPr>
        <w:t xml:space="preserve"> between the leading features and excluded features.</w:t>
      </w:r>
      <w:r>
        <w:rPr>
          <w:rFonts w:ascii="Times New Roman" w:eastAsia="Times New Roman" w:hAnsi="Times New Roman" w:cs="Times New Roman"/>
          <w:bCs/>
          <w:sz w:val="24"/>
          <w:szCs w:val="24"/>
        </w:rPr>
        <w:t xml:space="preserve"> The x-axis is the 52 excluded voice features because of their high correlation with the 30 leading features (y-axis).</w:t>
      </w:r>
    </w:p>
    <w:p w14:paraId="0DD7982B" w14:textId="77777777" w:rsidR="0098684A"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09EEE0BD" wp14:editId="2C307952">
            <wp:extent cx="5943600" cy="3562350"/>
            <wp:effectExtent l="0" t="0" r="0" b="0"/>
            <wp:docPr id="159124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41990"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562350"/>
                    </a:xfrm>
                    <a:prstGeom prst="rect">
                      <a:avLst/>
                    </a:prstGeom>
                  </pic:spPr>
                </pic:pic>
              </a:graphicData>
            </a:graphic>
          </wp:inline>
        </w:drawing>
      </w:r>
    </w:p>
    <w:p w14:paraId="22F55049" w14:textId="77777777" w:rsidR="0098684A" w:rsidRDefault="0098684A">
      <w:pPr>
        <w:spacing w:line="480" w:lineRule="auto"/>
        <w:jc w:val="both"/>
        <w:rPr>
          <w:rFonts w:ascii="Times New Roman" w:eastAsia="Times New Roman" w:hAnsi="Times New Roman" w:cs="Times New Roman"/>
          <w:i/>
          <w:sz w:val="24"/>
          <w:szCs w:val="24"/>
        </w:rPr>
      </w:pPr>
    </w:p>
    <w:p w14:paraId="3815CFDF" w14:textId="77777777" w:rsidR="0098684A" w:rsidRDefault="0098684A">
      <w:pPr>
        <w:widowControl w:val="0"/>
        <w:rPr>
          <w:rFonts w:ascii="Times New Roman" w:eastAsia="Times New Roman" w:hAnsi="Times New Roman" w:cs="Times New Roman"/>
          <w:i/>
          <w:sz w:val="24"/>
          <w:szCs w:val="24"/>
        </w:rPr>
      </w:pPr>
    </w:p>
    <w:sectPr w:rsidR="0098684A">
      <w:footerReference w:type="even" r:id="rId24"/>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46F76" w14:textId="77777777" w:rsidR="00557F81" w:rsidRDefault="00557F81">
      <w:pPr>
        <w:spacing w:line="240" w:lineRule="auto"/>
      </w:pPr>
      <w:r>
        <w:separator/>
      </w:r>
    </w:p>
  </w:endnote>
  <w:endnote w:type="continuationSeparator" w:id="0">
    <w:p w14:paraId="08EFCD37" w14:textId="77777777" w:rsidR="00557F81" w:rsidRDefault="00557F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760798"/>
      <w:docPartObj>
        <w:docPartGallery w:val="AutoText"/>
      </w:docPartObj>
    </w:sdtPr>
    <w:sdtContent>
      <w:p w14:paraId="4A9169C4" w14:textId="77777777" w:rsidR="0098684A" w:rsidRDefault="0000000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9350A1" w14:textId="77777777" w:rsidR="0098684A" w:rsidRDefault="009868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69782"/>
      <w:docPartObj>
        <w:docPartGallery w:val="AutoText"/>
      </w:docPartObj>
    </w:sdtPr>
    <w:sdtContent>
      <w:p w14:paraId="1AF07816" w14:textId="77777777" w:rsidR="0098684A" w:rsidRDefault="0000000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63B9586" w14:textId="77777777" w:rsidR="0098684A" w:rsidRDefault="009868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33BF5" w14:textId="77777777" w:rsidR="00557F81" w:rsidRDefault="00557F81">
      <w:r>
        <w:separator/>
      </w:r>
    </w:p>
  </w:footnote>
  <w:footnote w:type="continuationSeparator" w:id="0">
    <w:p w14:paraId="1BA5DA63" w14:textId="77777777" w:rsidR="00557F81" w:rsidRDefault="00557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93240"/>
    <w:multiLevelType w:val="multilevel"/>
    <w:tmpl w:val="35793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3E277D"/>
    <w:multiLevelType w:val="multilevel"/>
    <w:tmpl w:val="3A3E277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14578626">
    <w:abstractNumId w:val="0"/>
  </w:num>
  <w:num w:numId="2" w16cid:durableId="1565212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U4YjMxNDMwMTcxZWVjMjljZDZmNGEyYmQ0NjlkMGYifQ=="/>
  </w:docVars>
  <w:rsids>
    <w:rsidRoot w:val="006C663C"/>
    <w:rsid w:val="000072E3"/>
    <w:rsid w:val="000078DB"/>
    <w:rsid w:val="000264CA"/>
    <w:rsid w:val="00077B92"/>
    <w:rsid w:val="0009466E"/>
    <w:rsid w:val="0009790E"/>
    <w:rsid w:val="000A307E"/>
    <w:rsid w:val="001373C8"/>
    <w:rsid w:val="00192781"/>
    <w:rsid w:val="00192D9A"/>
    <w:rsid w:val="001D43C5"/>
    <w:rsid w:val="001F5557"/>
    <w:rsid w:val="001F6DED"/>
    <w:rsid w:val="00213C43"/>
    <w:rsid w:val="00213F6C"/>
    <w:rsid w:val="00242C8A"/>
    <w:rsid w:val="00264815"/>
    <w:rsid w:val="002A4557"/>
    <w:rsid w:val="002D1F71"/>
    <w:rsid w:val="002F1EB2"/>
    <w:rsid w:val="003129EF"/>
    <w:rsid w:val="00330139"/>
    <w:rsid w:val="00343CD8"/>
    <w:rsid w:val="0035363A"/>
    <w:rsid w:val="00383D5A"/>
    <w:rsid w:val="00394C2A"/>
    <w:rsid w:val="003B2F09"/>
    <w:rsid w:val="003C10A0"/>
    <w:rsid w:val="003F119A"/>
    <w:rsid w:val="00404185"/>
    <w:rsid w:val="00424A51"/>
    <w:rsid w:val="004507CE"/>
    <w:rsid w:val="00451A4A"/>
    <w:rsid w:val="00463AB9"/>
    <w:rsid w:val="004646AC"/>
    <w:rsid w:val="004C096A"/>
    <w:rsid w:val="004E6445"/>
    <w:rsid w:val="004F6E62"/>
    <w:rsid w:val="00532276"/>
    <w:rsid w:val="00546D54"/>
    <w:rsid w:val="00557F81"/>
    <w:rsid w:val="0056113A"/>
    <w:rsid w:val="005A78CB"/>
    <w:rsid w:val="005F7743"/>
    <w:rsid w:val="0061141B"/>
    <w:rsid w:val="0061625A"/>
    <w:rsid w:val="00621C09"/>
    <w:rsid w:val="00666F1B"/>
    <w:rsid w:val="006B4E89"/>
    <w:rsid w:val="006B7D02"/>
    <w:rsid w:val="006C663C"/>
    <w:rsid w:val="006E212E"/>
    <w:rsid w:val="006E2404"/>
    <w:rsid w:val="006F4EF0"/>
    <w:rsid w:val="00741026"/>
    <w:rsid w:val="007646DA"/>
    <w:rsid w:val="00777A08"/>
    <w:rsid w:val="0079242B"/>
    <w:rsid w:val="007A0976"/>
    <w:rsid w:val="007B6E7D"/>
    <w:rsid w:val="007C0FEC"/>
    <w:rsid w:val="007D1B39"/>
    <w:rsid w:val="007D4D8C"/>
    <w:rsid w:val="007F1BEF"/>
    <w:rsid w:val="007F2E73"/>
    <w:rsid w:val="0083472C"/>
    <w:rsid w:val="00845749"/>
    <w:rsid w:val="00856108"/>
    <w:rsid w:val="008570A9"/>
    <w:rsid w:val="00857863"/>
    <w:rsid w:val="00877241"/>
    <w:rsid w:val="0088699E"/>
    <w:rsid w:val="00897094"/>
    <w:rsid w:val="008A1DE5"/>
    <w:rsid w:val="008C5637"/>
    <w:rsid w:val="00904237"/>
    <w:rsid w:val="0090647E"/>
    <w:rsid w:val="009616EA"/>
    <w:rsid w:val="0098684A"/>
    <w:rsid w:val="009D5DCE"/>
    <w:rsid w:val="00A239EA"/>
    <w:rsid w:val="00A43FFE"/>
    <w:rsid w:val="00A44724"/>
    <w:rsid w:val="00A6109E"/>
    <w:rsid w:val="00A878E4"/>
    <w:rsid w:val="00A925C0"/>
    <w:rsid w:val="00AE6D4A"/>
    <w:rsid w:val="00B010B6"/>
    <w:rsid w:val="00B11E08"/>
    <w:rsid w:val="00B324C3"/>
    <w:rsid w:val="00B60B6A"/>
    <w:rsid w:val="00B7022F"/>
    <w:rsid w:val="00B836B2"/>
    <w:rsid w:val="00BA317E"/>
    <w:rsid w:val="00BB7316"/>
    <w:rsid w:val="00BC7309"/>
    <w:rsid w:val="00BE29E9"/>
    <w:rsid w:val="00BF1736"/>
    <w:rsid w:val="00C45066"/>
    <w:rsid w:val="00C46F2E"/>
    <w:rsid w:val="00C6600B"/>
    <w:rsid w:val="00CA3B20"/>
    <w:rsid w:val="00CC01DF"/>
    <w:rsid w:val="00CC4A2F"/>
    <w:rsid w:val="00CD31DA"/>
    <w:rsid w:val="00CD7809"/>
    <w:rsid w:val="00CF0DFC"/>
    <w:rsid w:val="00D06309"/>
    <w:rsid w:val="00D47D95"/>
    <w:rsid w:val="00D531EF"/>
    <w:rsid w:val="00D57282"/>
    <w:rsid w:val="00D70C00"/>
    <w:rsid w:val="00D71690"/>
    <w:rsid w:val="00D83714"/>
    <w:rsid w:val="00D93D76"/>
    <w:rsid w:val="00DD07F9"/>
    <w:rsid w:val="00DF1C66"/>
    <w:rsid w:val="00DF6B95"/>
    <w:rsid w:val="00E13896"/>
    <w:rsid w:val="00E447C8"/>
    <w:rsid w:val="00E909B8"/>
    <w:rsid w:val="00EE11AE"/>
    <w:rsid w:val="00EE4D65"/>
    <w:rsid w:val="00EF0329"/>
    <w:rsid w:val="00F010E4"/>
    <w:rsid w:val="00F4226D"/>
    <w:rsid w:val="00F44F3F"/>
    <w:rsid w:val="00F46BF2"/>
    <w:rsid w:val="00F64EA5"/>
    <w:rsid w:val="00F85D84"/>
    <w:rsid w:val="00FA5ED9"/>
    <w:rsid w:val="00FB23FF"/>
    <w:rsid w:val="19732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F966012"/>
  <w15:docId w15:val="{2FEB8724-B58B-6744-A2A6-85102660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n"/>
    </w:rPr>
  </w:style>
  <w:style w:type="paragraph" w:styleId="Heading1">
    <w:name w:val="heading 1"/>
    <w:basedOn w:val="Normal"/>
    <w:next w:val="Normal"/>
    <w:autoRedefine/>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autoRedefine/>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Subtitle">
    <w:name w:val="Subtitle"/>
    <w:basedOn w:val="Normal"/>
    <w:next w:val="Normal"/>
    <w:autoRedefine/>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character" w:styleId="PageNumber">
    <w:name w:val="page number"/>
    <w:basedOn w:val="DefaultParagraphFont"/>
    <w:autoRedefine/>
    <w:uiPriority w:val="99"/>
    <w:semiHidden/>
    <w:unhideWhenUsed/>
  </w:style>
  <w:style w:type="character" w:styleId="CommentReference">
    <w:name w:val="annotation reference"/>
    <w:basedOn w:val="DefaultParagraphFont"/>
    <w:autoRedefine/>
    <w:uiPriority w:val="99"/>
    <w:semiHidden/>
    <w:unhideWhenUsed/>
    <w:rPr>
      <w:sz w:val="16"/>
      <w:szCs w:val="16"/>
    </w:rPr>
  </w:style>
  <w:style w:type="paragraph" w:customStyle="1" w:styleId="Bibliography1">
    <w:name w:val="Bibliography1"/>
    <w:basedOn w:val="Normal"/>
    <w:next w:val="Normal"/>
    <w:uiPriority w:val="37"/>
    <w:unhideWhenUsed/>
    <w:pPr>
      <w:tabs>
        <w:tab w:val="left" w:pos="380"/>
      </w:tabs>
      <w:spacing w:after="240" w:line="240" w:lineRule="auto"/>
      <w:ind w:left="384" w:hanging="384"/>
    </w:pPr>
  </w:style>
  <w:style w:type="character" w:customStyle="1" w:styleId="CommentTextChar">
    <w:name w:val="Comment Text Char"/>
    <w:basedOn w:val="DefaultParagraphFont"/>
    <w:link w:val="CommentText"/>
    <w:uiPriority w:val="99"/>
    <w:semiHidden/>
    <w:rPr>
      <w:sz w:val="20"/>
      <w:szCs w:val="20"/>
    </w:rPr>
  </w:style>
  <w:style w:type="paragraph" w:customStyle="1" w:styleId="Revision1">
    <w:name w:val="Revision1"/>
    <w:hidden/>
    <w:uiPriority w:val="99"/>
    <w:semiHidden/>
    <w:rPr>
      <w:sz w:val="22"/>
      <w:szCs w:val="22"/>
      <w:lang w:val="en"/>
    </w:r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rPr>
      <w:sz w:val="24"/>
      <w:szCs w:val="24"/>
      <w:lang w:eastAsia="en-US"/>
    </w:rPr>
  </w:style>
  <w:style w:type="character" w:styleId="PlaceholderText">
    <w:name w:val="Placeholder Text"/>
    <w:basedOn w:val="DefaultParagraphFont"/>
    <w:autoRedefine/>
    <w:uiPriority w:val="99"/>
    <w:semiHidden/>
    <w:qFormat/>
    <w:rPr>
      <w:color w:val="666666"/>
    </w:rPr>
  </w:style>
  <w:style w:type="paragraph" w:styleId="Bibliography">
    <w:name w:val="Bibliography"/>
    <w:basedOn w:val="Normal"/>
    <w:next w:val="Normal"/>
    <w:uiPriority w:val="37"/>
    <w:unhideWhenUsed/>
    <w:rsid w:val="00DF1C66"/>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C82AE-5C6B-6A4B-AF98-AEE45714F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4443</Words>
  <Characters>25018</Characters>
  <Application>Microsoft Office Word</Application>
  <DocSecurity>0</DocSecurity>
  <Lines>595</Lines>
  <Paragraphs>263</Paragraphs>
  <ScaleCrop>false</ScaleCrop>
  <Company/>
  <LinksUpToDate>false</LinksUpToDate>
  <CharactersWithSpaces>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i9-1</dc:creator>
  <cp:lastModifiedBy>Yazheng Di</cp:lastModifiedBy>
  <cp:revision>16</cp:revision>
  <cp:lastPrinted>2023-11-28T12:38:00Z</cp:lastPrinted>
  <dcterms:created xsi:type="dcterms:W3CDTF">2024-02-29T02:09:00Z</dcterms:created>
  <dcterms:modified xsi:type="dcterms:W3CDTF">2024-03-20T03:46:00Z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{"style":{"styleID":"http://www.zotero.org/styles/nature","hasBibliography":true,"bibliographyStyleHasBeenSet":true},"prefs":{"fieldType":"Field","automaticJournalAbbreviations":true,"delayCitationUpdates":false,"noteType":0},"sessionID":"ZcU0icQr","zoter</vt:lpwstr>
  </property>
  <property fmtid="{D5CDD505-2E9C-101B-9397-08002B2CF9AE}" pid="3" name="ZOTERO_PREF_2">
    <vt:lpwstr>oVersion":"6.0.35","dataVersion":4}</vt:lpwstr>
  </property>
  <property fmtid="{D5CDD505-2E9C-101B-9397-08002B2CF9AE}" pid="4" name="KSOProductBuildVer">
    <vt:lpwstr>2052-12.1.0.16412</vt:lpwstr>
  </property>
  <property fmtid="{D5CDD505-2E9C-101B-9397-08002B2CF9AE}" pid="5" name="ICV">
    <vt:lpwstr>0DB3D097AC4C4DF0B4B0C827706A646A_12</vt:lpwstr>
  </property>
</Properties>
</file>