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1A9" w:rsidRDefault="008F5079" w:rsidP="002B71A9">
      <w:pPr>
        <w:pStyle w:val="Normal1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8F5079">
        <w:rPr>
          <w:rFonts w:ascii="Times New Roman" w:hAnsi="Times New Roman" w:cs="Times New Roman"/>
          <w:b/>
          <w:sz w:val="28"/>
          <w:szCs w:val="28"/>
        </w:rPr>
        <w:t>Supplementary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71A9">
        <w:rPr>
          <w:rFonts w:ascii="Times New Roman" w:hAnsi="Times New Roman" w:cs="Times New Roman"/>
          <w:b/>
          <w:sz w:val="28"/>
          <w:szCs w:val="28"/>
        </w:rPr>
        <w:t>Figure Legends</w:t>
      </w:r>
    </w:p>
    <w:p w:rsidR="002B71A9" w:rsidRDefault="002B71A9" w:rsidP="002B71A9">
      <w:pPr>
        <w:pStyle w:val="Normal1"/>
        <w:spacing w:line="480" w:lineRule="auto"/>
        <w:ind w:left="720" w:hanging="72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Supplementary Figure 1:  Direct acyclic graph (DAG) for the association between </w:t>
      </w:r>
    </w:p>
    <w:p w:rsidR="002B71A9" w:rsidRDefault="002B71A9" w:rsidP="002B71A9">
      <w:pPr>
        <w:pStyle w:val="Normal1"/>
        <w:spacing w:line="480" w:lineRule="auto"/>
        <w:ind w:left="720" w:hanging="720"/>
        <w:rPr>
          <w:rFonts w:ascii="Times New Roman" w:hAnsi="Times New Roman" w:cs="Times New Roman"/>
          <w:bCs/>
          <w:sz w:val="24"/>
        </w:rPr>
      </w:pPr>
      <w:proofErr w:type="gramStart"/>
      <w:r>
        <w:rPr>
          <w:rFonts w:ascii="Times New Roman" w:hAnsi="Times New Roman" w:cs="Times New Roman"/>
          <w:bCs/>
          <w:sz w:val="24"/>
        </w:rPr>
        <w:t>the</w:t>
      </w:r>
      <w:proofErr w:type="gramEnd"/>
      <w:r>
        <w:rPr>
          <w:rFonts w:ascii="Times New Roman" w:hAnsi="Times New Roman" w:cs="Times New Roman"/>
          <w:bCs/>
          <w:sz w:val="24"/>
        </w:rPr>
        <w:t xml:space="preserve"> peripheral eosinophil count (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</w:rPr>
        <w:t>PEC) and ESRD</w:t>
      </w:r>
    </w:p>
    <w:p w:rsidR="002B71A9" w:rsidRDefault="002B71A9" w:rsidP="002B71A9">
      <w:pPr>
        <w:pStyle w:val="Normal1"/>
        <w:spacing w:line="480" w:lineRule="auto"/>
        <w:ind w:left="720" w:hanging="72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Supplementary Figure 2:  Kaplan-Meier survival curves for Q4 (highest PEC) </w:t>
      </w:r>
    </w:p>
    <w:p w:rsidR="002B71A9" w:rsidRDefault="002B71A9" w:rsidP="002B71A9">
      <w:pPr>
        <w:pStyle w:val="Normal1"/>
        <w:spacing w:line="480" w:lineRule="auto"/>
        <w:ind w:left="720" w:hanging="720"/>
        <w:rPr>
          <w:rFonts w:ascii="Times New Roman" w:hAnsi="Times New Roman" w:cs="Times New Roman"/>
          <w:bCs/>
          <w:sz w:val="24"/>
        </w:rPr>
      </w:pPr>
      <w:proofErr w:type="gramStart"/>
      <w:r>
        <w:rPr>
          <w:rFonts w:ascii="Times New Roman" w:hAnsi="Times New Roman" w:cs="Times New Roman"/>
          <w:bCs/>
          <w:sz w:val="24"/>
        </w:rPr>
        <w:t>compared</w:t>
      </w:r>
      <w:proofErr w:type="gramEnd"/>
      <w:r>
        <w:rPr>
          <w:rFonts w:ascii="Times New Roman" w:hAnsi="Times New Roman" w:cs="Times New Roman"/>
          <w:bCs/>
          <w:sz w:val="24"/>
        </w:rPr>
        <w:t xml:space="preserve"> with Q1 (lowest PEC)</w:t>
      </w:r>
    </w:p>
    <w:p w:rsidR="00B7647E" w:rsidRPr="00B7647E" w:rsidRDefault="00B7647E" w:rsidP="002B71A9">
      <w:pPr>
        <w:pStyle w:val="Normal1"/>
        <w:spacing w:line="480" w:lineRule="auto"/>
        <w:ind w:left="720" w:hanging="720"/>
        <w:rPr>
          <w:rFonts w:ascii="Times New Roman" w:eastAsiaTheme="minorEastAsia" w:hAnsi="Times New Roman" w:cs="Times New Roman" w:hint="eastAsia"/>
          <w:bCs/>
          <w:sz w:val="24"/>
        </w:rPr>
      </w:pPr>
    </w:p>
    <w:p w:rsidR="009F1354" w:rsidRDefault="009F1354" w:rsidP="002B71A9">
      <w:pPr>
        <w:pStyle w:val="Normal1"/>
        <w:spacing w:line="480" w:lineRule="auto"/>
        <w:ind w:left="720" w:hanging="720"/>
        <w:rPr>
          <w:rFonts w:ascii="Times New Roman" w:hAnsi="Times New Roman" w:cs="Times New Roman"/>
          <w:bCs/>
          <w:sz w:val="24"/>
        </w:rPr>
      </w:pPr>
      <w:r w:rsidRPr="009F1354">
        <w:rPr>
          <w:rFonts w:ascii="Times New Roman" w:hAnsi="Times New Roman" w:cs="Times New Roman"/>
          <w:bCs/>
          <w:sz w:val="24"/>
        </w:rPr>
        <w:t>Supplementary Figure 1_DAG</w:t>
      </w:r>
      <w:r w:rsidRPr="009F1354">
        <w:rPr>
          <w:rFonts w:ascii="Times New Roman" w:hAnsi="Times New Roman" w:cs="Times New Roman"/>
          <w:bCs/>
          <w:noProof/>
          <w:sz w:val="24"/>
        </w:rPr>
        <w:drawing>
          <wp:inline distT="0" distB="0" distL="0" distR="0">
            <wp:extent cx="5274310" cy="3955733"/>
            <wp:effectExtent l="0" t="0" r="2540" b="6985"/>
            <wp:docPr id="1" name="图片 1" descr="C:\Users\ibm\Desktop\Vd AND CKD\BMC Nephrology嗜酸粒细胞投稿\拟投BMC nephrology\拟投BMC nephrology\supplementary Figure 1_D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\Desktop\Vd AND CKD\BMC Nephrology嗜酸粒细胞投稿\拟投BMC nephrology\拟投BMC nephrology\supplementary Figure 1_DA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47E" w:rsidRDefault="00B7647E" w:rsidP="002B71A9">
      <w:pPr>
        <w:pStyle w:val="Normal1"/>
        <w:spacing w:line="480" w:lineRule="auto"/>
        <w:ind w:left="720" w:hanging="720"/>
        <w:rPr>
          <w:rFonts w:ascii="Times New Roman" w:hAnsi="Times New Roman" w:cs="Times New Roman"/>
          <w:bCs/>
          <w:sz w:val="24"/>
        </w:rPr>
      </w:pPr>
    </w:p>
    <w:p w:rsidR="00B7647E" w:rsidRDefault="00B7647E" w:rsidP="002B71A9">
      <w:pPr>
        <w:pStyle w:val="Normal1"/>
        <w:spacing w:line="480" w:lineRule="auto"/>
        <w:ind w:left="720" w:hanging="720"/>
        <w:rPr>
          <w:rFonts w:ascii="Times New Roman" w:hAnsi="Times New Roman" w:cs="Times New Roman"/>
          <w:bCs/>
          <w:sz w:val="24"/>
        </w:rPr>
      </w:pPr>
    </w:p>
    <w:p w:rsidR="00B7647E" w:rsidRDefault="00B7647E" w:rsidP="002B71A9">
      <w:pPr>
        <w:pStyle w:val="Normal1"/>
        <w:spacing w:line="480" w:lineRule="auto"/>
        <w:ind w:left="720" w:hanging="720"/>
        <w:rPr>
          <w:rFonts w:ascii="Times New Roman" w:hAnsi="Times New Roman" w:cs="Times New Roman"/>
          <w:bCs/>
          <w:sz w:val="24"/>
        </w:rPr>
      </w:pPr>
    </w:p>
    <w:p w:rsidR="00B7647E" w:rsidRDefault="00B7647E" w:rsidP="002B71A9">
      <w:pPr>
        <w:pStyle w:val="Normal1"/>
        <w:spacing w:line="480" w:lineRule="auto"/>
        <w:ind w:left="720" w:hanging="720"/>
        <w:rPr>
          <w:rFonts w:ascii="Times New Roman" w:hAnsi="Times New Roman" w:cs="Times New Roman"/>
          <w:bCs/>
          <w:sz w:val="24"/>
        </w:rPr>
      </w:pPr>
    </w:p>
    <w:p w:rsidR="00B7647E" w:rsidRPr="00B7647E" w:rsidRDefault="00B7647E" w:rsidP="002B71A9">
      <w:pPr>
        <w:pStyle w:val="Normal1"/>
        <w:spacing w:line="480" w:lineRule="auto"/>
        <w:ind w:left="720" w:hanging="720"/>
        <w:rPr>
          <w:rFonts w:ascii="Times New Roman" w:hAnsi="Times New Roman" w:cs="Times New Roman"/>
          <w:bCs/>
          <w:sz w:val="24"/>
        </w:rPr>
      </w:pPr>
    </w:p>
    <w:p w:rsidR="009F1354" w:rsidRDefault="009F1354" w:rsidP="002B71A9">
      <w:pPr>
        <w:pStyle w:val="Normal1"/>
        <w:spacing w:line="480" w:lineRule="auto"/>
        <w:ind w:left="720" w:hanging="720"/>
        <w:rPr>
          <w:rFonts w:ascii="Times New Roman" w:hAnsi="Times New Roman" w:cs="Times New Roman"/>
          <w:bCs/>
          <w:sz w:val="24"/>
        </w:rPr>
      </w:pPr>
      <w:r w:rsidRPr="009F1354">
        <w:rPr>
          <w:rFonts w:ascii="Times New Roman" w:hAnsi="Times New Roman" w:cs="Times New Roman"/>
          <w:bCs/>
          <w:sz w:val="24"/>
        </w:rPr>
        <w:lastRenderedPageBreak/>
        <w:t>Supplementary Figure 2 KM curve</w:t>
      </w:r>
    </w:p>
    <w:p w:rsidR="009F1354" w:rsidRDefault="009F1354" w:rsidP="002B71A9">
      <w:pPr>
        <w:pStyle w:val="Normal1"/>
        <w:spacing w:line="480" w:lineRule="auto"/>
        <w:ind w:left="720" w:hanging="720"/>
        <w:rPr>
          <w:rFonts w:ascii="Times New Roman" w:hAnsi="Times New Roman" w:cs="Times New Roman"/>
          <w:bCs/>
          <w:sz w:val="24"/>
        </w:rPr>
      </w:pPr>
      <w:r w:rsidRPr="009F1354">
        <w:rPr>
          <w:rFonts w:ascii="Times New Roman" w:hAnsi="Times New Roman" w:cs="Times New Roman"/>
          <w:bCs/>
          <w:noProof/>
          <w:sz w:val="24"/>
        </w:rPr>
        <w:drawing>
          <wp:inline distT="0" distB="0" distL="0" distR="0">
            <wp:extent cx="5274310" cy="3769451"/>
            <wp:effectExtent l="0" t="0" r="2540" b="2540"/>
            <wp:docPr id="2" name="图片 2" descr="C:\Users\ibm\Desktop\Vd AND CKD\BMC Nephrology嗜酸粒细胞投稿\拟投BMC nephrology\拟投BMC nephrology\supplementary Figure 2 KM cur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bm\Desktop\Vd AND CKD\BMC Nephrology嗜酸粒细胞投稿\拟投BMC nephrology\拟投BMC nephrology\supplementary Figure 2 KM curv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160" w:rsidRDefault="003A3160"/>
    <w:sectPr w:rsidR="003A31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59A"/>
    <w:rsid w:val="00151511"/>
    <w:rsid w:val="002B71A9"/>
    <w:rsid w:val="003A3160"/>
    <w:rsid w:val="008F5079"/>
    <w:rsid w:val="009F1354"/>
    <w:rsid w:val="00B7647E"/>
    <w:rsid w:val="00D2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8C30F"/>
  <w15:chartTrackingRefBased/>
  <w15:docId w15:val="{2372B0C8-4F23-4A81-83C4-2CA89E37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autoRedefine/>
    <w:qFormat/>
    <w:rsid w:val="002B71A9"/>
    <w:pPr>
      <w:spacing w:line="276" w:lineRule="auto"/>
      <w:contextualSpacing/>
    </w:pPr>
    <w:rPr>
      <w:rFonts w:ascii="Arial" w:eastAsia="Arial" w:hAnsi="Arial" w:cs="Arial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9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dc:description/>
  <cp:lastModifiedBy>ibm</cp:lastModifiedBy>
  <cp:revision>5</cp:revision>
  <dcterms:created xsi:type="dcterms:W3CDTF">2024-03-22T14:24:00Z</dcterms:created>
  <dcterms:modified xsi:type="dcterms:W3CDTF">2024-03-23T01:28:00Z</dcterms:modified>
</cp:coreProperties>
</file>