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9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2378"/>
        <w:gridCol w:w="2493"/>
        <w:gridCol w:w="227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19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Supplementary Table1.Overview of Outcome Classification According to the Medical Dictionary for Regulatory Activities (MedDRA) Preferred Terms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System Organ Class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Preferred Term</w:t>
            </w:r>
          </w:p>
        </w:tc>
        <w:tc>
          <w:tcPr>
            <w:tcW w:w="24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Study Classification</w:t>
            </w:r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Study Group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disorders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failure</w:t>
            </w:r>
          </w:p>
        </w:tc>
        <w:tc>
          <w:tcPr>
            <w:tcW w:w="24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failure acute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failure congestive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Cardio-respiratory arrest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arrest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sudden cardiac death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pericardial disorders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Cardiogenic shock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death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Coronary artery stenosis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Myocardial infarction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Myocardial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ischemia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Acute myocardial infarction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Angina pectoris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Acute coronary syndrome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Arrhythmia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Endocarditis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Myocarditis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myocardial infarction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Cardiovascular disorder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disorder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Coronary artery disease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dysfunction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autonomic neuropathy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Cardiac tamponade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Cardiomegaly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General cardiac disorders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Nervous system disorder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Cerebral infarction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Cerebrovascular accident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Cerebellar haemorrhage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Cerebral ischaemia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Haemorrhage intracranial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Cerebral ischaemia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Intracranial aneurysm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Embolic stroke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Ischaemic cerebral infarction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Central nervous system haemorrhage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Ischaemic stroke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Ruptured cerebral aneurysm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Subdural haematoma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Subarachnoid haemorrhage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Haemorrhagic stroke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Nonfatal stroke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Vascular disorder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Peripheral artery occlusion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Superior vena cava occlusion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Thrombophlebitis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Jugular vein thrombosis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Venous thrombosis limb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Embolism arterial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Deep vein thrombosis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Subclavian vein thrombosis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Arterial thrombosis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Catheter site thrombosis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Embolism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Thrombosis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Haemorrhage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Bleeding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Shock haemorrhagic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Bleeding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Arterial haemorrhage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Bleeding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Vascular rupture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Bleeding</w:t>
            </w:r>
          </w:p>
        </w:tc>
        <w:tc>
          <w:tcPr>
            <w:tcW w:w="22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Other cardiovascular events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MACE = major adverse cardiovascular events</w:t>
      </w:r>
      <w:bookmarkStart w:id="0" w:name="_GoBack"/>
      <w:bookmarkEnd w:id="0"/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vertAnchor="text" w:horzAnchor="page" w:tblpX="1479" w:tblpY="367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893"/>
        <w:gridCol w:w="2310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Supplementary Table2. Matrix of Pairwise Comparisons of constituent ratio of Severe irAEs(Shown as Odds Ratios and 95% Confidence Intervals)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6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</w:p>
        </w:tc>
        <w:tc>
          <w:tcPr>
            <w:tcW w:w="136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pembrolizumab</w:t>
            </w:r>
          </w:p>
        </w:tc>
        <w:tc>
          <w:tcPr>
            <w:tcW w:w="117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0.18(0.02-1.59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0.26(0.01-6.87)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pembrolizumab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5.71(0.63-51.97)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1.13(0.06-22.39)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10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3.78(0.15-98.23)</w:t>
            </w:r>
          </w:p>
        </w:tc>
        <w:tc>
          <w:tcPr>
            <w:tcW w:w="136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0.89(0.05-17.50)</w:t>
            </w: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eastAsia="HelveticaLTStd-LightCond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irAEs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eastAsia="HelveticaLTStd-LightCond" w:cs="Times New Roman"/>
          <w:color w:val="000000"/>
          <w:kern w:val="0"/>
          <w:sz w:val="24"/>
          <w:szCs w:val="24"/>
          <w:lang w:bidi="ar"/>
        </w:rPr>
        <w:t xml:space="preserve">immune-related adverse events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vertAnchor="text" w:horzAnchor="page" w:tblpX="1617" w:tblpY="322"/>
        <w:tblOverlap w:val="never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3018"/>
        <w:gridCol w:w="1833"/>
        <w:gridCol w:w="7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852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Supplementary Table3. Matrix of pairwise comparisons of regimens on serious of MACE, other cardiovascular events and IRAE (shown as odds ratios and 95% confidence intervals).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Events</w:t>
            </w:r>
          </w:p>
        </w:tc>
        <w:tc>
          <w:tcPr>
            <w:tcW w:w="30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Drug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OR(95%CI)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MACE</w:t>
            </w:r>
          </w:p>
        </w:tc>
        <w:tc>
          <w:tcPr>
            <w:tcW w:w="30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VS.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0.31(0.08-1.21)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.093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pembrolizumab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VS.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0.36(0.08-1.57)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.173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VS. pembrolizumab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0.73(0.32-1.67)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.461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other cardiovascular events 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VS.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0.33(0.07-1.67)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.180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pembrolizumab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VS.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0.33(0.06-1.77)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.196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VS. pembrolizumab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1.17(0.30-4.50)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.819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irAEs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VS.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0.87(0.27-2.82)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.813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pembrolizumab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VS.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durvalumab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1.14(0.33-3.92)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nivolumab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VS. pembrolizumab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0.81(0.43-1.51)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.503 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textAlignment w:val="center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Abbreviations: CI = confidence interval; MACE = major adverse cardiovascular events; IRAE=Immune-related Adverse Events Associated; OR = odds ratio.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lang w:bidi="ar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&lt; .05 was considered to be of significant significance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LTStd-LightCon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OWY2OTczMDBjMDQ2YjFjZmE0ZWZlYzNkMjRjOGIifQ=="/>
  </w:docVars>
  <w:rsids>
    <w:rsidRoot w:val="6E8E36FC"/>
    <w:rsid w:val="04F30983"/>
    <w:rsid w:val="0577652F"/>
    <w:rsid w:val="05A24DF5"/>
    <w:rsid w:val="05D41458"/>
    <w:rsid w:val="073A744C"/>
    <w:rsid w:val="0D6533ED"/>
    <w:rsid w:val="11875F3E"/>
    <w:rsid w:val="14FD1AC1"/>
    <w:rsid w:val="168644EE"/>
    <w:rsid w:val="17E91513"/>
    <w:rsid w:val="1802600B"/>
    <w:rsid w:val="19D70579"/>
    <w:rsid w:val="1FBF6A8B"/>
    <w:rsid w:val="227C3FA3"/>
    <w:rsid w:val="26724A1E"/>
    <w:rsid w:val="2DD12FF0"/>
    <w:rsid w:val="35102915"/>
    <w:rsid w:val="3CA74455"/>
    <w:rsid w:val="3D2549CE"/>
    <w:rsid w:val="4270564B"/>
    <w:rsid w:val="46301776"/>
    <w:rsid w:val="4A8F3504"/>
    <w:rsid w:val="4B2E0642"/>
    <w:rsid w:val="566061DB"/>
    <w:rsid w:val="613B76A5"/>
    <w:rsid w:val="672614BA"/>
    <w:rsid w:val="6E8E36FC"/>
    <w:rsid w:val="6EE60EC1"/>
    <w:rsid w:val="748D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2024-04-12T04:22:00Z</dcterms:created>
  <dc:creator>Cccccc </dc:creator>
  <cp:lastModifiedBy>Cccccc </cp:lastModifiedBy>
  <dcterms:modified xsi:type="dcterms:W3CDTF">2024-04-12T04:25:45Z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24C238BCA04C4CC9918648562F07FF24_11</vt:lpwstr>
  </property>
</Properties>
</file>