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5802795"/>
      <w:bookmarkEnd w:id="0"/>
      <w:bookmarkStart w:id="1" w:name="OLE_LINK1"/>
      <w:r>
        <w:rPr>
          <w:rFonts w:ascii="Times New Roman" w:hAnsi="Times New Roman" w:cs="Times New Roman"/>
          <w:b/>
          <w:bCs/>
          <w:sz w:val="24"/>
          <w:szCs w:val="24"/>
        </w:rPr>
        <w:t>Sup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plemental Material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First-Trimester Serum Targeted Metabolomics for Eicosanoids Reveals Predictive Potential and Preventive Targets for Severe Preeclampsia: A Nested Prospective Cohort Study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p>
      <w:pPr>
        <w:spacing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1. </w:t>
      </w:r>
      <w:r>
        <w:rPr>
          <w:rFonts w:ascii="Times New Roman" w:hAnsi="Times New Roman" w:cs="Times New Roman"/>
          <w:sz w:val="24"/>
          <w:szCs w:val="24"/>
        </w:rPr>
        <w:t>Study Flow Chart</w:t>
      </w:r>
    </w:p>
    <w:p>
      <w:pPr>
        <w:spacing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2. </w:t>
      </w:r>
      <w:r>
        <w:rPr>
          <w:rFonts w:ascii="Times New Roman" w:hAnsi="Times New Roman" w:cs="Times New Roman"/>
          <w:sz w:val="24"/>
          <w:szCs w:val="24"/>
        </w:rPr>
        <w:t>The Heatmap for Eicosanoid Metabolite Correlation Analysis</w:t>
      </w:r>
    </w:p>
    <w:p>
      <w:pPr>
        <w:spacing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3. </w:t>
      </w:r>
      <w:r>
        <w:rPr>
          <w:rFonts w:ascii="Times New Roman" w:hAnsi="Times New Roman" w:cs="Times New Roman"/>
          <w:sz w:val="24"/>
          <w:szCs w:val="24"/>
        </w:rPr>
        <w:t>Extreme Gradient Boosting Ranking Results for Feature Importance</w:t>
      </w:r>
    </w:p>
    <w:p>
      <w:pPr>
        <w:spacing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4. </w:t>
      </w:r>
      <w:r>
        <w:rPr>
          <w:rFonts w:ascii="Times New Roman" w:hAnsi="Times New Roman" w:cs="Times New Roman"/>
          <w:sz w:val="24"/>
          <w:szCs w:val="24"/>
        </w:rPr>
        <w:t>Calibration Curves for the Model of 14-HDoHE/19,20 EDP Combined with the FMF Preeclampsia Prediction Model</w:t>
      </w:r>
    </w:p>
    <w:p>
      <w:pPr>
        <w:spacing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1. </w:t>
      </w:r>
      <w:r>
        <w:rPr>
          <w:rFonts w:ascii="Times New Roman" w:hAnsi="Times New Roman" w:cs="Times New Roman"/>
          <w:sz w:val="24"/>
          <w:szCs w:val="24"/>
        </w:rPr>
        <w:t>Predictive Performance of the 14-HDoHE Ratio-Based Models and the FMF Models Incorporating the Ratios</w:t>
      </w:r>
    </w:p>
    <w:p>
      <w:pPr>
        <w:spacing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2. </w:t>
      </w:r>
      <w:r>
        <w:rPr>
          <w:rFonts w:ascii="Times New Roman" w:hAnsi="Times New Roman" w:cs="Times New Roman"/>
          <w:sz w:val="24"/>
          <w:szCs w:val="24"/>
        </w:rPr>
        <w:t>Predictive Performance of the 12-HETE Ratio-Based Models and the FMF Models Incorporating the Ratios</w:t>
      </w:r>
    </w:p>
    <w:p>
      <w:pPr>
        <w:spacing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3. </w:t>
      </w:r>
      <w:r>
        <w:rPr>
          <w:rFonts w:ascii="Times New Roman" w:hAnsi="Times New Roman" w:cs="Times New Roman"/>
          <w:sz w:val="24"/>
          <w:szCs w:val="24"/>
        </w:rPr>
        <w:t>Predictive Performance of the TXB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Ratio-Based Models and the FMF Models Incorporating the Ratios</w:t>
      </w:r>
    </w:p>
    <w:p>
      <w:pPr>
        <w:spacing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4. </w:t>
      </w:r>
      <w:r>
        <w:rPr>
          <w:rFonts w:ascii="Times New Roman" w:hAnsi="Times New Roman" w:cs="Times New Roman"/>
          <w:sz w:val="24"/>
          <w:szCs w:val="24"/>
        </w:rPr>
        <w:t>Predictive Performance of the PGE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Ratio-Based Models and the FMF Models Incorporating the Ratios</w:t>
      </w:r>
    </w:p>
    <w:p>
      <w:pPr>
        <w:spacing w:after="2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5. </w:t>
      </w:r>
      <w:r>
        <w:rPr>
          <w:rFonts w:ascii="Times New Roman" w:hAnsi="Times New Roman" w:cs="Times New Roman"/>
          <w:sz w:val="24"/>
          <w:szCs w:val="24"/>
        </w:rPr>
        <w:t>Predictive Performance of the 11-HETE Ratio-Based Models and the FMF Models Incorporating the Ratios</w:t>
      </w:r>
    </w:p>
    <w:p>
      <w:pPr>
        <w:spacing w:after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6. </w:t>
      </w:r>
      <w:r>
        <w:rPr>
          <w:rFonts w:ascii="Times New Roman" w:hAnsi="Times New Roman" w:cs="Times New Roman"/>
          <w:sz w:val="24"/>
          <w:szCs w:val="24"/>
        </w:rPr>
        <w:t>Predictive Performance of the 15-HETE Ratio-Based Models and the FMF Models Incorporating the Ratios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>
      <w:pPr>
        <w:widowControl/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19700" cy="4669155"/>
            <wp:effectExtent l="0" t="0" r="0" b="4445"/>
            <wp:docPr id="1" name="图片 1" descr="0319不饱和脂肪酸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319不饱和脂肪酸流程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Study </w:t>
      </w:r>
      <w:r>
        <w:rPr>
          <w:rFonts w:hint="eastAsia"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low Chart</w:t>
      </w:r>
      <w:r>
        <w:rPr>
          <w:rFonts w:hint="eastAsia" w:ascii="Times New Roman" w:hAnsi="Times New Roman" w:cs="Times New Roman"/>
          <w:sz w:val="24"/>
          <w:szCs w:val="24"/>
        </w:rPr>
        <w:t>. HDP</w:t>
      </w:r>
      <w:r>
        <w:rPr>
          <w:rFonts w:ascii="Times New Roman" w:hAnsi="Times New Roman" w:cs="Times New Roman"/>
          <w:sz w:val="24"/>
          <w:szCs w:val="24"/>
        </w:rPr>
        <w:t>: hypertensive disorders in pregnancy</w:t>
      </w:r>
      <w:r>
        <w:rPr>
          <w:rFonts w:hint="eastAsia" w:ascii="Times New Roman" w:hAnsi="Times New Roman" w:cs="Times New Roman"/>
          <w:sz w:val="24"/>
          <w:szCs w:val="24"/>
        </w:rPr>
        <w:t xml:space="preserve">; PE: </w:t>
      </w:r>
      <w:r>
        <w:rPr>
          <w:rFonts w:ascii="Times New Roman" w:hAnsi="Times New Roman" w:cs="Times New Roman"/>
          <w:sz w:val="24"/>
          <w:szCs w:val="24"/>
        </w:rPr>
        <w:t>preeclampsia</w:t>
      </w:r>
      <w:r>
        <w:rPr>
          <w:rFonts w:hint="eastAsia" w:ascii="Times New Roman" w:hAnsi="Times New Roman" w:cs="Times New Roman"/>
          <w:sz w:val="24"/>
          <w:szCs w:val="24"/>
        </w:rPr>
        <w:t xml:space="preserve">; GH: </w:t>
      </w:r>
      <w:r>
        <w:rPr>
          <w:rFonts w:ascii="Times New Roman" w:hAnsi="Times New Roman" w:cs="Times New Roman"/>
          <w:sz w:val="24"/>
          <w:szCs w:val="24"/>
        </w:rPr>
        <w:t>gestational hypertension</w:t>
      </w:r>
      <w:r>
        <w:rPr>
          <w:rFonts w:hint="eastAsia" w:ascii="Times New Roman" w:hAnsi="Times New Roman" w:cs="Times New Roman"/>
          <w:sz w:val="24"/>
          <w:szCs w:val="24"/>
        </w:rPr>
        <w:t xml:space="preserve">; CH: </w:t>
      </w:r>
      <w:r>
        <w:rPr>
          <w:rFonts w:ascii="Times New Roman" w:hAnsi="Times New Roman" w:cs="Times New Roman"/>
          <w:sz w:val="24"/>
          <w:szCs w:val="24"/>
        </w:rPr>
        <w:t xml:space="preserve">chronic hypertension complicating pregnancy </w:t>
      </w: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384165" cy="5384165"/>
            <wp:effectExtent l="0" t="0" r="6985" b="6985"/>
            <wp:docPr id="149699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921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7286" cy="538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The Heatmap for Eicosanoid Metabolite Correlation Analysis</w:t>
      </w:r>
    </w:p>
    <w:p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2"/>
        </w:rPr>
      </w:pPr>
    </w:p>
    <w:p>
      <w:pPr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drawing>
          <wp:inline distT="0" distB="0" distL="0" distR="0">
            <wp:extent cx="5351780" cy="4104005"/>
            <wp:effectExtent l="0" t="0" r="1270" b="0"/>
            <wp:docPr id="1738077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77777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288" cy="410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2" w:name="_Hlk155853231"/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Extreme Gradient Boosting (XGBoost) Ranking Results for Feature Importance 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drawing>
          <wp:inline distT="0" distB="0" distL="0" distR="0">
            <wp:extent cx="4485640" cy="4463415"/>
            <wp:effectExtent l="0" t="0" r="0" b="0"/>
            <wp:docPr id="14049609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60940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153" cy="44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  <w:bookmarkStart w:id="3" w:name="_Hlk155866483"/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Calibration Curves for the Model of 14-HDoHE/19,20 EDP Combined with the FMF Preeclampsia Prediction Model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AUC</w:t>
      </w:r>
      <w:r>
        <w:rPr>
          <w:rFonts w:hint="eastAsia"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area under the curve</w:t>
      </w:r>
      <w:r>
        <w:rPr>
          <w:rFonts w:ascii="Times New Roman" w:hAnsi="Times New Roman" w:eastAsia="宋体" w:cs="Times New Roman"/>
          <w:kern w:val="0"/>
          <w:sz w:val="22"/>
        </w:rPr>
        <w:br w:type="page"/>
      </w:r>
    </w:p>
    <w:p>
      <w:pPr>
        <w:widowControl/>
        <w:jc w:val="left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Predictive Performance of the14-HDoHE Ratio-Based Models and the FMF Models Incorporating the Ratios</w:t>
      </w:r>
    </w:p>
    <w:tbl>
      <w:tblPr>
        <w:tblStyle w:val="6"/>
        <w:tblW w:w="1402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6"/>
        <w:gridCol w:w="2064"/>
        <w:gridCol w:w="2064"/>
        <w:gridCol w:w="2064"/>
        <w:gridCol w:w="2064"/>
        <w:gridCol w:w="20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AUC (95% CI)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PPV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NPV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4" w:name="_Hlk155865004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14-HDoHE/16,17 EDP</w:t>
            </w:r>
            <w:bookmarkEnd w:id="4"/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 (0.64-0.85)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0.96 (0.90-1.00)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0.44 (0.29-0.59)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0.65 (0.54-0.77)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0.90 (0.77-1.03)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0.85 (0.77-0.93)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(0.60-0.86)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0.85 (0.75-0.96)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0.85 (0.73-0.96)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 (0.62-0.87)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5" w:name="_Hlk155865014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14-HDoHE/19,20 EDP</w:t>
            </w:r>
            <w:bookmarkEnd w:id="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 (0.65-0.86)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(0.54-0.83)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0.72 (0.60-0.85)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0.72 (0.58-0.86)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0.87 (0.80-0.94)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0.73 (0.60-0.86)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0.85 (0.75-0.96)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0.85 (0.73-0.96)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0.75 (0.62-0.87)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14-HDoHE/5,6-DHET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0.72 (0.61-0.83)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0.87 (0.77-0.97)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0.56 (0.41-0.71)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(0.56-0.81)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0.79 (0.65-0.94)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(0.74-0.91)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0.87 (0.77-0.97)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(0.54-0.83)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 (0.63-0.87)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(0.70-0.95)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14-HDoHE/5-HEPE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0.72 (0.61-0.83)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0.62 (0.48-0.76)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0.74 (0.60-0.88)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0.65 (0.51-0.78)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(0.74-0.91)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0.91 (0.83-0.99)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0.61 (0.46-0.76)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0.72 (0.60-0.84)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0.86 (0.74-0.99)</w:t>
            </w:r>
          </w:p>
        </w:tc>
      </w:tr>
    </w:tbl>
    <w:p>
      <w:pPr>
        <w:rPr>
          <w:rFonts w:ascii="等线" w:hAnsi="等线" w:eastAsia="等线" w:cs="Times New Roman"/>
          <w:szCs w:val="21"/>
        </w:rPr>
      </w:pPr>
      <w:r>
        <w:rPr>
          <w:rFonts w:ascii="Times New Roman" w:hAnsi="Times New Roman" w:eastAsia="宋体"/>
          <w:kern w:val="0"/>
          <w:sz w:val="24"/>
          <w:szCs w:val="24"/>
        </w:rPr>
        <w:t>AUC</w:t>
      </w:r>
      <w:r>
        <w:rPr>
          <w:rFonts w:hint="eastAsia" w:ascii="Times New Roman" w:hAnsi="Times New Roman" w:eastAsia="宋体"/>
          <w:kern w:val="0"/>
          <w:sz w:val="24"/>
          <w:szCs w:val="24"/>
        </w:rPr>
        <w:t>:</w:t>
      </w:r>
      <w:r>
        <w:rPr>
          <w:rFonts w:ascii="Times New Roman" w:hAnsi="Times New Roman" w:eastAsia="宋体"/>
          <w:kern w:val="0"/>
          <w:sz w:val="24"/>
          <w:szCs w:val="24"/>
        </w:rPr>
        <w:t xml:space="preserve"> area under the curve; </w:t>
      </w:r>
      <w:r>
        <w:rPr>
          <w:rFonts w:ascii="Times New Roman" w:hAnsi="Times New Roman"/>
          <w:color w:val="000000"/>
          <w:kern w:val="0"/>
          <w:sz w:val="24"/>
          <w:szCs w:val="24"/>
        </w:rPr>
        <w:t>PPV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Positive Predictive Value; NPV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Negative Predictive Value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等线" w:hAnsi="等线" w:eastAsia="等线" w:cs="Times New Roman"/>
          <w:szCs w:val="21"/>
        </w:rPr>
      </w:pPr>
      <w:r>
        <w:rPr>
          <w:rFonts w:ascii="Times New Roman" w:hAnsi="Times New Roman" w:cs="Times New Roman"/>
        </w:rPr>
        <w:br w:type="page"/>
      </w:r>
    </w:p>
    <w:p>
      <w:pPr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Predictive Performance of the 12-HETE Ratio-Based Models and the FMF Models Incorporating the Ratios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4"/>
        <w:gridCol w:w="2143"/>
        <w:gridCol w:w="2143"/>
        <w:gridCol w:w="2143"/>
        <w:gridCol w:w="2143"/>
        <w:gridCol w:w="21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AUC (95% CI)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PPV</w:t>
            </w:r>
          </w:p>
        </w:tc>
        <w:tc>
          <w:tcPr>
            <w:tcW w:w="754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NPV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12-HETE/16,17 EDP</w:t>
            </w: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(0.58-0.81)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0.87 (0.77-0.97)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0.54 (0.38-0.69)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(0.55-0.79)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0.79 (0.63-0.94)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(0.75-0.92)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(0.71-0.94)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(0.71-0.94)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12-HETE/19,20 EDP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0.70 (0.59-0.81)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(0.71-0.93)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0.54 (0.38-0.69)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0.66 (0.54-0.79)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(0.58-0.89)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(0.75-0.92)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(0.60-0.86)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(0.71-0.94)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(0.71-0.94)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0.74 (0.61-0.87)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12-HETE/5,6-DHET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0.70 (0.59-0.82)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(0.74-0.95)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0.54 (0.38-0.69)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(0.54-0.79)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(0.60-0.91)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(0.73-0.91)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0.87 (0.77-0.97)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 (0.57-0.85)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0.77 (0.65-0.88)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(0.70-0.95)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6" w:name="_Hlk155865608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12-HETE/5-HEPE</w:t>
            </w:r>
            <w:bookmarkEnd w:id="6"/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(0.57-0.80)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(0.74-0.95)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0.56 (0.41-0.71)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(0.56-0.80)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0.77 (0.62-0.92)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(0.72-0.90)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(0.71-0.93)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 (0.57-0.85)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(0.64-0.88)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(0.65-0.92)</w:t>
            </w:r>
          </w:p>
        </w:tc>
      </w:tr>
    </w:tbl>
    <w:p>
      <w:pPr>
        <w:rPr>
          <w:rFonts w:ascii="等线" w:hAnsi="等线" w:eastAsia="等线" w:cs="Times New Roman"/>
          <w:szCs w:val="21"/>
        </w:rPr>
      </w:pPr>
      <w:r>
        <w:rPr>
          <w:rFonts w:ascii="Times New Roman" w:hAnsi="Times New Roman" w:eastAsia="宋体"/>
          <w:kern w:val="0"/>
          <w:sz w:val="24"/>
          <w:szCs w:val="24"/>
        </w:rPr>
        <w:t>AUC</w:t>
      </w:r>
      <w:r>
        <w:rPr>
          <w:rFonts w:hint="eastAsia" w:ascii="Times New Roman" w:hAnsi="Times New Roman" w:eastAsia="宋体"/>
          <w:kern w:val="0"/>
          <w:sz w:val="24"/>
          <w:szCs w:val="24"/>
        </w:rPr>
        <w:t>:</w:t>
      </w:r>
      <w:r>
        <w:rPr>
          <w:rFonts w:ascii="Times New Roman" w:hAnsi="Times New Roman" w:eastAsia="宋体"/>
          <w:kern w:val="0"/>
          <w:sz w:val="24"/>
          <w:szCs w:val="24"/>
        </w:rPr>
        <w:t xml:space="preserve"> area under the curve; </w:t>
      </w:r>
      <w:r>
        <w:rPr>
          <w:rFonts w:ascii="Times New Roman" w:hAnsi="Times New Roman"/>
          <w:color w:val="000000"/>
          <w:kern w:val="0"/>
          <w:sz w:val="24"/>
          <w:szCs w:val="24"/>
        </w:rPr>
        <w:t>PPV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Positive Predictive Value; NPV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Negative Predictive Value</w:t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Predictive Performance of the TXB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Ratio-Based Models and the FMF Models Incorporating the Ratios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4"/>
        <w:gridCol w:w="2143"/>
        <w:gridCol w:w="2143"/>
        <w:gridCol w:w="2143"/>
        <w:gridCol w:w="2143"/>
        <w:gridCol w:w="21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AUC (95% CI)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PPV</w:t>
            </w:r>
          </w:p>
        </w:tc>
        <w:tc>
          <w:tcPr>
            <w:tcW w:w="754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NPV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TXB2/16,17 EDP</w:t>
            </w: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(0.58-0.80)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(0.74-0.95)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0.49 (0.34-0.64)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0.64 (0.52-0.77)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0.74 (0.58-0.91)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(0.75-0.92)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(0.68-0.92)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(0.66-0.90)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(0.65-0.90)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TXB2/19,20 EDP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(0.58-0.80)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0.56 (0.41-0.70)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(0.65-0.91)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0.74 (0.59-0.88)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0.62 (0.48-0.75)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(0.75-0.92)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(0.68-0.92)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(0.66-0.90)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(0.65-0.90)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TXB2/5,6-DHET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(0.58-0.80)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0.87 (0.77-0.97)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0.46 (0.31-0.62)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0.64 (0.52-0.76)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(0.59-0.93)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(0.73-0.91)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(0.71-0.93)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 (0.57-0.85)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(0.64-0.88)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(0.65-0.92)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7" w:name="_Hlk155865620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TXB2/5-HEPE</w:t>
            </w:r>
            <w:bookmarkEnd w:id="7"/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(0.56-0.79)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(0.68-0.92)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0.51 (0.36-0.67)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0.64 (0.52-0.77)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0.70 (0.54-0.86)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(0.72-0.90)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(0.74-0.95)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(0.54-0.83)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 (0.63-0.87)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(0.67-0.93)</w:t>
            </w:r>
          </w:p>
        </w:tc>
      </w:tr>
    </w:tbl>
    <w:p>
      <w:pPr>
        <w:rPr>
          <w:rFonts w:ascii="等线" w:hAnsi="等线" w:eastAsia="等线" w:cs="Times New Roman"/>
          <w:szCs w:val="21"/>
        </w:rPr>
      </w:pPr>
      <w:r>
        <w:rPr>
          <w:rFonts w:ascii="Times New Roman" w:hAnsi="Times New Roman" w:eastAsia="宋体"/>
          <w:kern w:val="0"/>
          <w:sz w:val="24"/>
          <w:szCs w:val="24"/>
        </w:rPr>
        <w:t>AUC</w:t>
      </w:r>
      <w:r>
        <w:rPr>
          <w:rFonts w:hint="eastAsia" w:ascii="Times New Roman" w:hAnsi="Times New Roman" w:eastAsia="宋体"/>
          <w:kern w:val="0"/>
          <w:sz w:val="24"/>
          <w:szCs w:val="24"/>
        </w:rPr>
        <w:t>:</w:t>
      </w:r>
      <w:r>
        <w:rPr>
          <w:rFonts w:ascii="Times New Roman" w:hAnsi="Times New Roman" w:eastAsia="宋体"/>
          <w:kern w:val="0"/>
          <w:sz w:val="24"/>
          <w:szCs w:val="24"/>
        </w:rPr>
        <w:t xml:space="preserve"> area under the curve; </w:t>
      </w:r>
      <w:r>
        <w:rPr>
          <w:rFonts w:ascii="Times New Roman" w:hAnsi="Times New Roman"/>
          <w:color w:val="000000"/>
          <w:kern w:val="0"/>
          <w:sz w:val="24"/>
          <w:szCs w:val="24"/>
        </w:rPr>
        <w:t>PPV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Positive Predictive Value; NPV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Negative Predictive Value</w:t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S4</w:t>
      </w:r>
      <w:r>
        <w:rPr>
          <w:rFonts w:ascii="Times New Roman" w:hAnsi="Times New Roman" w:cs="Times New Roman"/>
          <w:sz w:val="24"/>
          <w:szCs w:val="24"/>
        </w:rPr>
        <w:t xml:space="preserve"> Predictive Performance of the PGE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Ratio-Based Models and the FMF Models Incorporating the Ratios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4"/>
        <w:gridCol w:w="2143"/>
        <w:gridCol w:w="2143"/>
        <w:gridCol w:w="2143"/>
        <w:gridCol w:w="2143"/>
        <w:gridCol w:w="21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AUC (95% CI)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PPV</w:t>
            </w:r>
          </w:p>
        </w:tc>
        <w:tc>
          <w:tcPr>
            <w:tcW w:w="755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NPV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PGE2/16,17 EDP</w:t>
            </w: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(0.56-0.79)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0.59 (0.44-0.74)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(0.54-0.80)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(0.53-0.84)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0.85 (0.77-0.93)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(0.74-0.95)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(0.60-0.87)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(0.66-0.89)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(0.69-0.94)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PGE2/19,20 EDP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(0.58-0.80)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(0.66-0.90)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0.59 (0.44-0.74)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(0.55-0.80)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 (0.55-0.86)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(0.75-0.92)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(0.74-0.95)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(0.60-0.87)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(0.66-0.89)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(0.69-0.94)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PGE2/5,6-DHET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(0.56-0.79)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(0.53-0.80)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0.66 (0.51-0.80)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(0.54-0.82)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0.64 (0.50-0.79)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(0.73-0.91)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(0.68-0.92)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(0.66-0.90)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(0.65-0.90)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PGE2/5-HEPE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(0.55-0.79)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 (0.58-0.84)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0.63 (0.49-0.78)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(0.55-0.81)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(0.52-0.82)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(0.73-0.91)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(0.66-0.90)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(0.63-0.89)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(0.66-0.90)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(0.63-0.89)</w:t>
            </w:r>
          </w:p>
        </w:tc>
      </w:tr>
    </w:tbl>
    <w:p>
      <w:pPr>
        <w:rPr>
          <w:rFonts w:ascii="等线" w:hAnsi="等线" w:eastAsia="等线" w:cs="Times New Roman"/>
          <w:szCs w:val="21"/>
        </w:rPr>
      </w:pPr>
      <w:r>
        <w:rPr>
          <w:rFonts w:ascii="Times New Roman" w:hAnsi="Times New Roman" w:eastAsia="宋体"/>
          <w:kern w:val="0"/>
          <w:sz w:val="24"/>
          <w:szCs w:val="24"/>
        </w:rPr>
        <w:t>AUC</w:t>
      </w:r>
      <w:r>
        <w:rPr>
          <w:rFonts w:hint="eastAsia" w:ascii="Times New Roman" w:hAnsi="Times New Roman" w:eastAsia="宋体"/>
          <w:kern w:val="0"/>
          <w:sz w:val="24"/>
          <w:szCs w:val="24"/>
        </w:rPr>
        <w:t>:</w:t>
      </w:r>
      <w:r>
        <w:rPr>
          <w:rFonts w:ascii="Times New Roman" w:hAnsi="Times New Roman" w:eastAsia="宋体"/>
          <w:kern w:val="0"/>
          <w:sz w:val="24"/>
          <w:szCs w:val="24"/>
        </w:rPr>
        <w:t xml:space="preserve"> area under the curve; </w:t>
      </w:r>
      <w:r>
        <w:rPr>
          <w:rFonts w:ascii="Times New Roman" w:hAnsi="Times New Roman"/>
          <w:color w:val="000000"/>
          <w:kern w:val="0"/>
          <w:sz w:val="24"/>
          <w:szCs w:val="24"/>
        </w:rPr>
        <w:t>PPV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Positive Predictive Value; NPV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Negative Predictive Value</w:t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S5</w:t>
      </w:r>
      <w:r>
        <w:rPr>
          <w:rFonts w:ascii="Times New Roman" w:hAnsi="Times New Roman" w:cs="Times New Roman"/>
          <w:sz w:val="24"/>
          <w:szCs w:val="24"/>
        </w:rPr>
        <w:t xml:space="preserve"> Predictive Performance of the 11-HETE Ratio-Based Models and the FMF Models Incorporating the Ratios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3"/>
        <w:gridCol w:w="2257"/>
        <w:gridCol w:w="2103"/>
        <w:gridCol w:w="2120"/>
        <w:gridCol w:w="2120"/>
        <w:gridCol w:w="21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AUC (95% CI)</w:t>
            </w:r>
          </w:p>
        </w:tc>
        <w:tc>
          <w:tcPr>
            <w:tcW w:w="74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74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74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PPV</w:t>
            </w:r>
          </w:p>
        </w:tc>
        <w:tc>
          <w:tcPr>
            <w:tcW w:w="74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NPV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11-HETE/16,17 EDP</w:t>
            </w:r>
          </w:p>
        </w:tc>
        <w:tc>
          <w:tcPr>
            <w:tcW w:w="79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(0.58-0.81)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(0.74-0.95)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0.56 (0.41-0.71)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(0.56-0.80)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0.77 (0.62-0.92)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0.86 (0.78-0.93)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(0.63-0.88)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(0.71-0.94)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 (0.71-0.94)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(0.63-0.88)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11-HETE/19,20 EDP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(0.58-0.81)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(0.66-0.90)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0.59 (0.44-0.74)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(0.55-0.80)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 (0.55-0.86)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0.83(0.75-0.92)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(0.71-0.93)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 (0.57-0.85)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(0.64-0.88)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(0.65-0.92)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8" w:name="_Hlk155865634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11-HETE/5,6-DHET</w:t>
            </w:r>
            <w:bookmarkEnd w:id="8"/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(0.56-0.78)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0.49 (0.34-0.64)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(0.68-0.93)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(0.58-0.89)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0.59 (0.46-0.72)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(0.72-0.90)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(0.68-0.92)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 (0.57-0.85)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 (0.63-0.87)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(0.63-0.90)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9" w:name="_Hlk155865641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11-HETE/5-HEPE</w:t>
            </w:r>
            <w:bookmarkEnd w:id="9"/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0.66 (0.53-0.77)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0.93 (0.86-1.00)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0.39 (0.24-0.54)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0.63 (0.51-0.74)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(0.68-1.00)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(0.72-0.90)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(0.66-0.90)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(0.60-0.87)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0.76 (0.64-0.88)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 (0.62-0.88)</w:t>
            </w:r>
          </w:p>
        </w:tc>
      </w:tr>
    </w:tbl>
    <w:p>
      <w:pPr>
        <w:rPr>
          <w:rFonts w:ascii="等线" w:hAnsi="等线" w:eastAsia="等线" w:cs="Times New Roman"/>
          <w:szCs w:val="21"/>
        </w:rPr>
      </w:pPr>
      <w:r>
        <w:rPr>
          <w:rFonts w:ascii="Times New Roman" w:hAnsi="Times New Roman" w:eastAsia="宋体"/>
          <w:kern w:val="0"/>
          <w:sz w:val="24"/>
          <w:szCs w:val="24"/>
        </w:rPr>
        <w:t>AUC</w:t>
      </w:r>
      <w:r>
        <w:rPr>
          <w:rFonts w:hint="eastAsia" w:ascii="Times New Roman" w:hAnsi="Times New Roman" w:eastAsia="宋体"/>
          <w:kern w:val="0"/>
          <w:sz w:val="24"/>
          <w:szCs w:val="24"/>
        </w:rPr>
        <w:t>:</w:t>
      </w:r>
      <w:r>
        <w:rPr>
          <w:rFonts w:ascii="Times New Roman" w:hAnsi="Times New Roman" w:eastAsia="宋体"/>
          <w:kern w:val="0"/>
          <w:sz w:val="24"/>
          <w:szCs w:val="24"/>
        </w:rPr>
        <w:t xml:space="preserve"> area under the curve; </w:t>
      </w:r>
      <w:r>
        <w:rPr>
          <w:rFonts w:ascii="Times New Roman" w:hAnsi="Times New Roman"/>
          <w:color w:val="000000"/>
          <w:kern w:val="0"/>
          <w:sz w:val="24"/>
          <w:szCs w:val="24"/>
        </w:rPr>
        <w:t>PPV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Positive Predictive Value; NPV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Negative Predictive Value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S6</w:t>
      </w:r>
      <w:r>
        <w:rPr>
          <w:rFonts w:ascii="Times New Roman" w:hAnsi="Times New Roman" w:cs="Times New Roman"/>
          <w:sz w:val="24"/>
          <w:szCs w:val="24"/>
        </w:rPr>
        <w:t xml:space="preserve"> Predictive Performance of the 15-HETE Ratio-Based Models and the FMF Models Incorporating the Ratios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4"/>
        <w:gridCol w:w="2143"/>
        <w:gridCol w:w="2143"/>
        <w:gridCol w:w="2143"/>
        <w:gridCol w:w="2143"/>
        <w:gridCol w:w="21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AUC (95% CI)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75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PPV</w:t>
            </w:r>
          </w:p>
        </w:tc>
        <w:tc>
          <w:tcPr>
            <w:tcW w:w="754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NPV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15-HETE/16,17 EDP</w:t>
            </w: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4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E7E6E6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0.70 (0.58-0.81)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 (0.66-0.90)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0.61 (0.46-0.76)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(0.56-0.81)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 (0.57-0.86)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 (0.76-0.93)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(0.68-0.92)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0.85 (0.75-0.96)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0.86 (0.75-0.96)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(0.68-0.92)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15-HETE/19,20 EDP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(0.62-0.83)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0.89 (0.80-0.98)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0.49 (0.34-0.64)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0.66 (0.54-0.78)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(0.64-0.96)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0.85 (0.77-0.93)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(0.68-0.92)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(0.68-0.93)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(0.70-0.93)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0.79 (0.66-0.91)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10" w:name="_Hlk155865654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15-HETE/5,6-DHET</w:t>
            </w:r>
            <w:bookmarkEnd w:id="10"/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 (0.56-0.79)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0.64 (0.51-0.78)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(0.54-0.83)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0.69 (0.55-0.83)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0.64 (0.49-0.78)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(0.72-0.90)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0.87 (0.77-0.97)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 (0.54-0.83)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 (0.63-0.87)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 (0.70-0.95)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11" w:name="_Hlk155864965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15-HETE/5-HEPE</w:t>
            </w:r>
            <w:bookmarkEnd w:id="11"/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Single Metabolite Ratio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0.66 (0.54-0.77)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 (0.68-0.92)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0.51 (0.36-0.67)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0.64 (0.52-0.77)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0.70 (0.54-0.86)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2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Combined Clinical Variables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(0.72-0.90)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(0.60-0.86)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(0.68-0.93)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 (0.68-0.93)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 (0.60-0.86)</w:t>
            </w:r>
          </w:p>
        </w:tc>
      </w:tr>
    </w:tbl>
    <w:p>
      <w:pPr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AUC</w:t>
      </w:r>
      <w:r>
        <w:rPr>
          <w:rFonts w:hint="eastAsia" w:ascii="Times New Roman" w:hAnsi="Times New Roman" w:eastAsia="宋体"/>
          <w:kern w:val="0"/>
          <w:sz w:val="24"/>
          <w:szCs w:val="24"/>
        </w:rPr>
        <w:t>:</w:t>
      </w:r>
      <w:r>
        <w:rPr>
          <w:rFonts w:ascii="Times New Roman" w:hAnsi="Times New Roman" w:eastAsia="宋体"/>
          <w:kern w:val="0"/>
          <w:sz w:val="24"/>
          <w:szCs w:val="24"/>
        </w:rPr>
        <w:t xml:space="preserve"> area under the curve; </w:t>
      </w:r>
      <w:r>
        <w:rPr>
          <w:rFonts w:ascii="Times New Roman" w:hAnsi="Times New Roman"/>
          <w:color w:val="000000"/>
          <w:kern w:val="0"/>
          <w:sz w:val="24"/>
          <w:szCs w:val="24"/>
        </w:rPr>
        <w:t>PPV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Positive Predictive Value; NPV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Negative Predictive Value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</w:rPr>
      </w:pPr>
    </w:p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2Njk5OWE2YWE3ZDBmNTU0M2E1Y2Q0MzE5MmNjMDIifQ=="/>
    <w:docVar w:name="KY_MEDREF_DOCUID" w:val="{0100E618-B942-47DE-972F-29AE70652C9D}"/>
    <w:docVar w:name="KY_MEDREF_VERSION" w:val="3"/>
  </w:docVars>
  <w:rsids>
    <w:rsidRoot w:val="007951A0"/>
    <w:rsid w:val="00000A00"/>
    <w:rsid w:val="00010F69"/>
    <w:rsid w:val="00037E6E"/>
    <w:rsid w:val="000D6F9B"/>
    <w:rsid w:val="00107FF3"/>
    <w:rsid w:val="001826F3"/>
    <w:rsid w:val="00196D1F"/>
    <w:rsid w:val="001D3794"/>
    <w:rsid w:val="00214A8A"/>
    <w:rsid w:val="00241FF8"/>
    <w:rsid w:val="00262B21"/>
    <w:rsid w:val="002666CC"/>
    <w:rsid w:val="00273DA1"/>
    <w:rsid w:val="002832CB"/>
    <w:rsid w:val="002E0154"/>
    <w:rsid w:val="002F474F"/>
    <w:rsid w:val="002F67EA"/>
    <w:rsid w:val="00300D0B"/>
    <w:rsid w:val="00306552"/>
    <w:rsid w:val="00331389"/>
    <w:rsid w:val="00337669"/>
    <w:rsid w:val="00364E76"/>
    <w:rsid w:val="0036594D"/>
    <w:rsid w:val="00381C5E"/>
    <w:rsid w:val="00387D70"/>
    <w:rsid w:val="0039079E"/>
    <w:rsid w:val="003A1D28"/>
    <w:rsid w:val="003B3988"/>
    <w:rsid w:val="003F3A0F"/>
    <w:rsid w:val="003F55B8"/>
    <w:rsid w:val="00407A9B"/>
    <w:rsid w:val="00414C91"/>
    <w:rsid w:val="00462E58"/>
    <w:rsid w:val="004B6FF2"/>
    <w:rsid w:val="004C4B6A"/>
    <w:rsid w:val="004C786B"/>
    <w:rsid w:val="004F04ED"/>
    <w:rsid w:val="005064AE"/>
    <w:rsid w:val="005103A2"/>
    <w:rsid w:val="00512E04"/>
    <w:rsid w:val="005216E5"/>
    <w:rsid w:val="00550D22"/>
    <w:rsid w:val="0056499A"/>
    <w:rsid w:val="00577078"/>
    <w:rsid w:val="00593425"/>
    <w:rsid w:val="005A77A2"/>
    <w:rsid w:val="005D7477"/>
    <w:rsid w:val="005D7520"/>
    <w:rsid w:val="005E0021"/>
    <w:rsid w:val="00634905"/>
    <w:rsid w:val="006666CF"/>
    <w:rsid w:val="006B1B83"/>
    <w:rsid w:val="006B3A7D"/>
    <w:rsid w:val="00722EDD"/>
    <w:rsid w:val="00724E2B"/>
    <w:rsid w:val="00740FC7"/>
    <w:rsid w:val="007876EA"/>
    <w:rsid w:val="00792E1A"/>
    <w:rsid w:val="007951A0"/>
    <w:rsid w:val="007F6219"/>
    <w:rsid w:val="008479A9"/>
    <w:rsid w:val="00857EB0"/>
    <w:rsid w:val="008813D0"/>
    <w:rsid w:val="00884443"/>
    <w:rsid w:val="00884902"/>
    <w:rsid w:val="00887B58"/>
    <w:rsid w:val="00892158"/>
    <w:rsid w:val="0089226A"/>
    <w:rsid w:val="008A1ACA"/>
    <w:rsid w:val="008C187C"/>
    <w:rsid w:val="008E3DDC"/>
    <w:rsid w:val="00940AC7"/>
    <w:rsid w:val="0098738C"/>
    <w:rsid w:val="009914D1"/>
    <w:rsid w:val="00993CAD"/>
    <w:rsid w:val="009B56CA"/>
    <w:rsid w:val="009F369B"/>
    <w:rsid w:val="009F39C2"/>
    <w:rsid w:val="009F73DD"/>
    <w:rsid w:val="00A07883"/>
    <w:rsid w:val="00A25617"/>
    <w:rsid w:val="00A373F5"/>
    <w:rsid w:val="00A55EF0"/>
    <w:rsid w:val="00A630D5"/>
    <w:rsid w:val="00AB3918"/>
    <w:rsid w:val="00B142AF"/>
    <w:rsid w:val="00B43C2E"/>
    <w:rsid w:val="00B76141"/>
    <w:rsid w:val="00BA0C53"/>
    <w:rsid w:val="00BB27C1"/>
    <w:rsid w:val="00BB4E45"/>
    <w:rsid w:val="00BC3316"/>
    <w:rsid w:val="00BE6523"/>
    <w:rsid w:val="00C0174F"/>
    <w:rsid w:val="00C7598D"/>
    <w:rsid w:val="00C80CFC"/>
    <w:rsid w:val="00C8219C"/>
    <w:rsid w:val="00CF4560"/>
    <w:rsid w:val="00CF4901"/>
    <w:rsid w:val="00D0590E"/>
    <w:rsid w:val="00D11DB4"/>
    <w:rsid w:val="00D40899"/>
    <w:rsid w:val="00D80B1A"/>
    <w:rsid w:val="00DB6700"/>
    <w:rsid w:val="00DC799C"/>
    <w:rsid w:val="00DF0004"/>
    <w:rsid w:val="00DF028E"/>
    <w:rsid w:val="00DF47A2"/>
    <w:rsid w:val="00DF64F1"/>
    <w:rsid w:val="00E16B65"/>
    <w:rsid w:val="00E22CB9"/>
    <w:rsid w:val="00E33DBC"/>
    <w:rsid w:val="00E50E03"/>
    <w:rsid w:val="00E67A5A"/>
    <w:rsid w:val="00EC3578"/>
    <w:rsid w:val="00ED7B62"/>
    <w:rsid w:val="00EF1502"/>
    <w:rsid w:val="00EF1E8C"/>
    <w:rsid w:val="00F259BB"/>
    <w:rsid w:val="00F60302"/>
    <w:rsid w:val="00F91BFE"/>
    <w:rsid w:val="00F977DE"/>
    <w:rsid w:val="00FA3963"/>
    <w:rsid w:val="00FB198E"/>
    <w:rsid w:val="00FC0FF3"/>
    <w:rsid w:val="00FF3E6C"/>
    <w:rsid w:val="2A99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8">
    <w:name w:val="annotation reference"/>
    <w:basedOn w:val="7"/>
    <w:autoRedefine/>
    <w:semiHidden/>
    <w:unhideWhenUsed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autoRedefine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customStyle="1" w:styleId="11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">
    <w:name w:val="批注文字 字符"/>
    <w:basedOn w:val="7"/>
    <w:link w:val="2"/>
    <w:semiHidden/>
    <w:uiPriority w:val="99"/>
    <w:rPr>
      <w:rFonts w:asciiTheme="minorHAnsi" w:hAnsiTheme="minorHAnsi" w:eastAsiaTheme="minorEastAsia" w:cstheme="minorBidi"/>
      <w:sz w:val="21"/>
      <w:szCs w:val="22"/>
    </w:rPr>
  </w:style>
  <w:style w:type="character" w:customStyle="1" w:styleId="13">
    <w:name w:val="批注主题 字符"/>
    <w:basedOn w:val="12"/>
    <w:link w:val="5"/>
    <w:semiHidden/>
    <w:uiPriority w:val="99"/>
    <w:rPr>
      <w:rFonts w:asciiTheme="minorHAnsi" w:hAnsiTheme="minorHAnsi" w:eastAsiaTheme="minorEastAsia" w:cstheme="minorBidi"/>
      <w:b/>
      <w:bCs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13D9D-3391-41C1-833C-14222652EE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1376</Words>
  <Characters>7845</Characters>
  <Lines>65</Lines>
  <Paragraphs>18</Paragraphs>
  <TotalTime>760</TotalTime>
  <ScaleCrop>false</ScaleCrop>
  <LinksUpToDate>false</LinksUpToDate>
  <CharactersWithSpaces>9203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2024-01-08T16:14:00Z</dcterms:created>
  <dc:creator>linjie Li</dc:creator>
  <cp:lastModifiedBy>休康</cp:lastModifiedBy>
  <dcterms:modified xsi:type="dcterms:W3CDTF">2024-03-19T15:13:34Z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873970A75216418199F7BE45945B01AB_12</vt:lpwstr>
  </property>
</Properties>
</file>