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CCE83" w14:textId="2EFC409C" w:rsidR="002F11C4" w:rsidRDefault="002F11C4"/>
    <w:tbl>
      <w:tblPr>
        <w:tblStyle w:val="a"/>
        <w:tblpPr w:leftFromText="180" w:rightFromText="180" w:vertAnchor="page" w:horzAnchor="margin" w:tblpXSpec="center"/>
        <w:tblW w:w="11457" w:type="dxa"/>
        <w:tblLayout w:type="fixed"/>
        <w:tblLook w:val="0400" w:firstRow="0" w:lastRow="0" w:firstColumn="0" w:lastColumn="0" w:noHBand="0" w:noVBand="1"/>
      </w:tblPr>
      <w:tblGrid>
        <w:gridCol w:w="522"/>
        <w:gridCol w:w="548"/>
        <w:gridCol w:w="90"/>
        <w:gridCol w:w="629"/>
        <w:gridCol w:w="611"/>
        <w:gridCol w:w="650"/>
        <w:gridCol w:w="630"/>
        <w:gridCol w:w="720"/>
        <w:gridCol w:w="720"/>
        <w:gridCol w:w="990"/>
        <w:gridCol w:w="1080"/>
        <w:gridCol w:w="2160"/>
        <w:gridCol w:w="641"/>
        <w:gridCol w:w="716"/>
        <w:gridCol w:w="750"/>
      </w:tblGrid>
      <w:tr w:rsidR="002F11C4" w14:paraId="516CCE92" w14:textId="77777777">
        <w:trPr>
          <w:trHeight w:val="1020"/>
        </w:trPr>
        <w:tc>
          <w:tcPr>
            <w:tcW w:w="522" w:type="dxa"/>
            <w:tcBorders>
              <w:top w:val="single" w:sz="8" w:space="0" w:color="000000"/>
              <w:left w:val="single" w:sz="8" w:space="0" w:color="000000"/>
              <w:bottom w:val="single" w:sz="8" w:space="0" w:color="000000"/>
              <w:right w:val="single" w:sz="8" w:space="0" w:color="000000"/>
            </w:tcBorders>
            <w:shd w:val="clear" w:color="auto" w:fill="FFF2CC"/>
            <w:vAlign w:val="center"/>
          </w:tcPr>
          <w:p w14:paraId="516CCE84" w14:textId="77777777" w:rsidR="002F11C4" w:rsidRDefault="007A0B94">
            <w:pPr>
              <w:spacing w:after="0" w:line="240" w:lineRule="auto"/>
              <w:jc w:val="center"/>
              <w:rPr>
                <w:rFonts w:ascii="Times New Roman" w:eastAsia="Times New Roman" w:hAnsi="Times New Roman" w:cs="Times New Roman"/>
                <w:b/>
                <w:color w:val="000000"/>
                <w:sz w:val="10"/>
                <w:szCs w:val="10"/>
              </w:rPr>
            </w:pPr>
            <w:bookmarkStart w:id="0" w:name="bookmark=id.gjdgxs" w:colFirst="0" w:colLast="0"/>
            <w:bookmarkEnd w:id="0"/>
            <w:r>
              <w:rPr>
                <w:rFonts w:ascii="Times New Roman" w:eastAsia="Times New Roman" w:hAnsi="Times New Roman" w:cs="Times New Roman"/>
                <w:b/>
                <w:color w:val="000000"/>
                <w:sz w:val="10"/>
                <w:szCs w:val="10"/>
              </w:rPr>
              <w:lastRenderedPageBreak/>
              <w:t>Patient ID</w:t>
            </w:r>
          </w:p>
        </w:tc>
        <w:tc>
          <w:tcPr>
            <w:tcW w:w="638" w:type="dxa"/>
            <w:gridSpan w:val="2"/>
            <w:tcBorders>
              <w:top w:val="single" w:sz="8" w:space="0" w:color="000000"/>
              <w:left w:val="nil"/>
              <w:bottom w:val="single" w:sz="8" w:space="0" w:color="000000"/>
              <w:right w:val="single" w:sz="8" w:space="0" w:color="000000"/>
            </w:tcBorders>
            <w:shd w:val="clear" w:color="auto" w:fill="FFF2CC"/>
            <w:vAlign w:val="center"/>
          </w:tcPr>
          <w:p w14:paraId="516CCE85" w14:textId="77777777" w:rsidR="002F11C4" w:rsidRDefault="007A0B94">
            <w:pPr>
              <w:spacing w:after="0" w:line="240" w:lineRule="auto"/>
              <w:jc w:val="center"/>
              <w:rPr>
                <w:rFonts w:ascii="Times New Roman" w:eastAsia="Times New Roman" w:hAnsi="Times New Roman" w:cs="Times New Roman"/>
                <w:b/>
                <w:color w:val="000000"/>
                <w:sz w:val="10"/>
                <w:szCs w:val="10"/>
              </w:rPr>
            </w:pPr>
            <w:r>
              <w:rPr>
                <w:rFonts w:ascii="Times New Roman" w:eastAsia="Times New Roman" w:hAnsi="Times New Roman" w:cs="Times New Roman"/>
                <w:b/>
                <w:color w:val="000000"/>
                <w:sz w:val="10"/>
                <w:szCs w:val="10"/>
              </w:rPr>
              <w:t>Biological Gender</w:t>
            </w:r>
          </w:p>
        </w:tc>
        <w:tc>
          <w:tcPr>
            <w:tcW w:w="629" w:type="dxa"/>
            <w:tcBorders>
              <w:top w:val="single" w:sz="8" w:space="0" w:color="000000"/>
              <w:left w:val="nil"/>
              <w:bottom w:val="single" w:sz="8" w:space="0" w:color="000000"/>
              <w:right w:val="single" w:sz="8" w:space="0" w:color="000000"/>
            </w:tcBorders>
            <w:shd w:val="clear" w:color="auto" w:fill="FFF2CC"/>
            <w:vAlign w:val="center"/>
          </w:tcPr>
          <w:p w14:paraId="516CCE86" w14:textId="77777777" w:rsidR="002F11C4" w:rsidRDefault="007A0B94">
            <w:pPr>
              <w:spacing w:after="0" w:line="240" w:lineRule="auto"/>
              <w:jc w:val="center"/>
              <w:rPr>
                <w:rFonts w:ascii="Times New Roman" w:eastAsia="Times New Roman" w:hAnsi="Times New Roman" w:cs="Times New Roman"/>
                <w:b/>
                <w:color w:val="000000"/>
                <w:sz w:val="10"/>
                <w:szCs w:val="10"/>
              </w:rPr>
            </w:pPr>
            <w:r>
              <w:rPr>
                <w:rFonts w:ascii="Times New Roman" w:eastAsia="Times New Roman" w:hAnsi="Times New Roman" w:cs="Times New Roman"/>
                <w:b/>
                <w:color w:val="000000"/>
                <w:sz w:val="10"/>
                <w:szCs w:val="10"/>
              </w:rPr>
              <w:t>Age at Diagnosis</w:t>
            </w:r>
          </w:p>
        </w:tc>
        <w:tc>
          <w:tcPr>
            <w:tcW w:w="611" w:type="dxa"/>
            <w:tcBorders>
              <w:top w:val="single" w:sz="8" w:space="0" w:color="000000"/>
              <w:left w:val="nil"/>
              <w:bottom w:val="single" w:sz="8" w:space="0" w:color="000000"/>
              <w:right w:val="single" w:sz="8" w:space="0" w:color="000000"/>
            </w:tcBorders>
            <w:shd w:val="clear" w:color="auto" w:fill="FFF2CC"/>
            <w:vAlign w:val="center"/>
          </w:tcPr>
          <w:p w14:paraId="516CCE87" w14:textId="77777777" w:rsidR="002F11C4" w:rsidRDefault="007A0B94">
            <w:pPr>
              <w:spacing w:after="0" w:line="240" w:lineRule="auto"/>
              <w:jc w:val="center"/>
              <w:rPr>
                <w:rFonts w:ascii="Times New Roman" w:eastAsia="Times New Roman" w:hAnsi="Times New Roman" w:cs="Times New Roman"/>
                <w:b/>
                <w:color w:val="000000"/>
                <w:sz w:val="10"/>
                <w:szCs w:val="10"/>
              </w:rPr>
            </w:pPr>
            <w:r>
              <w:rPr>
                <w:rFonts w:ascii="Times New Roman" w:eastAsia="Times New Roman" w:hAnsi="Times New Roman" w:cs="Times New Roman"/>
                <w:b/>
                <w:color w:val="000000"/>
                <w:sz w:val="10"/>
                <w:szCs w:val="10"/>
              </w:rPr>
              <w:t>Disease by imaging?</w:t>
            </w:r>
          </w:p>
        </w:tc>
        <w:tc>
          <w:tcPr>
            <w:tcW w:w="650" w:type="dxa"/>
            <w:tcBorders>
              <w:top w:val="single" w:sz="8" w:space="0" w:color="000000"/>
              <w:left w:val="nil"/>
              <w:bottom w:val="single" w:sz="8" w:space="0" w:color="000000"/>
              <w:right w:val="single" w:sz="8" w:space="0" w:color="000000"/>
            </w:tcBorders>
            <w:shd w:val="clear" w:color="auto" w:fill="FFF2CC"/>
            <w:vAlign w:val="center"/>
          </w:tcPr>
          <w:p w14:paraId="516CCE88" w14:textId="77777777" w:rsidR="002F11C4" w:rsidRDefault="007A0B94">
            <w:pPr>
              <w:spacing w:after="0" w:line="240" w:lineRule="auto"/>
              <w:jc w:val="center"/>
              <w:rPr>
                <w:rFonts w:ascii="Times New Roman" w:eastAsia="Times New Roman" w:hAnsi="Times New Roman" w:cs="Times New Roman"/>
                <w:b/>
                <w:color w:val="000000"/>
                <w:sz w:val="10"/>
                <w:szCs w:val="10"/>
              </w:rPr>
            </w:pPr>
            <w:r>
              <w:rPr>
                <w:rFonts w:ascii="Times New Roman" w:eastAsia="Times New Roman" w:hAnsi="Times New Roman" w:cs="Times New Roman"/>
                <w:b/>
                <w:color w:val="000000"/>
                <w:sz w:val="10"/>
                <w:szCs w:val="10"/>
              </w:rPr>
              <w:t>Imaging modality</w:t>
            </w:r>
          </w:p>
        </w:tc>
        <w:tc>
          <w:tcPr>
            <w:tcW w:w="630" w:type="dxa"/>
            <w:tcBorders>
              <w:top w:val="single" w:sz="8" w:space="0" w:color="000000"/>
              <w:left w:val="nil"/>
              <w:bottom w:val="single" w:sz="8" w:space="0" w:color="000000"/>
              <w:right w:val="single" w:sz="8" w:space="0" w:color="000000"/>
            </w:tcBorders>
            <w:shd w:val="clear" w:color="auto" w:fill="FFF2CC"/>
            <w:vAlign w:val="center"/>
          </w:tcPr>
          <w:p w14:paraId="516CCE89" w14:textId="77777777" w:rsidR="002F11C4" w:rsidRDefault="007A0B94">
            <w:pPr>
              <w:spacing w:after="0" w:line="240" w:lineRule="auto"/>
              <w:jc w:val="center"/>
              <w:rPr>
                <w:rFonts w:ascii="Times New Roman" w:eastAsia="Times New Roman" w:hAnsi="Times New Roman" w:cs="Times New Roman"/>
                <w:b/>
                <w:color w:val="000000"/>
                <w:sz w:val="10"/>
                <w:szCs w:val="10"/>
              </w:rPr>
            </w:pPr>
            <w:r>
              <w:rPr>
                <w:rFonts w:ascii="Times New Roman" w:eastAsia="Times New Roman" w:hAnsi="Times New Roman" w:cs="Times New Roman"/>
                <w:b/>
                <w:color w:val="000000"/>
                <w:sz w:val="10"/>
                <w:szCs w:val="10"/>
              </w:rPr>
              <w:t xml:space="preserve">Primary anatomic site </w:t>
            </w:r>
          </w:p>
        </w:tc>
        <w:tc>
          <w:tcPr>
            <w:tcW w:w="720" w:type="dxa"/>
            <w:tcBorders>
              <w:top w:val="single" w:sz="8" w:space="0" w:color="000000"/>
              <w:left w:val="nil"/>
              <w:bottom w:val="single" w:sz="8" w:space="0" w:color="000000"/>
              <w:right w:val="single" w:sz="8" w:space="0" w:color="000000"/>
            </w:tcBorders>
            <w:shd w:val="clear" w:color="auto" w:fill="FFF2CC"/>
            <w:vAlign w:val="center"/>
          </w:tcPr>
          <w:p w14:paraId="516CCE8A" w14:textId="77777777" w:rsidR="002F11C4" w:rsidRDefault="007A0B94">
            <w:pPr>
              <w:spacing w:after="0" w:line="240" w:lineRule="auto"/>
              <w:jc w:val="center"/>
              <w:rPr>
                <w:rFonts w:ascii="Times New Roman" w:eastAsia="Times New Roman" w:hAnsi="Times New Roman" w:cs="Times New Roman"/>
                <w:b/>
                <w:color w:val="000000"/>
                <w:sz w:val="10"/>
                <w:szCs w:val="10"/>
              </w:rPr>
            </w:pPr>
            <w:r>
              <w:rPr>
                <w:rFonts w:ascii="Times New Roman" w:eastAsia="Times New Roman" w:hAnsi="Times New Roman" w:cs="Times New Roman"/>
                <w:b/>
                <w:color w:val="000000"/>
                <w:sz w:val="10"/>
                <w:szCs w:val="10"/>
              </w:rPr>
              <w:t>Additional disease sites</w:t>
            </w:r>
          </w:p>
        </w:tc>
        <w:tc>
          <w:tcPr>
            <w:tcW w:w="720" w:type="dxa"/>
            <w:tcBorders>
              <w:top w:val="single" w:sz="8" w:space="0" w:color="000000"/>
              <w:left w:val="nil"/>
              <w:bottom w:val="single" w:sz="8" w:space="0" w:color="000000"/>
              <w:right w:val="single" w:sz="8" w:space="0" w:color="000000"/>
            </w:tcBorders>
            <w:shd w:val="clear" w:color="auto" w:fill="FFF2CC"/>
            <w:vAlign w:val="center"/>
          </w:tcPr>
          <w:p w14:paraId="516CCE8B" w14:textId="77777777" w:rsidR="002F11C4" w:rsidRDefault="007A0B94">
            <w:pPr>
              <w:spacing w:after="0" w:line="240" w:lineRule="auto"/>
              <w:jc w:val="center"/>
              <w:rPr>
                <w:rFonts w:ascii="Times New Roman" w:eastAsia="Times New Roman" w:hAnsi="Times New Roman" w:cs="Times New Roman"/>
                <w:b/>
                <w:color w:val="000000"/>
                <w:sz w:val="10"/>
                <w:szCs w:val="10"/>
              </w:rPr>
            </w:pPr>
            <w:r>
              <w:rPr>
                <w:rFonts w:ascii="Times New Roman" w:eastAsia="Times New Roman" w:hAnsi="Times New Roman" w:cs="Times New Roman"/>
                <w:b/>
                <w:color w:val="000000"/>
                <w:sz w:val="10"/>
                <w:szCs w:val="10"/>
              </w:rPr>
              <w:t xml:space="preserve">Molecular diagnostics utilized? </w:t>
            </w:r>
          </w:p>
        </w:tc>
        <w:tc>
          <w:tcPr>
            <w:tcW w:w="990" w:type="dxa"/>
            <w:tcBorders>
              <w:top w:val="single" w:sz="8" w:space="0" w:color="000000"/>
              <w:left w:val="nil"/>
              <w:bottom w:val="single" w:sz="8" w:space="0" w:color="000000"/>
              <w:right w:val="single" w:sz="8" w:space="0" w:color="000000"/>
            </w:tcBorders>
            <w:shd w:val="clear" w:color="auto" w:fill="FFF2CC"/>
            <w:vAlign w:val="center"/>
          </w:tcPr>
          <w:p w14:paraId="516CCE8C" w14:textId="77777777" w:rsidR="002F11C4" w:rsidRDefault="007A0B94">
            <w:pPr>
              <w:spacing w:after="0" w:line="240" w:lineRule="auto"/>
              <w:jc w:val="center"/>
              <w:rPr>
                <w:rFonts w:ascii="Times New Roman" w:eastAsia="Times New Roman" w:hAnsi="Times New Roman" w:cs="Times New Roman"/>
                <w:b/>
                <w:color w:val="000000"/>
                <w:sz w:val="10"/>
                <w:szCs w:val="10"/>
              </w:rPr>
            </w:pPr>
            <w:r>
              <w:rPr>
                <w:rFonts w:ascii="Times New Roman" w:eastAsia="Times New Roman" w:hAnsi="Times New Roman" w:cs="Times New Roman"/>
                <w:b/>
                <w:color w:val="000000"/>
                <w:sz w:val="10"/>
                <w:szCs w:val="10"/>
              </w:rPr>
              <w:t>If so, which modality - IHC (immunohistochemistry) or NGS (next generation sequencing)?</w:t>
            </w:r>
          </w:p>
        </w:tc>
        <w:tc>
          <w:tcPr>
            <w:tcW w:w="1080" w:type="dxa"/>
            <w:tcBorders>
              <w:top w:val="single" w:sz="8" w:space="0" w:color="000000"/>
              <w:left w:val="nil"/>
              <w:bottom w:val="single" w:sz="8" w:space="0" w:color="000000"/>
              <w:right w:val="single" w:sz="8" w:space="0" w:color="000000"/>
            </w:tcBorders>
            <w:shd w:val="clear" w:color="auto" w:fill="FFF2CC"/>
            <w:vAlign w:val="center"/>
          </w:tcPr>
          <w:p w14:paraId="516CCE8D" w14:textId="77777777" w:rsidR="002F11C4" w:rsidRDefault="007A0B94">
            <w:pPr>
              <w:spacing w:after="0" w:line="240" w:lineRule="auto"/>
              <w:jc w:val="center"/>
              <w:rPr>
                <w:rFonts w:ascii="Times New Roman" w:eastAsia="Times New Roman" w:hAnsi="Times New Roman" w:cs="Times New Roman"/>
                <w:b/>
                <w:color w:val="000000"/>
                <w:sz w:val="10"/>
                <w:szCs w:val="10"/>
              </w:rPr>
            </w:pPr>
            <w:r>
              <w:rPr>
                <w:rFonts w:ascii="Times New Roman" w:eastAsia="Times New Roman" w:hAnsi="Times New Roman" w:cs="Times New Roman"/>
                <w:b/>
                <w:color w:val="000000"/>
                <w:sz w:val="10"/>
                <w:szCs w:val="10"/>
              </w:rPr>
              <w:t>Additional IHC or molecular testing performed with specific description and results where available/applicable</w:t>
            </w:r>
          </w:p>
        </w:tc>
        <w:tc>
          <w:tcPr>
            <w:tcW w:w="2160" w:type="dxa"/>
            <w:tcBorders>
              <w:top w:val="single" w:sz="8" w:space="0" w:color="000000"/>
              <w:left w:val="nil"/>
              <w:bottom w:val="single" w:sz="8" w:space="0" w:color="000000"/>
              <w:right w:val="single" w:sz="8" w:space="0" w:color="000000"/>
            </w:tcBorders>
            <w:shd w:val="clear" w:color="auto" w:fill="FFF2CC"/>
            <w:vAlign w:val="center"/>
          </w:tcPr>
          <w:p w14:paraId="516CCE8E" w14:textId="77777777" w:rsidR="002F11C4" w:rsidRDefault="007A0B94">
            <w:pPr>
              <w:spacing w:after="0" w:line="240" w:lineRule="auto"/>
              <w:jc w:val="center"/>
              <w:rPr>
                <w:rFonts w:ascii="Times New Roman" w:eastAsia="Times New Roman" w:hAnsi="Times New Roman" w:cs="Times New Roman"/>
                <w:b/>
                <w:color w:val="000000"/>
                <w:sz w:val="10"/>
                <w:szCs w:val="10"/>
              </w:rPr>
            </w:pPr>
            <w:r>
              <w:rPr>
                <w:rFonts w:ascii="Times New Roman" w:eastAsia="Times New Roman" w:hAnsi="Times New Roman" w:cs="Times New Roman"/>
                <w:b/>
                <w:color w:val="000000"/>
                <w:sz w:val="10"/>
                <w:szCs w:val="10"/>
              </w:rPr>
              <w:t>Treatment summary</w:t>
            </w:r>
          </w:p>
        </w:tc>
        <w:tc>
          <w:tcPr>
            <w:tcW w:w="641" w:type="dxa"/>
            <w:tcBorders>
              <w:top w:val="single" w:sz="8" w:space="0" w:color="000000"/>
              <w:left w:val="nil"/>
              <w:bottom w:val="single" w:sz="8" w:space="0" w:color="000000"/>
              <w:right w:val="single" w:sz="8" w:space="0" w:color="000000"/>
            </w:tcBorders>
            <w:shd w:val="clear" w:color="auto" w:fill="FFF2CC"/>
            <w:vAlign w:val="center"/>
          </w:tcPr>
          <w:p w14:paraId="516CCE8F" w14:textId="77777777" w:rsidR="002F11C4" w:rsidRDefault="007A0B94">
            <w:pPr>
              <w:spacing w:after="0" w:line="240" w:lineRule="auto"/>
              <w:jc w:val="center"/>
              <w:rPr>
                <w:rFonts w:ascii="Times New Roman" w:eastAsia="Times New Roman" w:hAnsi="Times New Roman" w:cs="Times New Roman"/>
                <w:b/>
                <w:color w:val="000000"/>
                <w:sz w:val="10"/>
                <w:szCs w:val="10"/>
              </w:rPr>
            </w:pPr>
            <w:r>
              <w:rPr>
                <w:rFonts w:ascii="Times New Roman" w:eastAsia="Times New Roman" w:hAnsi="Times New Roman" w:cs="Times New Roman"/>
                <w:b/>
                <w:color w:val="000000"/>
                <w:sz w:val="10"/>
                <w:szCs w:val="10"/>
              </w:rPr>
              <w:t>Best Response or Disease Status Achieved</w:t>
            </w:r>
          </w:p>
        </w:tc>
        <w:tc>
          <w:tcPr>
            <w:tcW w:w="716" w:type="dxa"/>
            <w:tcBorders>
              <w:top w:val="single" w:sz="8" w:space="0" w:color="000000"/>
              <w:left w:val="nil"/>
              <w:bottom w:val="single" w:sz="8" w:space="0" w:color="000000"/>
              <w:right w:val="single" w:sz="8" w:space="0" w:color="000000"/>
            </w:tcBorders>
            <w:shd w:val="clear" w:color="auto" w:fill="FFF2CC"/>
            <w:vAlign w:val="center"/>
          </w:tcPr>
          <w:p w14:paraId="516CCE90" w14:textId="77777777" w:rsidR="002F11C4" w:rsidRDefault="007A0B94">
            <w:pPr>
              <w:spacing w:after="0" w:line="240" w:lineRule="auto"/>
              <w:jc w:val="center"/>
              <w:rPr>
                <w:rFonts w:ascii="Times New Roman" w:eastAsia="Times New Roman" w:hAnsi="Times New Roman" w:cs="Times New Roman"/>
                <w:b/>
                <w:color w:val="000000"/>
                <w:sz w:val="10"/>
                <w:szCs w:val="10"/>
              </w:rPr>
            </w:pPr>
            <w:r>
              <w:rPr>
                <w:rFonts w:ascii="Times New Roman" w:eastAsia="Times New Roman" w:hAnsi="Times New Roman" w:cs="Times New Roman"/>
                <w:b/>
                <w:color w:val="000000"/>
                <w:sz w:val="10"/>
                <w:szCs w:val="10"/>
              </w:rPr>
              <w:t>Highest monocytes in the absence of therapy or prior to/in the course of disease progression</w:t>
            </w:r>
          </w:p>
        </w:tc>
        <w:tc>
          <w:tcPr>
            <w:tcW w:w="750" w:type="dxa"/>
            <w:tcBorders>
              <w:top w:val="single" w:sz="8" w:space="0" w:color="000000"/>
              <w:left w:val="nil"/>
              <w:bottom w:val="single" w:sz="8" w:space="0" w:color="000000"/>
              <w:right w:val="single" w:sz="8" w:space="0" w:color="000000"/>
            </w:tcBorders>
            <w:shd w:val="clear" w:color="auto" w:fill="FFF2CC"/>
            <w:vAlign w:val="center"/>
          </w:tcPr>
          <w:p w14:paraId="516CCE91" w14:textId="77777777" w:rsidR="002F11C4" w:rsidRDefault="007A0B94">
            <w:pPr>
              <w:spacing w:after="0" w:line="240" w:lineRule="auto"/>
              <w:jc w:val="center"/>
              <w:rPr>
                <w:rFonts w:ascii="Times New Roman" w:eastAsia="Times New Roman" w:hAnsi="Times New Roman" w:cs="Times New Roman"/>
                <w:b/>
                <w:color w:val="000000"/>
                <w:sz w:val="10"/>
                <w:szCs w:val="10"/>
              </w:rPr>
            </w:pPr>
            <w:r>
              <w:rPr>
                <w:rFonts w:ascii="Times New Roman" w:eastAsia="Times New Roman" w:hAnsi="Times New Roman" w:cs="Times New Roman"/>
                <w:b/>
                <w:color w:val="000000"/>
                <w:sz w:val="10"/>
                <w:szCs w:val="10"/>
              </w:rPr>
              <w:t>Monocytes with re-institution of therapy (N/A if no disease progression)</w:t>
            </w:r>
          </w:p>
        </w:tc>
      </w:tr>
      <w:tr w:rsidR="002F11C4" w14:paraId="516CCEA1" w14:textId="77777777">
        <w:trPr>
          <w:trHeight w:val="1470"/>
        </w:trPr>
        <w:tc>
          <w:tcPr>
            <w:tcW w:w="522" w:type="dxa"/>
            <w:tcBorders>
              <w:top w:val="nil"/>
              <w:left w:val="single" w:sz="8" w:space="0" w:color="000000"/>
              <w:bottom w:val="nil"/>
              <w:right w:val="single" w:sz="8" w:space="0" w:color="000000"/>
            </w:tcBorders>
            <w:shd w:val="clear" w:color="auto" w:fill="FFFFFF"/>
            <w:vAlign w:val="center"/>
          </w:tcPr>
          <w:p w14:paraId="516CCE93"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1</w:t>
            </w:r>
          </w:p>
        </w:tc>
        <w:tc>
          <w:tcPr>
            <w:tcW w:w="548" w:type="dxa"/>
            <w:tcBorders>
              <w:top w:val="nil"/>
              <w:left w:val="nil"/>
              <w:bottom w:val="nil"/>
              <w:right w:val="single" w:sz="8" w:space="0" w:color="000000"/>
            </w:tcBorders>
            <w:shd w:val="clear" w:color="auto" w:fill="FFFFFF"/>
            <w:vAlign w:val="center"/>
          </w:tcPr>
          <w:p w14:paraId="516CCE94"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Female </w:t>
            </w:r>
          </w:p>
        </w:tc>
        <w:tc>
          <w:tcPr>
            <w:tcW w:w="719" w:type="dxa"/>
            <w:gridSpan w:val="2"/>
            <w:tcBorders>
              <w:top w:val="nil"/>
              <w:left w:val="nil"/>
              <w:bottom w:val="nil"/>
              <w:right w:val="single" w:sz="8" w:space="0" w:color="000000"/>
            </w:tcBorders>
            <w:shd w:val="clear" w:color="auto" w:fill="FFFFFF"/>
            <w:vAlign w:val="center"/>
          </w:tcPr>
          <w:p w14:paraId="516CCE95"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77</w:t>
            </w:r>
          </w:p>
        </w:tc>
        <w:tc>
          <w:tcPr>
            <w:tcW w:w="611" w:type="dxa"/>
            <w:tcBorders>
              <w:top w:val="nil"/>
              <w:left w:val="nil"/>
              <w:bottom w:val="nil"/>
              <w:right w:val="single" w:sz="8" w:space="0" w:color="000000"/>
            </w:tcBorders>
            <w:shd w:val="clear" w:color="auto" w:fill="FFFFFF"/>
            <w:vAlign w:val="center"/>
          </w:tcPr>
          <w:p w14:paraId="516CCE96"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Yes</w:t>
            </w:r>
          </w:p>
        </w:tc>
        <w:tc>
          <w:tcPr>
            <w:tcW w:w="650" w:type="dxa"/>
            <w:tcBorders>
              <w:top w:val="nil"/>
              <w:left w:val="nil"/>
              <w:bottom w:val="nil"/>
              <w:right w:val="single" w:sz="8" w:space="0" w:color="000000"/>
            </w:tcBorders>
            <w:shd w:val="clear" w:color="auto" w:fill="FFFFFF"/>
            <w:vAlign w:val="center"/>
          </w:tcPr>
          <w:p w14:paraId="516CCE97"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PET</w:t>
            </w:r>
          </w:p>
        </w:tc>
        <w:tc>
          <w:tcPr>
            <w:tcW w:w="630" w:type="dxa"/>
            <w:tcBorders>
              <w:top w:val="nil"/>
              <w:left w:val="nil"/>
              <w:bottom w:val="nil"/>
              <w:right w:val="single" w:sz="8" w:space="0" w:color="000000"/>
            </w:tcBorders>
            <w:shd w:val="clear" w:color="auto" w:fill="FFFFFF"/>
            <w:vAlign w:val="center"/>
          </w:tcPr>
          <w:p w14:paraId="516CCE98"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Cutaneous </w:t>
            </w:r>
          </w:p>
        </w:tc>
        <w:tc>
          <w:tcPr>
            <w:tcW w:w="720" w:type="dxa"/>
            <w:tcBorders>
              <w:top w:val="nil"/>
              <w:left w:val="nil"/>
              <w:bottom w:val="nil"/>
              <w:right w:val="single" w:sz="8" w:space="0" w:color="000000"/>
            </w:tcBorders>
            <w:shd w:val="clear" w:color="auto" w:fill="FFFFFF"/>
            <w:vAlign w:val="center"/>
          </w:tcPr>
          <w:p w14:paraId="516CCE99"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None</w:t>
            </w:r>
          </w:p>
        </w:tc>
        <w:tc>
          <w:tcPr>
            <w:tcW w:w="720" w:type="dxa"/>
            <w:tcBorders>
              <w:top w:val="nil"/>
              <w:left w:val="nil"/>
              <w:bottom w:val="nil"/>
              <w:right w:val="single" w:sz="8" w:space="0" w:color="000000"/>
            </w:tcBorders>
            <w:shd w:val="clear" w:color="auto" w:fill="FFFFFF"/>
            <w:vAlign w:val="center"/>
          </w:tcPr>
          <w:p w14:paraId="516CCE9A"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Yes</w:t>
            </w:r>
          </w:p>
        </w:tc>
        <w:tc>
          <w:tcPr>
            <w:tcW w:w="990" w:type="dxa"/>
            <w:tcBorders>
              <w:top w:val="nil"/>
              <w:left w:val="nil"/>
              <w:bottom w:val="nil"/>
              <w:right w:val="single" w:sz="8" w:space="0" w:color="000000"/>
            </w:tcBorders>
            <w:shd w:val="clear" w:color="auto" w:fill="FFFFFF"/>
            <w:vAlign w:val="center"/>
          </w:tcPr>
          <w:p w14:paraId="516CCE9B"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NGS</w:t>
            </w:r>
          </w:p>
        </w:tc>
        <w:tc>
          <w:tcPr>
            <w:tcW w:w="1080" w:type="dxa"/>
            <w:tcBorders>
              <w:top w:val="nil"/>
              <w:left w:val="nil"/>
              <w:bottom w:val="nil"/>
              <w:right w:val="single" w:sz="8" w:space="0" w:color="000000"/>
            </w:tcBorders>
            <w:shd w:val="clear" w:color="auto" w:fill="FFFFFF"/>
            <w:vAlign w:val="center"/>
          </w:tcPr>
          <w:p w14:paraId="516CCE9C"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BRAF Negative</w:t>
            </w:r>
          </w:p>
        </w:tc>
        <w:tc>
          <w:tcPr>
            <w:tcW w:w="2160" w:type="dxa"/>
            <w:tcBorders>
              <w:top w:val="nil"/>
              <w:left w:val="nil"/>
              <w:bottom w:val="nil"/>
              <w:right w:val="single" w:sz="8" w:space="0" w:color="000000"/>
            </w:tcBorders>
            <w:shd w:val="clear" w:color="auto" w:fill="FFFFFF"/>
            <w:vAlign w:val="center"/>
          </w:tcPr>
          <w:p w14:paraId="516CCE9D"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RT to initial postauricular lesion w/ complete response -&gt; Recurrence two years later, started on MTX (11 mon), d/c'ed due to intolerability and kidney function</w:t>
            </w:r>
          </w:p>
        </w:tc>
        <w:tc>
          <w:tcPr>
            <w:tcW w:w="641" w:type="dxa"/>
            <w:tcBorders>
              <w:top w:val="nil"/>
              <w:left w:val="nil"/>
              <w:bottom w:val="nil"/>
              <w:right w:val="single" w:sz="8" w:space="0" w:color="000000"/>
            </w:tcBorders>
            <w:shd w:val="clear" w:color="auto" w:fill="FFFFFF"/>
            <w:vAlign w:val="center"/>
          </w:tcPr>
          <w:p w14:paraId="516CCE9E"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Complete Response </w:t>
            </w:r>
          </w:p>
        </w:tc>
        <w:tc>
          <w:tcPr>
            <w:tcW w:w="716" w:type="dxa"/>
            <w:tcBorders>
              <w:top w:val="nil"/>
              <w:left w:val="nil"/>
              <w:bottom w:val="nil"/>
              <w:right w:val="single" w:sz="8" w:space="0" w:color="000000"/>
            </w:tcBorders>
            <w:shd w:val="clear" w:color="auto" w:fill="FFFFFF"/>
            <w:vAlign w:val="center"/>
          </w:tcPr>
          <w:p w14:paraId="516CCE9F"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1.82</w:t>
            </w:r>
          </w:p>
        </w:tc>
        <w:tc>
          <w:tcPr>
            <w:tcW w:w="750" w:type="dxa"/>
            <w:tcBorders>
              <w:top w:val="nil"/>
              <w:left w:val="nil"/>
              <w:bottom w:val="nil"/>
              <w:right w:val="single" w:sz="8" w:space="0" w:color="000000"/>
            </w:tcBorders>
            <w:shd w:val="clear" w:color="auto" w:fill="FFFFFF"/>
            <w:vAlign w:val="center"/>
          </w:tcPr>
          <w:p w14:paraId="516CCEA0"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0.6</w:t>
            </w:r>
          </w:p>
        </w:tc>
      </w:tr>
      <w:tr w:rsidR="002F11C4" w14:paraId="516CCEB0" w14:textId="77777777">
        <w:trPr>
          <w:trHeight w:val="510"/>
        </w:trPr>
        <w:tc>
          <w:tcPr>
            <w:tcW w:w="52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6CCEA2"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2</w:t>
            </w:r>
          </w:p>
        </w:tc>
        <w:tc>
          <w:tcPr>
            <w:tcW w:w="548" w:type="dxa"/>
            <w:tcBorders>
              <w:top w:val="single" w:sz="8" w:space="0" w:color="000000"/>
              <w:left w:val="nil"/>
              <w:bottom w:val="single" w:sz="8" w:space="0" w:color="000000"/>
              <w:right w:val="single" w:sz="8" w:space="0" w:color="000000"/>
            </w:tcBorders>
            <w:shd w:val="clear" w:color="auto" w:fill="FFFFFF"/>
            <w:vAlign w:val="center"/>
          </w:tcPr>
          <w:p w14:paraId="516CCEA3"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Male</w:t>
            </w:r>
          </w:p>
        </w:tc>
        <w:tc>
          <w:tcPr>
            <w:tcW w:w="719" w:type="dxa"/>
            <w:gridSpan w:val="2"/>
            <w:tcBorders>
              <w:top w:val="single" w:sz="8" w:space="0" w:color="000000"/>
              <w:left w:val="nil"/>
              <w:bottom w:val="single" w:sz="8" w:space="0" w:color="000000"/>
              <w:right w:val="single" w:sz="8" w:space="0" w:color="000000"/>
            </w:tcBorders>
            <w:shd w:val="clear" w:color="auto" w:fill="FFFFFF"/>
            <w:vAlign w:val="center"/>
          </w:tcPr>
          <w:p w14:paraId="516CCEA4"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47</w:t>
            </w:r>
          </w:p>
        </w:tc>
        <w:tc>
          <w:tcPr>
            <w:tcW w:w="611" w:type="dxa"/>
            <w:tcBorders>
              <w:top w:val="single" w:sz="8" w:space="0" w:color="000000"/>
              <w:left w:val="nil"/>
              <w:bottom w:val="single" w:sz="8" w:space="0" w:color="000000"/>
              <w:right w:val="single" w:sz="8" w:space="0" w:color="000000"/>
            </w:tcBorders>
            <w:shd w:val="clear" w:color="auto" w:fill="FFFFFF"/>
            <w:vAlign w:val="center"/>
          </w:tcPr>
          <w:p w14:paraId="516CCEA5"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Yes</w:t>
            </w:r>
          </w:p>
        </w:tc>
        <w:tc>
          <w:tcPr>
            <w:tcW w:w="650" w:type="dxa"/>
            <w:tcBorders>
              <w:top w:val="single" w:sz="8" w:space="0" w:color="000000"/>
              <w:left w:val="nil"/>
              <w:bottom w:val="single" w:sz="8" w:space="0" w:color="000000"/>
              <w:right w:val="single" w:sz="8" w:space="0" w:color="000000"/>
            </w:tcBorders>
            <w:shd w:val="clear" w:color="auto" w:fill="FFFFFF"/>
            <w:vAlign w:val="center"/>
          </w:tcPr>
          <w:p w14:paraId="516CCEA6"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PET, DEXA</w:t>
            </w:r>
          </w:p>
        </w:tc>
        <w:tc>
          <w:tcPr>
            <w:tcW w:w="630" w:type="dxa"/>
            <w:tcBorders>
              <w:top w:val="single" w:sz="8" w:space="0" w:color="000000"/>
              <w:left w:val="nil"/>
              <w:bottom w:val="single" w:sz="8" w:space="0" w:color="000000"/>
              <w:right w:val="single" w:sz="8" w:space="0" w:color="000000"/>
            </w:tcBorders>
            <w:shd w:val="clear" w:color="auto" w:fill="FFFFFF"/>
            <w:vAlign w:val="center"/>
          </w:tcPr>
          <w:p w14:paraId="516CCEA7"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Cutaneous </w:t>
            </w:r>
          </w:p>
        </w:tc>
        <w:tc>
          <w:tcPr>
            <w:tcW w:w="720" w:type="dxa"/>
            <w:tcBorders>
              <w:top w:val="single" w:sz="8" w:space="0" w:color="000000"/>
              <w:left w:val="nil"/>
              <w:bottom w:val="single" w:sz="8" w:space="0" w:color="000000"/>
              <w:right w:val="single" w:sz="8" w:space="0" w:color="000000"/>
            </w:tcBorders>
            <w:shd w:val="clear" w:color="auto" w:fill="FFFFFF"/>
            <w:vAlign w:val="center"/>
          </w:tcPr>
          <w:p w14:paraId="516CCEA8"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None</w:t>
            </w:r>
          </w:p>
        </w:tc>
        <w:tc>
          <w:tcPr>
            <w:tcW w:w="720" w:type="dxa"/>
            <w:tcBorders>
              <w:top w:val="single" w:sz="8" w:space="0" w:color="000000"/>
              <w:left w:val="nil"/>
              <w:bottom w:val="single" w:sz="8" w:space="0" w:color="000000"/>
              <w:right w:val="single" w:sz="8" w:space="0" w:color="000000"/>
            </w:tcBorders>
            <w:shd w:val="clear" w:color="auto" w:fill="FFFFFF"/>
            <w:vAlign w:val="center"/>
          </w:tcPr>
          <w:p w14:paraId="516CCEA9"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No</w:t>
            </w:r>
          </w:p>
        </w:tc>
        <w:tc>
          <w:tcPr>
            <w:tcW w:w="990" w:type="dxa"/>
            <w:tcBorders>
              <w:top w:val="single" w:sz="8" w:space="0" w:color="000000"/>
              <w:left w:val="nil"/>
              <w:bottom w:val="single" w:sz="8" w:space="0" w:color="000000"/>
              <w:right w:val="single" w:sz="8" w:space="0" w:color="000000"/>
            </w:tcBorders>
            <w:shd w:val="clear" w:color="auto" w:fill="FFFFFF"/>
            <w:vAlign w:val="center"/>
          </w:tcPr>
          <w:p w14:paraId="516CCEAA"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NGS</w:t>
            </w:r>
          </w:p>
        </w:tc>
        <w:tc>
          <w:tcPr>
            <w:tcW w:w="1080" w:type="dxa"/>
            <w:tcBorders>
              <w:top w:val="single" w:sz="8" w:space="0" w:color="000000"/>
              <w:left w:val="nil"/>
              <w:bottom w:val="single" w:sz="8" w:space="0" w:color="000000"/>
              <w:right w:val="single" w:sz="8" w:space="0" w:color="000000"/>
            </w:tcBorders>
            <w:shd w:val="clear" w:color="auto" w:fill="FFFFFF"/>
            <w:vAlign w:val="center"/>
          </w:tcPr>
          <w:p w14:paraId="516CCEAB"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Skin bx's: BRAF V600E and V600K neg.  KIT D816V positive.                        BMBx: negative for JAK2 V617F, KIT mutation and BCR-ABL</w:t>
            </w:r>
          </w:p>
        </w:tc>
        <w:tc>
          <w:tcPr>
            <w:tcW w:w="2160" w:type="dxa"/>
            <w:tcBorders>
              <w:top w:val="single" w:sz="8" w:space="0" w:color="000000"/>
              <w:left w:val="nil"/>
              <w:bottom w:val="single" w:sz="8" w:space="0" w:color="000000"/>
              <w:right w:val="single" w:sz="8" w:space="0" w:color="000000"/>
            </w:tcBorders>
            <w:shd w:val="clear" w:color="auto" w:fill="FFFFFF"/>
            <w:vAlign w:val="center"/>
          </w:tcPr>
          <w:p w14:paraId="516CCEAC"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Observation, Patient remained asymptomatic  </w:t>
            </w:r>
          </w:p>
        </w:tc>
        <w:tc>
          <w:tcPr>
            <w:tcW w:w="641" w:type="dxa"/>
            <w:tcBorders>
              <w:top w:val="single" w:sz="8" w:space="0" w:color="000000"/>
              <w:left w:val="nil"/>
              <w:bottom w:val="single" w:sz="8" w:space="0" w:color="000000"/>
              <w:right w:val="single" w:sz="8" w:space="0" w:color="000000"/>
            </w:tcBorders>
            <w:shd w:val="clear" w:color="auto" w:fill="FFFFFF"/>
            <w:vAlign w:val="center"/>
          </w:tcPr>
          <w:p w14:paraId="516CCEAD"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Stable disease</w:t>
            </w:r>
          </w:p>
        </w:tc>
        <w:tc>
          <w:tcPr>
            <w:tcW w:w="716" w:type="dxa"/>
            <w:tcBorders>
              <w:top w:val="single" w:sz="8" w:space="0" w:color="000000"/>
              <w:left w:val="nil"/>
              <w:bottom w:val="single" w:sz="8" w:space="0" w:color="000000"/>
              <w:right w:val="single" w:sz="8" w:space="0" w:color="000000"/>
            </w:tcBorders>
            <w:shd w:val="clear" w:color="auto" w:fill="FFFFFF"/>
            <w:vAlign w:val="center"/>
          </w:tcPr>
          <w:p w14:paraId="516CCEAE"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N/A</w:t>
            </w:r>
          </w:p>
        </w:tc>
        <w:tc>
          <w:tcPr>
            <w:tcW w:w="750" w:type="dxa"/>
            <w:tcBorders>
              <w:top w:val="single" w:sz="8" w:space="0" w:color="000000"/>
              <w:left w:val="nil"/>
              <w:bottom w:val="single" w:sz="8" w:space="0" w:color="000000"/>
              <w:right w:val="single" w:sz="8" w:space="0" w:color="000000"/>
            </w:tcBorders>
            <w:shd w:val="clear" w:color="auto" w:fill="FFFFFF"/>
            <w:vAlign w:val="center"/>
          </w:tcPr>
          <w:p w14:paraId="516CCEAF"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N/A</w:t>
            </w:r>
          </w:p>
        </w:tc>
      </w:tr>
      <w:tr w:rsidR="002F11C4" w14:paraId="516CCEC3" w14:textId="77777777">
        <w:trPr>
          <w:trHeight w:val="1605"/>
        </w:trPr>
        <w:tc>
          <w:tcPr>
            <w:tcW w:w="522" w:type="dxa"/>
            <w:tcBorders>
              <w:top w:val="nil"/>
              <w:left w:val="single" w:sz="8" w:space="0" w:color="000000"/>
              <w:bottom w:val="nil"/>
              <w:right w:val="single" w:sz="8" w:space="0" w:color="000000"/>
            </w:tcBorders>
            <w:shd w:val="clear" w:color="auto" w:fill="FFFFFF"/>
            <w:vAlign w:val="center"/>
          </w:tcPr>
          <w:p w14:paraId="516CCEB1"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3</w:t>
            </w:r>
          </w:p>
        </w:tc>
        <w:tc>
          <w:tcPr>
            <w:tcW w:w="548" w:type="dxa"/>
            <w:tcBorders>
              <w:top w:val="nil"/>
              <w:left w:val="nil"/>
              <w:bottom w:val="nil"/>
              <w:right w:val="single" w:sz="8" w:space="0" w:color="000000"/>
            </w:tcBorders>
            <w:shd w:val="clear" w:color="auto" w:fill="FFFFFF"/>
            <w:vAlign w:val="center"/>
          </w:tcPr>
          <w:p w14:paraId="516CCEB2"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Male</w:t>
            </w:r>
          </w:p>
        </w:tc>
        <w:tc>
          <w:tcPr>
            <w:tcW w:w="719" w:type="dxa"/>
            <w:gridSpan w:val="2"/>
            <w:tcBorders>
              <w:top w:val="nil"/>
              <w:left w:val="nil"/>
              <w:bottom w:val="nil"/>
              <w:right w:val="single" w:sz="8" w:space="0" w:color="000000"/>
            </w:tcBorders>
            <w:shd w:val="clear" w:color="auto" w:fill="FFFFFF"/>
            <w:vAlign w:val="center"/>
          </w:tcPr>
          <w:p w14:paraId="516CCEB3"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16</w:t>
            </w:r>
          </w:p>
        </w:tc>
        <w:tc>
          <w:tcPr>
            <w:tcW w:w="611" w:type="dxa"/>
            <w:tcBorders>
              <w:top w:val="nil"/>
              <w:left w:val="nil"/>
              <w:bottom w:val="nil"/>
              <w:right w:val="single" w:sz="8" w:space="0" w:color="000000"/>
            </w:tcBorders>
            <w:shd w:val="clear" w:color="auto" w:fill="FFFFFF"/>
            <w:vAlign w:val="center"/>
          </w:tcPr>
          <w:p w14:paraId="516CCEB4"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Yes</w:t>
            </w:r>
          </w:p>
        </w:tc>
        <w:tc>
          <w:tcPr>
            <w:tcW w:w="650" w:type="dxa"/>
            <w:tcBorders>
              <w:top w:val="nil"/>
              <w:left w:val="nil"/>
              <w:bottom w:val="nil"/>
              <w:right w:val="single" w:sz="8" w:space="0" w:color="000000"/>
            </w:tcBorders>
            <w:shd w:val="clear" w:color="auto" w:fill="FFFFFF"/>
            <w:vAlign w:val="center"/>
          </w:tcPr>
          <w:p w14:paraId="516CCEB5"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PET, MR brain, skeletal survey</w:t>
            </w:r>
          </w:p>
        </w:tc>
        <w:tc>
          <w:tcPr>
            <w:tcW w:w="630" w:type="dxa"/>
            <w:tcBorders>
              <w:top w:val="nil"/>
              <w:left w:val="nil"/>
              <w:bottom w:val="nil"/>
              <w:right w:val="single" w:sz="8" w:space="0" w:color="000000"/>
            </w:tcBorders>
            <w:shd w:val="clear" w:color="auto" w:fill="FFFFFF"/>
            <w:vAlign w:val="center"/>
          </w:tcPr>
          <w:p w14:paraId="516CCEB6"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Frontal Bone </w:t>
            </w:r>
          </w:p>
        </w:tc>
        <w:tc>
          <w:tcPr>
            <w:tcW w:w="720" w:type="dxa"/>
            <w:tcBorders>
              <w:top w:val="nil"/>
              <w:left w:val="nil"/>
              <w:bottom w:val="nil"/>
              <w:right w:val="single" w:sz="8" w:space="0" w:color="000000"/>
            </w:tcBorders>
            <w:shd w:val="clear" w:color="auto" w:fill="FFFFFF"/>
            <w:vAlign w:val="center"/>
          </w:tcPr>
          <w:p w14:paraId="516CCEB7"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None </w:t>
            </w:r>
          </w:p>
        </w:tc>
        <w:tc>
          <w:tcPr>
            <w:tcW w:w="720" w:type="dxa"/>
            <w:tcBorders>
              <w:top w:val="nil"/>
              <w:left w:val="nil"/>
              <w:bottom w:val="nil"/>
              <w:right w:val="single" w:sz="8" w:space="0" w:color="000000"/>
            </w:tcBorders>
            <w:shd w:val="clear" w:color="auto" w:fill="FFFFFF"/>
            <w:vAlign w:val="center"/>
          </w:tcPr>
          <w:p w14:paraId="516CCEB8"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None</w:t>
            </w:r>
          </w:p>
        </w:tc>
        <w:tc>
          <w:tcPr>
            <w:tcW w:w="990" w:type="dxa"/>
            <w:tcBorders>
              <w:top w:val="nil"/>
              <w:left w:val="nil"/>
              <w:bottom w:val="nil"/>
              <w:right w:val="single" w:sz="8" w:space="0" w:color="000000"/>
            </w:tcBorders>
            <w:shd w:val="clear" w:color="auto" w:fill="FFFFFF"/>
            <w:vAlign w:val="center"/>
          </w:tcPr>
          <w:p w14:paraId="516CCEB9"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N/A</w:t>
            </w:r>
          </w:p>
        </w:tc>
        <w:tc>
          <w:tcPr>
            <w:tcW w:w="1080" w:type="dxa"/>
            <w:tcBorders>
              <w:top w:val="nil"/>
              <w:left w:val="nil"/>
              <w:bottom w:val="nil"/>
              <w:right w:val="single" w:sz="8" w:space="0" w:color="000000"/>
            </w:tcBorders>
            <w:shd w:val="clear" w:color="auto" w:fill="FFFFFF"/>
            <w:vAlign w:val="center"/>
          </w:tcPr>
          <w:p w14:paraId="516CCEBA"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Multinucleated  </w:t>
            </w:r>
          </w:p>
          <w:p w14:paraId="516CCEBB"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macrophages (mainly CD68), small lymphocytes (CD3, CD20) and some            </w:t>
            </w:r>
          </w:p>
          <w:p w14:paraId="516CCEBC"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eosinophils. Langerhans cells with irregular nuclei,  </w:t>
            </w:r>
          </w:p>
          <w:p w14:paraId="516CCEBD"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often cleaved, which are immunoreactive for CD1a and S100.  </w:t>
            </w:r>
          </w:p>
          <w:p w14:paraId="516CCEBE" w14:textId="77777777" w:rsidR="002F11C4" w:rsidRDefault="002F11C4">
            <w:pPr>
              <w:spacing w:after="0" w:line="240" w:lineRule="auto"/>
              <w:rPr>
                <w:rFonts w:ascii="Times New Roman" w:eastAsia="Times New Roman" w:hAnsi="Times New Roman" w:cs="Times New Roman"/>
                <w:sz w:val="10"/>
                <w:szCs w:val="10"/>
              </w:rPr>
            </w:pPr>
          </w:p>
        </w:tc>
        <w:tc>
          <w:tcPr>
            <w:tcW w:w="2160" w:type="dxa"/>
            <w:tcBorders>
              <w:top w:val="nil"/>
              <w:left w:val="nil"/>
              <w:bottom w:val="nil"/>
              <w:right w:val="single" w:sz="8" w:space="0" w:color="000000"/>
            </w:tcBorders>
            <w:shd w:val="clear" w:color="auto" w:fill="FFFFFF"/>
            <w:vAlign w:val="center"/>
          </w:tcPr>
          <w:p w14:paraId="516CCEBF"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Resection of frontal bone lesion -&gt; observation</w:t>
            </w:r>
          </w:p>
        </w:tc>
        <w:tc>
          <w:tcPr>
            <w:tcW w:w="641" w:type="dxa"/>
            <w:tcBorders>
              <w:top w:val="nil"/>
              <w:left w:val="nil"/>
              <w:bottom w:val="nil"/>
              <w:right w:val="single" w:sz="8" w:space="0" w:color="000000"/>
            </w:tcBorders>
            <w:shd w:val="clear" w:color="auto" w:fill="FFFFFF"/>
            <w:vAlign w:val="center"/>
          </w:tcPr>
          <w:p w14:paraId="516CCEC0"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Complete Response </w:t>
            </w:r>
          </w:p>
        </w:tc>
        <w:tc>
          <w:tcPr>
            <w:tcW w:w="716" w:type="dxa"/>
            <w:tcBorders>
              <w:top w:val="nil"/>
              <w:left w:val="nil"/>
              <w:bottom w:val="nil"/>
              <w:right w:val="single" w:sz="8" w:space="0" w:color="000000"/>
            </w:tcBorders>
            <w:shd w:val="clear" w:color="auto" w:fill="FFFFFF"/>
            <w:vAlign w:val="center"/>
          </w:tcPr>
          <w:p w14:paraId="516CCEC1"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N/A</w:t>
            </w:r>
          </w:p>
        </w:tc>
        <w:tc>
          <w:tcPr>
            <w:tcW w:w="750" w:type="dxa"/>
            <w:tcBorders>
              <w:top w:val="nil"/>
              <w:left w:val="nil"/>
              <w:bottom w:val="nil"/>
              <w:right w:val="single" w:sz="8" w:space="0" w:color="000000"/>
            </w:tcBorders>
            <w:shd w:val="clear" w:color="auto" w:fill="FFFFFF"/>
            <w:vAlign w:val="center"/>
          </w:tcPr>
          <w:p w14:paraId="516CCEC2" w14:textId="77777777" w:rsidR="002F11C4" w:rsidRDefault="007A0B94">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10"/>
                <w:szCs w:val="10"/>
              </w:rPr>
              <w:t>N/A</w:t>
            </w:r>
          </w:p>
        </w:tc>
      </w:tr>
      <w:tr w:rsidR="002F11C4" w14:paraId="516CCED2" w14:textId="77777777">
        <w:trPr>
          <w:trHeight w:val="525"/>
        </w:trPr>
        <w:tc>
          <w:tcPr>
            <w:tcW w:w="52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6CCEC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4</w:t>
            </w:r>
          </w:p>
        </w:tc>
        <w:tc>
          <w:tcPr>
            <w:tcW w:w="548" w:type="dxa"/>
            <w:tcBorders>
              <w:top w:val="single" w:sz="8" w:space="0" w:color="000000"/>
              <w:left w:val="nil"/>
              <w:bottom w:val="single" w:sz="8" w:space="0" w:color="000000"/>
              <w:right w:val="single" w:sz="8" w:space="0" w:color="000000"/>
            </w:tcBorders>
            <w:shd w:val="clear" w:color="auto" w:fill="FFFFFF"/>
            <w:vAlign w:val="center"/>
          </w:tcPr>
          <w:p w14:paraId="516CCEC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Male </w:t>
            </w:r>
          </w:p>
        </w:tc>
        <w:tc>
          <w:tcPr>
            <w:tcW w:w="719" w:type="dxa"/>
            <w:gridSpan w:val="2"/>
            <w:tcBorders>
              <w:top w:val="single" w:sz="8" w:space="0" w:color="000000"/>
              <w:left w:val="nil"/>
              <w:bottom w:val="single" w:sz="8" w:space="0" w:color="000000"/>
              <w:right w:val="single" w:sz="8" w:space="0" w:color="000000"/>
            </w:tcBorders>
            <w:shd w:val="clear" w:color="auto" w:fill="FFFFFF"/>
            <w:vAlign w:val="center"/>
          </w:tcPr>
          <w:p w14:paraId="516CCEC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30</w:t>
            </w:r>
          </w:p>
        </w:tc>
        <w:tc>
          <w:tcPr>
            <w:tcW w:w="611" w:type="dxa"/>
            <w:tcBorders>
              <w:top w:val="single" w:sz="8" w:space="0" w:color="000000"/>
              <w:left w:val="nil"/>
              <w:bottom w:val="single" w:sz="8" w:space="0" w:color="000000"/>
              <w:right w:val="single" w:sz="8" w:space="0" w:color="000000"/>
            </w:tcBorders>
            <w:shd w:val="clear" w:color="auto" w:fill="FFFFFF"/>
            <w:vAlign w:val="center"/>
          </w:tcPr>
          <w:p w14:paraId="516CCEC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8" w:space="0" w:color="000000"/>
              <w:left w:val="nil"/>
              <w:bottom w:val="single" w:sz="8" w:space="0" w:color="000000"/>
              <w:right w:val="single" w:sz="8" w:space="0" w:color="000000"/>
            </w:tcBorders>
            <w:shd w:val="clear" w:color="auto" w:fill="FFFFFF"/>
            <w:vAlign w:val="center"/>
          </w:tcPr>
          <w:p w14:paraId="516CCEC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PET, CT, MR brain, skeletal survey</w:t>
            </w:r>
          </w:p>
        </w:tc>
        <w:tc>
          <w:tcPr>
            <w:tcW w:w="630" w:type="dxa"/>
            <w:tcBorders>
              <w:top w:val="single" w:sz="8" w:space="0" w:color="000000"/>
              <w:left w:val="nil"/>
              <w:bottom w:val="single" w:sz="8" w:space="0" w:color="000000"/>
              <w:right w:val="single" w:sz="8" w:space="0" w:color="000000"/>
            </w:tcBorders>
            <w:shd w:val="clear" w:color="auto" w:fill="FFFFFF"/>
            <w:vAlign w:val="center"/>
          </w:tcPr>
          <w:p w14:paraId="516CCEC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Lytic mastoid and peridontal bone lesions</w:t>
            </w:r>
          </w:p>
        </w:tc>
        <w:tc>
          <w:tcPr>
            <w:tcW w:w="720" w:type="dxa"/>
            <w:tcBorders>
              <w:top w:val="single" w:sz="8" w:space="0" w:color="000000"/>
              <w:left w:val="nil"/>
              <w:bottom w:val="single" w:sz="8" w:space="0" w:color="000000"/>
              <w:right w:val="single" w:sz="8" w:space="0" w:color="000000"/>
            </w:tcBorders>
            <w:shd w:val="clear" w:color="auto" w:fill="FFFFFF"/>
            <w:vAlign w:val="center"/>
          </w:tcPr>
          <w:p w14:paraId="516CCEC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Pelvic bones, pituitary</w:t>
            </w:r>
          </w:p>
        </w:tc>
        <w:tc>
          <w:tcPr>
            <w:tcW w:w="720" w:type="dxa"/>
            <w:tcBorders>
              <w:top w:val="single" w:sz="8" w:space="0" w:color="000000"/>
              <w:left w:val="nil"/>
              <w:bottom w:val="single" w:sz="8" w:space="0" w:color="000000"/>
              <w:right w:val="single" w:sz="8" w:space="0" w:color="000000"/>
            </w:tcBorders>
            <w:shd w:val="clear" w:color="auto" w:fill="FFFFFF"/>
            <w:vAlign w:val="center"/>
          </w:tcPr>
          <w:p w14:paraId="516CCEC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w:t>
            </w:r>
          </w:p>
        </w:tc>
        <w:tc>
          <w:tcPr>
            <w:tcW w:w="990" w:type="dxa"/>
            <w:tcBorders>
              <w:top w:val="single" w:sz="8" w:space="0" w:color="000000"/>
              <w:left w:val="nil"/>
              <w:bottom w:val="single" w:sz="8" w:space="0" w:color="000000"/>
              <w:right w:val="single" w:sz="8" w:space="0" w:color="000000"/>
            </w:tcBorders>
            <w:shd w:val="clear" w:color="auto" w:fill="FFFFFF"/>
            <w:vAlign w:val="center"/>
          </w:tcPr>
          <w:p w14:paraId="516CCEC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8" w:space="0" w:color="000000"/>
              <w:left w:val="nil"/>
              <w:bottom w:val="single" w:sz="8" w:space="0" w:color="000000"/>
              <w:right w:val="single" w:sz="8" w:space="0" w:color="000000"/>
            </w:tcBorders>
            <w:shd w:val="clear" w:color="auto" w:fill="FFFFFF"/>
            <w:vAlign w:val="center"/>
          </w:tcPr>
          <w:p w14:paraId="516CCEC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S100 positive, CD1a neg</w:t>
            </w:r>
          </w:p>
        </w:tc>
        <w:tc>
          <w:tcPr>
            <w:tcW w:w="2160" w:type="dxa"/>
            <w:tcBorders>
              <w:top w:val="single" w:sz="8" w:space="0" w:color="000000"/>
              <w:left w:val="nil"/>
              <w:bottom w:val="single" w:sz="8" w:space="0" w:color="000000"/>
              <w:right w:val="single" w:sz="8" w:space="0" w:color="000000"/>
            </w:tcBorders>
            <w:shd w:val="clear" w:color="auto" w:fill="FFFFFF"/>
            <w:vAlign w:val="center"/>
          </w:tcPr>
          <w:p w14:paraId="516CCEC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1994 -&gt; XRT to mastoid + PO steroids, CR on imaging -&gt; 1996 recurrence, XRT -&gt; residual disease, treated w/ 6MP, vinblastine, prednisone over 2 yr course, resolution of dz -&gt; 1997 recurrence. Tx again w/ 6MP, vinblastine and pred, CR -&gt; 1998, primary site recurrence, tx w/ 6MP, MTX and pred w/ CR but new pituitary thickening on MR c/f disease involvement -&gt; 1999 new lytic lesions of hip, tx w/ local XRT and pred,  5 cycles cladribine (for now systemic LCH) -&gt; 2001 left hip pain recurrence, receive XRT again -&gt; Lost to fu from 2001-2013 (off tx) -&gt; Re-established care and no e/o dz progression. Recommended eval of BRAF mutational status and consideration of inhibitor if recurrence in future</w:t>
            </w:r>
          </w:p>
        </w:tc>
        <w:tc>
          <w:tcPr>
            <w:tcW w:w="641" w:type="dxa"/>
            <w:tcBorders>
              <w:top w:val="single" w:sz="8" w:space="0" w:color="000000"/>
              <w:left w:val="nil"/>
              <w:bottom w:val="single" w:sz="8" w:space="0" w:color="000000"/>
              <w:right w:val="single" w:sz="8" w:space="0" w:color="000000"/>
            </w:tcBorders>
            <w:shd w:val="clear" w:color="auto" w:fill="FFFFFF"/>
            <w:vAlign w:val="center"/>
          </w:tcPr>
          <w:p w14:paraId="516CCEC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single" w:sz="8" w:space="0" w:color="000000"/>
              <w:left w:val="nil"/>
              <w:bottom w:val="single" w:sz="8" w:space="0" w:color="000000"/>
              <w:right w:val="single" w:sz="8" w:space="0" w:color="000000"/>
            </w:tcBorders>
            <w:shd w:val="clear" w:color="auto" w:fill="FFFFFF"/>
            <w:vAlign w:val="center"/>
          </w:tcPr>
          <w:p w14:paraId="516CCED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8" w:space="0" w:color="000000"/>
              <w:left w:val="nil"/>
              <w:bottom w:val="single" w:sz="8" w:space="0" w:color="000000"/>
              <w:right w:val="single" w:sz="8" w:space="0" w:color="000000"/>
            </w:tcBorders>
            <w:shd w:val="clear" w:color="auto" w:fill="FFFFFF"/>
            <w:vAlign w:val="center"/>
          </w:tcPr>
          <w:p w14:paraId="516CCED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CEE1" w14:textId="77777777">
        <w:trPr>
          <w:trHeight w:val="1290"/>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CED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5</w:t>
            </w:r>
          </w:p>
        </w:tc>
        <w:tc>
          <w:tcPr>
            <w:tcW w:w="548" w:type="dxa"/>
            <w:tcBorders>
              <w:top w:val="nil"/>
              <w:left w:val="nil"/>
              <w:bottom w:val="single" w:sz="8" w:space="0" w:color="000000"/>
              <w:right w:val="single" w:sz="8" w:space="0" w:color="000000"/>
            </w:tcBorders>
            <w:shd w:val="clear" w:color="auto" w:fill="FFFFFF"/>
            <w:vAlign w:val="center"/>
          </w:tcPr>
          <w:p w14:paraId="516CCED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Male </w:t>
            </w:r>
          </w:p>
        </w:tc>
        <w:tc>
          <w:tcPr>
            <w:tcW w:w="719" w:type="dxa"/>
            <w:gridSpan w:val="2"/>
            <w:tcBorders>
              <w:top w:val="nil"/>
              <w:left w:val="nil"/>
              <w:bottom w:val="single" w:sz="8" w:space="0" w:color="000000"/>
              <w:right w:val="single" w:sz="8" w:space="0" w:color="000000"/>
            </w:tcBorders>
            <w:shd w:val="clear" w:color="auto" w:fill="FFFFFF"/>
            <w:vAlign w:val="center"/>
          </w:tcPr>
          <w:p w14:paraId="516CCED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50</w:t>
            </w:r>
          </w:p>
        </w:tc>
        <w:tc>
          <w:tcPr>
            <w:tcW w:w="611" w:type="dxa"/>
            <w:tcBorders>
              <w:top w:val="nil"/>
              <w:left w:val="nil"/>
              <w:bottom w:val="single" w:sz="8" w:space="0" w:color="000000"/>
              <w:right w:val="single" w:sz="8" w:space="0" w:color="000000"/>
            </w:tcBorders>
            <w:shd w:val="clear" w:color="auto" w:fill="FFFFFF"/>
            <w:vAlign w:val="center"/>
          </w:tcPr>
          <w:p w14:paraId="516CCED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CED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nil"/>
              <w:left w:val="nil"/>
              <w:bottom w:val="single" w:sz="8" w:space="0" w:color="000000"/>
              <w:right w:val="single" w:sz="8" w:space="0" w:color="000000"/>
            </w:tcBorders>
            <w:shd w:val="clear" w:color="auto" w:fill="FFFFFF"/>
            <w:vAlign w:val="center"/>
          </w:tcPr>
          <w:p w14:paraId="516CCED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nil"/>
              <w:left w:val="nil"/>
              <w:bottom w:val="single" w:sz="8" w:space="0" w:color="000000"/>
              <w:right w:val="single" w:sz="8" w:space="0" w:color="000000"/>
            </w:tcBorders>
            <w:shd w:val="clear" w:color="auto" w:fill="FFFFFF"/>
            <w:vAlign w:val="center"/>
          </w:tcPr>
          <w:p w14:paraId="516CCED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nil"/>
              <w:left w:val="nil"/>
              <w:bottom w:val="single" w:sz="8" w:space="0" w:color="000000"/>
              <w:right w:val="single" w:sz="8" w:space="0" w:color="000000"/>
            </w:tcBorders>
            <w:shd w:val="clear" w:color="auto" w:fill="FFFFFF"/>
            <w:vAlign w:val="center"/>
          </w:tcPr>
          <w:p w14:paraId="516CCED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990" w:type="dxa"/>
            <w:tcBorders>
              <w:top w:val="nil"/>
              <w:left w:val="nil"/>
              <w:bottom w:val="single" w:sz="8" w:space="0" w:color="000000"/>
              <w:right w:val="single" w:sz="8" w:space="0" w:color="000000"/>
            </w:tcBorders>
            <w:shd w:val="clear" w:color="auto" w:fill="FFFFFF"/>
            <w:vAlign w:val="center"/>
          </w:tcPr>
          <w:p w14:paraId="516CCED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CED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2160" w:type="dxa"/>
            <w:tcBorders>
              <w:top w:val="nil"/>
              <w:left w:val="nil"/>
              <w:bottom w:val="single" w:sz="8" w:space="0" w:color="000000"/>
              <w:right w:val="single" w:sz="8" w:space="0" w:color="000000"/>
            </w:tcBorders>
            <w:shd w:val="clear" w:color="auto" w:fill="FFFFFF"/>
            <w:vAlign w:val="center"/>
          </w:tcPr>
          <w:p w14:paraId="516CCED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Smoking cessation and PO steroids initially at diagnosis for unclear duration but had resolution of dyspnea -&gt; observation since</w:t>
            </w:r>
          </w:p>
        </w:tc>
        <w:tc>
          <w:tcPr>
            <w:tcW w:w="641" w:type="dxa"/>
            <w:tcBorders>
              <w:top w:val="nil"/>
              <w:left w:val="nil"/>
              <w:bottom w:val="single" w:sz="8" w:space="0" w:color="000000"/>
              <w:right w:val="single" w:sz="8" w:space="0" w:color="000000"/>
            </w:tcBorders>
            <w:shd w:val="clear" w:color="auto" w:fill="FFFFFF"/>
            <w:vAlign w:val="center"/>
          </w:tcPr>
          <w:p w14:paraId="516CCED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Stable Disease </w:t>
            </w:r>
          </w:p>
        </w:tc>
        <w:tc>
          <w:tcPr>
            <w:tcW w:w="716" w:type="dxa"/>
            <w:tcBorders>
              <w:top w:val="nil"/>
              <w:left w:val="nil"/>
              <w:bottom w:val="single" w:sz="8" w:space="0" w:color="000000"/>
              <w:right w:val="single" w:sz="8" w:space="0" w:color="000000"/>
            </w:tcBorders>
            <w:shd w:val="clear" w:color="auto" w:fill="FFFFFF"/>
            <w:vAlign w:val="center"/>
          </w:tcPr>
          <w:p w14:paraId="516CCED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CEE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CEF0" w14:textId="77777777">
        <w:trPr>
          <w:trHeight w:val="315"/>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CEE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6</w:t>
            </w:r>
          </w:p>
        </w:tc>
        <w:tc>
          <w:tcPr>
            <w:tcW w:w="548" w:type="dxa"/>
            <w:tcBorders>
              <w:top w:val="nil"/>
              <w:left w:val="nil"/>
              <w:bottom w:val="single" w:sz="8" w:space="0" w:color="000000"/>
              <w:right w:val="single" w:sz="8" w:space="0" w:color="000000"/>
            </w:tcBorders>
            <w:shd w:val="clear" w:color="auto" w:fill="FFFFFF"/>
            <w:vAlign w:val="center"/>
          </w:tcPr>
          <w:p w14:paraId="516CCEE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Female </w:t>
            </w:r>
          </w:p>
        </w:tc>
        <w:tc>
          <w:tcPr>
            <w:tcW w:w="719" w:type="dxa"/>
            <w:gridSpan w:val="2"/>
            <w:tcBorders>
              <w:top w:val="nil"/>
              <w:left w:val="nil"/>
              <w:bottom w:val="single" w:sz="8" w:space="0" w:color="000000"/>
              <w:right w:val="single" w:sz="8" w:space="0" w:color="000000"/>
            </w:tcBorders>
            <w:shd w:val="clear" w:color="auto" w:fill="FFFFFF"/>
            <w:vAlign w:val="center"/>
          </w:tcPr>
          <w:p w14:paraId="516CCEE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34</w:t>
            </w:r>
          </w:p>
        </w:tc>
        <w:tc>
          <w:tcPr>
            <w:tcW w:w="611" w:type="dxa"/>
            <w:tcBorders>
              <w:top w:val="nil"/>
              <w:left w:val="nil"/>
              <w:bottom w:val="single" w:sz="8" w:space="0" w:color="000000"/>
              <w:right w:val="single" w:sz="8" w:space="0" w:color="000000"/>
            </w:tcBorders>
            <w:shd w:val="clear" w:color="auto" w:fill="FFFFFF"/>
            <w:vAlign w:val="center"/>
          </w:tcPr>
          <w:p w14:paraId="516CCEE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CEE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nil"/>
              <w:left w:val="nil"/>
              <w:bottom w:val="single" w:sz="8" w:space="0" w:color="000000"/>
              <w:right w:val="single" w:sz="8" w:space="0" w:color="000000"/>
            </w:tcBorders>
            <w:shd w:val="clear" w:color="auto" w:fill="FFFFFF"/>
            <w:vAlign w:val="center"/>
          </w:tcPr>
          <w:p w14:paraId="516CCEE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nil"/>
              <w:left w:val="nil"/>
              <w:bottom w:val="single" w:sz="8" w:space="0" w:color="000000"/>
              <w:right w:val="single" w:sz="8" w:space="0" w:color="000000"/>
            </w:tcBorders>
            <w:shd w:val="clear" w:color="auto" w:fill="FFFFFF"/>
            <w:vAlign w:val="center"/>
          </w:tcPr>
          <w:p w14:paraId="516CCEE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None </w:t>
            </w:r>
          </w:p>
        </w:tc>
        <w:tc>
          <w:tcPr>
            <w:tcW w:w="720" w:type="dxa"/>
            <w:tcBorders>
              <w:top w:val="nil"/>
              <w:left w:val="nil"/>
              <w:bottom w:val="single" w:sz="8" w:space="0" w:color="000000"/>
              <w:right w:val="single" w:sz="8" w:space="0" w:color="000000"/>
            </w:tcBorders>
            <w:shd w:val="clear" w:color="auto" w:fill="FFFFFF"/>
            <w:vAlign w:val="center"/>
          </w:tcPr>
          <w:p w14:paraId="516CCEE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w:t>
            </w:r>
          </w:p>
        </w:tc>
        <w:tc>
          <w:tcPr>
            <w:tcW w:w="990" w:type="dxa"/>
            <w:tcBorders>
              <w:top w:val="nil"/>
              <w:left w:val="nil"/>
              <w:bottom w:val="single" w:sz="8" w:space="0" w:color="000000"/>
              <w:right w:val="single" w:sz="8" w:space="0" w:color="000000"/>
            </w:tcBorders>
            <w:shd w:val="clear" w:color="auto" w:fill="FFFFFF"/>
            <w:vAlign w:val="center"/>
          </w:tcPr>
          <w:p w14:paraId="516CCEE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CEE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2160" w:type="dxa"/>
            <w:tcBorders>
              <w:top w:val="nil"/>
              <w:left w:val="nil"/>
              <w:bottom w:val="single" w:sz="8" w:space="0" w:color="000000"/>
              <w:right w:val="single" w:sz="8" w:space="0" w:color="000000"/>
            </w:tcBorders>
            <w:shd w:val="clear" w:color="auto" w:fill="FFFFFF"/>
            <w:vAlign w:val="center"/>
          </w:tcPr>
          <w:p w14:paraId="516CCEE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Has only ever been on observation for eosinophilic granuloma of lung, awaiting lung transplant</w:t>
            </w:r>
          </w:p>
        </w:tc>
        <w:tc>
          <w:tcPr>
            <w:tcW w:w="641" w:type="dxa"/>
            <w:tcBorders>
              <w:top w:val="nil"/>
              <w:left w:val="nil"/>
              <w:bottom w:val="single" w:sz="8" w:space="0" w:color="000000"/>
              <w:right w:val="single" w:sz="8" w:space="0" w:color="000000"/>
            </w:tcBorders>
            <w:shd w:val="clear" w:color="auto" w:fill="FFFFFF"/>
            <w:vAlign w:val="center"/>
          </w:tcPr>
          <w:p w14:paraId="516CCEE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nil"/>
              <w:left w:val="nil"/>
              <w:bottom w:val="single" w:sz="8" w:space="0" w:color="000000"/>
              <w:right w:val="single" w:sz="8" w:space="0" w:color="000000"/>
            </w:tcBorders>
            <w:shd w:val="clear" w:color="auto" w:fill="FFFFFF"/>
            <w:vAlign w:val="center"/>
          </w:tcPr>
          <w:p w14:paraId="516CCEE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CEE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CEFF" w14:textId="77777777">
        <w:trPr>
          <w:trHeight w:val="525"/>
        </w:trPr>
        <w:tc>
          <w:tcPr>
            <w:tcW w:w="522" w:type="dxa"/>
            <w:tcBorders>
              <w:top w:val="nil"/>
              <w:left w:val="single" w:sz="8" w:space="0" w:color="000000"/>
              <w:bottom w:val="nil"/>
              <w:right w:val="single" w:sz="8" w:space="0" w:color="000000"/>
            </w:tcBorders>
            <w:shd w:val="clear" w:color="auto" w:fill="FFFFFF"/>
            <w:vAlign w:val="center"/>
          </w:tcPr>
          <w:p w14:paraId="516CCEF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7</w:t>
            </w:r>
          </w:p>
        </w:tc>
        <w:tc>
          <w:tcPr>
            <w:tcW w:w="548" w:type="dxa"/>
            <w:tcBorders>
              <w:top w:val="nil"/>
              <w:left w:val="nil"/>
              <w:bottom w:val="nil"/>
              <w:right w:val="single" w:sz="8" w:space="0" w:color="000000"/>
            </w:tcBorders>
            <w:shd w:val="clear" w:color="auto" w:fill="FFFFFF"/>
            <w:vAlign w:val="center"/>
          </w:tcPr>
          <w:p w14:paraId="516CCEF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nil"/>
              <w:left w:val="nil"/>
              <w:bottom w:val="nil"/>
              <w:right w:val="single" w:sz="8" w:space="0" w:color="000000"/>
            </w:tcBorders>
            <w:shd w:val="clear" w:color="auto" w:fill="FFFFFF"/>
            <w:vAlign w:val="center"/>
          </w:tcPr>
          <w:p w14:paraId="516CCEF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56</w:t>
            </w:r>
          </w:p>
        </w:tc>
        <w:tc>
          <w:tcPr>
            <w:tcW w:w="611" w:type="dxa"/>
            <w:tcBorders>
              <w:top w:val="nil"/>
              <w:left w:val="nil"/>
              <w:bottom w:val="nil"/>
              <w:right w:val="single" w:sz="8" w:space="0" w:color="000000"/>
            </w:tcBorders>
            <w:shd w:val="clear" w:color="auto" w:fill="FFFFFF"/>
            <w:vAlign w:val="center"/>
          </w:tcPr>
          <w:p w14:paraId="516CCEF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nil"/>
              <w:right w:val="single" w:sz="8" w:space="0" w:color="000000"/>
            </w:tcBorders>
            <w:shd w:val="clear" w:color="auto" w:fill="FFFFFF"/>
            <w:vAlign w:val="center"/>
          </w:tcPr>
          <w:p w14:paraId="516CCEF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nil"/>
              <w:left w:val="nil"/>
              <w:bottom w:val="nil"/>
              <w:right w:val="single" w:sz="8" w:space="0" w:color="000000"/>
            </w:tcBorders>
            <w:shd w:val="clear" w:color="auto" w:fill="FFFFFF"/>
            <w:vAlign w:val="center"/>
          </w:tcPr>
          <w:p w14:paraId="516CCEF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nil"/>
              <w:left w:val="nil"/>
              <w:bottom w:val="nil"/>
              <w:right w:val="single" w:sz="8" w:space="0" w:color="000000"/>
            </w:tcBorders>
            <w:shd w:val="clear" w:color="auto" w:fill="FFFFFF"/>
            <w:vAlign w:val="center"/>
          </w:tcPr>
          <w:p w14:paraId="516CCEF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None </w:t>
            </w:r>
          </w:p>
        </w:tc>
        <w:tc>
          <w:tcPr>
            <w:tcW w:w="720" w:type="dxa"/>
            <w:tcBorders>
              <w:top w:val="nil"/>
              <w:left w:val="nil"/>
              <w:bottom w:val="nil"/>
              <w:right w:val="single" w:sz="8" w:space="0" w:color="000000"/>
            </w:tcBorders>
            <w:shd w:val="clear" w:color="auto" w:fill="FFFFFF"/>
            <w:vAlign w:val="center"/>
          </w:tcPr>
          <w:p w14:paraId="516CCEF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w:t>
            </w:r>
          </w:p>
        </w:tc>
        <w:tc>
          <w:tcPr>
            <w:tcW w:w="990" w:type="dxa"/>
            <w:tcBorders>
              <w:top w:val="nil"/>
              <w:left w:val="nil"/>
              <w:bottom w:val="nil"/>
              <w:right w:val="single" w:sz="8" w:space="0" w:color="000000"/>
            </w:tcBorders>
            <w:shd w:val="clear" w:color="auto" w:fill="FFFFFF"/>
            <w:vAlign w:val="center"/>
          </w:tcPr>
          <w:p w14:paraId="516CCEF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nil"/>
              <w:right w:val="single" w:sz="8" w:space="0" w:color="000000"/>
            </w:tcBorders>
            <w:shd w:val="clear" w:color="auto" w:fill="FFFFFF"/>
            <w:vAlign w:val="center"/>
          </w:tcPr>
          <w:p w14:paraId="516CCEF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S100 positive</w:t>
            </w:r>
          </w:p>
        </w:tc>
        <w:tc>
          <w:tcPr>
            <w:tcW w:w="2160" w:type="dxa"/>
            <w:tcBorders>
              <w:top w:val="nil"/>
              <w:left w:val="nil"/>
              <w:bottom w:val="nil"/>
              <w:right w:val="single" w:sz="8" w:space="0" w:color="000000"/>
            </w:tcBorders>
            <w:shd w:val="clear" w:color="auto" w:fill="FFFFFF"/>
            <w:vAlign w:val="center"/>
          </w:tcPr>
          <w:p w14:paraId="516CCEF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Prednisone 10-20 mg daily since diagnosis in 2002. Remains on it indefinitely</w:t>
            </w:r>
          </w:p>
        </w:tc>
        <w:tc>
          <w:tcPr>
            <w:tcW w:w="641" w:type="dxa"/>
            <w:tcBorders>
              <w:top w:val="nil"/>
              <w:left w:val="nil"/>
              <w:bottom w:val="nil"/>
              <w:right w:val="single" w:sz="8" w:space="0" w:color="000000"/>
            </w:tcBorders>
            <w:shd w:val="clear" w:color="auto" w:fill="FFFFFF"/>
            <w:vAlign w:val="center"/>
          </w:tcPr>
          <w:p w14:paraId="516CCEF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nil"/>
              <w:left w:val="nil"/>
              <w:bottom w:val="nil"/>
              <w:right w:val="single" w:sz="8" w:space="0" w:color="000000"/>
            </w:tcBorders>
            <w:shd w:val="clear" w:color="auto" w:fill="FFFFFF"/>
            <w:vAlign w:val="center"/>
          </w:tcPr>
          <w:p w14:paraId="516CCEF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nil"/>
              <w:right w:val="single" w:sz="8" w:space="0" w:color="000000"/>
            </w:tcBorders>
            <w:shd w:val="clear" w:color="auto" w:fill="FFFFFF"/>
            <w:vAlign w:val="center"/>
          </w:tcPr>
          <w:p w14:paraId="516CCEF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CF0E" w14:textId="77777777">
        <w:trPr>
          <w:trHeight w:val="1035"/>
        </w:trPr>
        <w:tc>
          <w:tcPr>
            <w:tcW w:w="52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6CCF0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8</w:t>
            </w:r>
          </w:p>
        </w:tc>
        <w:tc>
          <w:tcPr>
            <w:tcW w:w="548" w:type="dxa"/>
            <w:tcBorders>
              <w:top w:val="single" w:sz="8" w:space="0" w:color="000000"/>
              <w:left w:val="nil"/>
              <w:bottom w:val="single" w:sz="8" w:space="0" w:color="000000"/>
              <w:right w:val="single" w:sz="8" w:space="0" w:color="000000"/>
            </w:tcBorders>
            <w:shd w:val="clear" w:color="auto" w:fill="FFFFFF"/>
            <w:vAlign w:val="center"/>
          </w:tcPr>
          <w:p w14:paraId="516CCF0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8" w:space="0" w:color="000000"/>
              <w:left w:val="nil"/>
              <w:bottom w:val="single" w:sz="8" w:space="0" w:color="000000"/>
              <w:right w:val="single" w:sz="8" w:space="0" w:color="000000"/>
            </w:tcBorders>
            <w:shd w:val="clear" w:color="auto" w:fill="FFFFFF"/>
            <w:vAlign w:val="center"/>
          </w:tcPr>
          <w:p w14:paraId="516CCF0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19</w:t>
            </w:r>
          </w:p>
        </w:tc>
        <w:tc>
          <w:tcPr>
            <w:tcW w:w="611" w:type="dxa"/>
            <w:tcBorders>
              <w:top w:val="single" w:sz="8" w:space="0" w:color="000000"/>
              <w:left w:val="nil"/>
              <w:bottom w:val="single" w:sz="8" w:space="0" w:color="000000"/>
              <w:right w:val="single" w:sz="8" w:space="0" w:color="000000"/>
            </w:tcBorders>
            <w:shd w:val="clear" w:color="auto" w:fill="FFFFFF"/>
            <w:vAlign w:val="center"/>
          </w:tcPr>
          <w:p w14:paraId="516CCF0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8" w:space="0" w:color="000000"/>
              <w:left w:val="nil"/>
              <w:bottom w:val="single" w:sz="8" w:space="0" w:color="000000"/>
              <w:right w:val="single" w:sz="8" w:space="0" w:color="000000"/>
            </w:tcBorders>
            <w:shd w:val="clear" w:color="auto" w:fill="FFFFFF"/>
            <w:vAlign w:val="center"/>
          </w:tcPr>
          <w:p w14:paraId="516CCF0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CT/MRI</w:t>
            </w:r>
          </w:p>
        </w:tc>
        <w:tc>
          <w:tcPr>
            <w:tcW w:w="630" w:type="dxa"/>
            <w:tcBorders>
              <w:top w:val="single" w:sz="8" w:space="0" w:color="000000"/>
              <w:left w:val="nil"/>
              <w:bottom w:val="single" w:sz="8" w:space="0" w:color="000000"/>
              <w:right w:val="single" w:sz="8" w:space="0" w:color="000000"/>
            </w:tcBorders>
            <w:shd w:val="clear" w:color="auto" w:fill="FFFFFF"/>
            <w:vAlign w:val="center"/>
          </w:tcPr>
          <w:p w14:paraId="516CCF0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Bone</w:t>
            </w:r>
          </w:p>
        </w:tc>
        <w:tc>
          <w:tcPr>
            <w:tcW w:w="720" w:type="dxa"/>
            <w:tcBorders>
              <w:top w:val="single" w:sz="8" w:space="0" w:color="000000"/>
              <w:left w:val="nil"/>
              <w:bottom w:val="single" w:sz="8" w:space="0" w:color="000000"/>
              <w:right w:val="single" w:sz="8" w:space="0" w:color="000000"/>
            </w:tcBorders>
            <w:shd w:val="clear" w:color="auto" w:fill="FFFFFF"/>
            <w:vAlign w:val="center"/>
          </w:tcPr>
          <w:p w14:paraId="516CCF0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8" w:space="0" w:color="000000"/>
              <w:left w:val="nil"/>
              <w:bottom w:val="single" w:sz="8" w:space="0" w:color="000000"/>
              <w:right w:val="single" w:sz="8" w:space="0" w:color="000000"/>
            </w:tcBorders>
            <w:shd w:val="clear" w:color="auto" w:fill="FFFFFF"/>
            <w:vAlign w:val="center"/>
          </w:tcPr>
          <w:p w14:paraId="516CCF0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w:t>
            </w:r>
          </w:p>
        </w:tc>
        <w:tc>
          <w:tcPr>
            <w:tcW w:w="990" w:type="dxa"/>
            <w:tcBorders>
              <w:top w:val="single" w:sz="8" w:space="0" w:color="000000"/>
              <w:left w:val="nil"/>
              <w:bottom w:val="single" w:sz="8" w:space="0" w:color="000000"/>
              <w:right w:val="single" w:sz="8" w:space="0" w:color="000000"/>
            </w:tcBorders>
            <w:shd w:val="clear" w:color="auto" w:fill="FFFFFF"/>
            <w:vAlign w:val="center"/>
          </w:tcPr>
          <w:p w14:paraId="516CCF0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8" w:space="0" w:color="000000"/>
              <w:left w:val="nil"/>
              <w:bottom w:val="single" w:sz="8" w:space="0" w:color="000000"/>
              <w:right w:val="single" w:sz="8" w:space="0" w:color="000000"/>
            </w:tcBorders>
            <w:shd w:val="clear" w:color="auto" w:fill="FFFFFF"/>
            <w:vAlign w:val="center"/>
          </w:tcPr>
          <w:p w14:paraId="516CCF0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CD1a positive, rare eosinophils, sclerotic bone</w:t>
            </w:r>
          </w:p>
        </w:tc>
        <w:tc>
          <w:tcPr>
            <w:tcW w:w="2160" w:type="dxa"/>
            <w:tcBorders>
              <w:top w:val="single" w:sz="8" w:space="0" w:color="000000"/>
              <w:left w:val="nil"/>
              <w:bottom w:val="single" w:sz="8" w:space="0" w:color="000000"/>
              <w:right w:val="single" w:sz="8" w:space="0" w:color="000000"/>
            </w:tcBorders>
            <w:shd w:val="clear" w:color="auto" w:fill="FFFFFF"/>
            <w:vAlign w:val="center"/>
          </w:tcPr>
          <w:p w14:paraId="516CCF0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Surgical resection -&gt; CR</w:t>
            </w:r>
          </w:p>
        </w:tc>
        <w:tc>
          <w:tcPr>
            <w:tcW w:w="641" w:type="dxa"/>
            <w:tcBorders>
              <w:top w:val="single" w:sz="8" w:space="0" w:color="000000"/>
              <w:left w:val="nil"/>
              <w:bottom w:val="single" w:sz="8" w:space="0" w:color="000000"/>
              <w:right w:val="single" w:sz="8" w:space="0" w:color="000000"/>
            </w:tcBorders>
            <w:shd w:val="clear" w:color="auto" w:fill="FFFFFF"/>
            <w:vAlign w:val="center"/>
          </w:tcPr>
          <w:p w14:paraId="516CCF0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single" w:sz="8" w:space="0" w:color="000000"/>
              <w:left w:val="nil"/>
              <w:bottom w:val="single" w:sz="8" w:space="0" w:color="000000"/>
              <w:right w:val="single" w:sz="8" w:space="0" w:color="000000"/>
            </w:tcBorders>
            <w:shd w:val="clear" w:color="auto" w:fill="FFFFFF"/>
            <w:vAlign w:val="center"/>
          </w:tcPr>
          <w:p w14:paraId="516CCF0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8" w:space="0" w:color="000000"/>
              <w:left w:val="nil"/>
              <w:bottom w:val="single" w:sz="8" w:space="0" w:color="000000"/>
              <w:right w:val="single" w:sz="8" w:space="0" w:color="000000"/>
            </w:tcBorders>
            <w:shd w:val="clear" w:color="auto" w:fill="FFFFFF"/>
            <w:vAlign w:val="center"/>
          </w:tcPr>
          <w:p w14:paraId="516CCF0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CF1F" w14:textId="77777777">
        <w:trPr>
          <w:trHeight w:val="525"/>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CF0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9</w:t>
            </w:r>
          </w:p>
        </w:tc>
        <w:tc>
          <w:tcPr>
            <w:tcW w:w="548" w:type="dxa"/>
            <w:tcBorders>
              <w:top w:val="nil"/>
              <w:left w:val="nil"/>
              <w:bottom w:val="single" w:sz="8" w:space="0" w:color="000000"/>
              <w:right w:val="single" w:sz="8" w:space="0" w:color="000000"/>
            </w:tcBorders>
            <w:shd w:val="clear" w:color="auto" w:fill="FFFFFF"/>
            <w:vAlign w:val="center"/>
          </w:tcPr>
          <w:p w14:paraId="516CCF1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Female </w:t>
            </w:r>
          </w:p>
        </w:tc>
        <w:tc>
          <w:tcPr>
            <w:tcW w:w="719" w:type="dxa"/>
            <w:gridSpan w:val="2"/>
            <w:tcBorders>
              <w:top w:val="nil"/>
              <w:left w:val="nil"/>
              <w:bottom w:val="single" w:sz="8" w:space="0" w:color="000000"/>
              <w:right w:val="single" w:sz="8" w:space="0" w:color="000000"/>
            </w:tcBorders>
            <w:shd w:val="clear" w:color="auto" w:fill="FFFFFF"/>
            <w:vAlign w:val="center"/>
          </w:tcPr>
          <w:p w14:paraId="516CCF1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47</w:t>
            </w:r>
          </w:p>
        </w:tc>
        <w:tc>
          <w:tcPr>
            <w:tcW w:w="611" w:type="dxa"/>
            <w:tcBorders>
              <w:top w:val="nil"/>
              <w:left w:val="nil"/>
              <w:bottom w:val="single" w:sz="8" w:space="0" w:color="000000"/>
              <w:right w:val="single" w:sz="8" w:space="0" w:color="000000"/>
            </w:tcBorders>
            <w:shd w:val="clear" w:color="auto" w:fill="FFFFFF"/>
            <w:vAlign w:val="center"/>
          </w:tcPr>
          <w:p w14:paraId="516CCF1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CF1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PET</w:t>
            </w:r>
          </w:p>
        </w:tc>
        <w:tc>
          <w:tcPr>
            <w:tcW w:w="630" w:type="dxa"/>
            <w:tcBorders>
              <w:top w:val="nil"/>
              <w:left w:val="nil"/>
              <w:bottom w:val="single" w:sz="8" w:space="0" w:color="000000"/>
              <w:right w:val="single" w:sz="8" w:space="0" w:color="000000"/>
            </w:tcBorders>
            <w:shd w:val="clear" w:color="auto" w:fill="FFFFFF"/>
            <w:vAlign w:val="center"/>
          </w:tcPr>
          <w:p w14:paraId="516CCF1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Cutaneous</w:t>
            </w:r>
          </w:p>
        </w:tc>
        <w:tc>
          <w:tcPr>
            <w:tcW w:w="720" w:type="dxa"/>
            <w:tcBorders>
              <w:top w:val="nil"/>
              <w:left w:val="nil"/>
              <w:bottom w:val="single" w:sz="8" w:space="0" w:color="000000"/>
              <w:right w:val="single" w:sz="8" w:space="0" w:color="000000"/>
            </w:tcBorders>
            <w:shd w:val="clear" w:color="auto" w:fill="FFFFFF"/>
            <w:vAlign w:val="center"/>
          </w:tcPr>
          <w:p w14:paraId="516CCF1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Colon</w:t>
            </w:r>
          </w:p>
        </w:tc>
        <w:tc>
          <w:tcPr>
            <w:tcW w:w="720" w:type="dxa"/>
            <w:tcBorders>
              <w:top w:val="nil"/>
              <w:left w:val="nil"/>
              <w:bottom w:val="single" w:sz="8" w:space="0" w:color="000000"/>
              <w:right w:val="single" w:sz="8" w:space="0" w:color="000000"/>
            </w:tcBorders>
            <w:shd w:val="clear" w:color="auto" w:fill="FFFFFF"/>
            <w:vAlign w:val="center"/>
          </w:tcPr>
          <w:p w14:paraId="516CCF1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990" w:type="dxa"/>
            <w:tcBorders>
              <w:top w:val="nil"/>
              <w:left w:val="nil"/>
              <w:bottom w:val="single" w:sz="8" w:space="0" w:color="000000"/>
              <w:right w:val="single" w:sz="8" w:space="0" w:color="000000"/>
            </w:tcBorders>
            <w:shd w:val="clear" w:color="auto" w:fill="FFFFFF"/>
            <w:vAlign w:val="center"/>
          </w:tcPr>
          <w:p w14:paraId="516CCF1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IHC/NGS</w:t>
            </w:r>
          </w:p>
        </w:tc>
        <w:tc>
          <w:tcPr>
            <w:tcW w:w="1080" w:type="dxa"/>
            <w:tcBorders>
              <w:top w:val="nil"/>
              <w:left w:val="nil"/>
              <w:bottom w:val="single" w:sz="8" w:space="0" w:color="000000"/>
              <w:right w:val="single" w:sz="8" w:space="0" w:color="000000"/>
            </w:tcBorders>
            <w:shd w:val="clear" w:color="auto" w:fill="FFFFFF"/>
            <w:vAlign w:val="center"/>
          </w:tcPr>
          <w:p w14:paraId="516CCF1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S100 and CD1 positive, CD68 pos (of colon tissue)</w:t>
            </w:r>
          </w:p>
          <w:p w14:paraId="516CCF19" w14:textId="77777777" w:rsidR="002F11C4" w:rsidRDefault="002F11C4">
            <w:pPr>
              <w:spacing w:after="0" w:line="240" w:lineRule="auto"/>
              <w:rPr>
                <w:rFonts w:ascii="Times New Roman" w:eastAsia="Times New Roman" w:hAnsi="Times New Roman" w:cs="Times New Roman"/>
                <w:color w:val="000000"/>
                <w:sz w:val="10"/>
                <w:szCs w:val="10"/>
              </w:rPr>
            </w:pPr>
          </w:p>
          <w:p w14:paraId="516CCF1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BRAF neg. NGS identified no targetable mutations but cannot find full report in EMR</w:t>
            </w:r>
          </w:p>
        </w:tc>
        <w:tc>
          <w:tcPr>
            <w:tcW w:w="2160" w:type="dxa"/>
            <w:tcBorders>
              <w:top w:val="nil"/>
              <w:left w:val="nil"/>
              <w:bottom w:val="single" w:sz="8" w:space="0" w:color="000000"/>
              <w:right w:val="single" w:sz="8" w:space="0" w:color="000000"/>
            </w:tcBorders>
            <w:shd w:val="clear" w:color="auto" w:fill="FFFFFF"/>
            <w:vAlign w:val="center"/>
          </w:tcPr>
          <w:p w14:paraId="516CCF1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Topical steroids PRN initially for 1 years -&gt; 2020, PET w/ new GI uptake, bx c/w LCH, obs -&gt; 2021 new progression on PET in sigmoid colon,  started hydroxyurea w/ resolution of hypermetabolism of colon on PET w/in 4 months -&gt; Continued hydrea x2 years, self d/c'ed due to ifx concern -&gt; recurrence of skin lesions and new hearing loss c/f possible recurrence, referred to ENT -&gt; obs</w:t>
            </w:r>
          </w:p>
        </w:tc>
        <w:tc>
          <w:tcPr>
            <w:tcW w:w="641" w:type="dxa"/>
            <w:tcBorders>
              <w:top w:val="nil"/>
              <w:left w:val="nil"/>
              <w:bottom w:val="single" w:sz="8" w:space="0" w:color="000000"/>
              <w:right w:val="single" w:sz="8" w:space="0" w:color="000000"/>
            </w:tcBorders>
            <w:shd w:val="clear" w:color="auto" w:fill="FFFFFF"/>
            <w:vAlign w:val="center"/>
          </w:tcPr>
          <w:p w14:paraId="516CCF1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Stable Disease </w:t>
            </w:r>
          </w:p>
        </w:tc>
        <w:tc>
          <w:tcPr>
            <w:tcW w:w="716" w:type="dxa"/>
            <w:tcBorders>
              <w:top w:val="nil"/>
              <w:left w:val="nil"/>
              <w:bottom w:val="single" w:sz="8" w:space="0" w:color="000000"/>
              <w:right w:val="single" w:sz="8" w:space="0" w:color="000000"/>
            </w:tcBorders>
            <w:shd w:val="clear" w:color="auto" w:fill="FFFFFF"/>
            <w:vAlign w:val="center"/>
          </w:tcPr>
          <w:p w14:paraId="516CCF1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0.7</w:t>
            </w:r>
          </w:p>
        </w:tc>
        <w:tc>
          <w:tcPr>
            <w:tcW w:w="750" w:type="dxa"/>
            <w:tcBorders>
              <w:top w:val="nil"/>
              <w:left w:val="nil"/>
              <w:bottom w:val="single" w:sz="8" w:space="0" w:color="000000"/>
              <w:right w:val="single" w:sz="8" w:space="0" w:color="000000"/>
            </w:tcBorders>
            <w:shd w:val="clear" w:color="auto" w:fill="FFFFFF"/>
            <w:vAlign w:val="center"/>
          </w:tcPr>
          <w:p w14:paraId="516CCF1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0.4 </w:t>
            </w:r>
          </w:p>
        </w:tc>
      </w:tr>
      <w:tr w:rsidR="002F11C4" w14:paraId="516CCF30" w14:textId="77777777">
        <w:trPr>
          <w:trHeight w:val="525"/>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CF2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10</w:t>
            </w:r>
          </w:p>
        </w:tc>
        <w:tc>
          <w:tcPr>
            <w:tcW w:w="548" w:type="dxa"/>
            <w:tcBorders>
              <w:top w:val="nil"/>
              <w:left w:val="nil"/>
              <w:bottom w:val="single" w:sz="8" w:space="0" w:color="000000"/>
              <w:right w:val="single" w:sz="8" w:space="0" w:color="000000"/>
            </w:tcBorders>
            <w:shd w:val="clear" w:color="auto" w:fill="FFFFFF"/>
            <w:vAlign w:val="center"/>
          </w:tcPr>
          <w:p w14:paraId="516CCF2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Female </w:t>
            </w:r>
          </w:p>
        </w:tc>
        <w:tc>
          <w:tcPr>
            <w:tcW w:w="719" w:type="dxa"/>
            <w:gridSpan w:val="2"/>
            <w:tcBorders>
              <w:top w:val="nil"/>
              <w:left w:val="nil"/>
              <w:bottom w:val="single" w:sz="8" w:space="0" w:color="000000"/>
              <w:right w:val="single" w:sz="8" w:space="0" w:color="000000"/>
            </w:tcBorders>
            <w:shd w:val="clear" w:color="auto" w:fill="FFFFFF"/>
            <w:vAlign w:val="center"/>
          </w:tcPr>
          <w:p w14:paraId="516CCF2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52</w:t>
            </w:r>
          </w:p>
        </w:tc>
        <w:tc>
          <w:tcPr>
            <w:tcW w:w="611" w:type="dxa"/>
            <w:tcBorders>
              <w:top w:val="nil"/>
              <w:left w:val="nil"/>
              <w:bottom w:val="single" w:sz="8" w:space="0" w:color="000000"/>
              <w:right w:val="single" w:sz="8" w:space="0" w:color="000000"/>
            </w:tcBorders>
            <w:shd w:val="clear" w:color="auto" w:fill="FFFFFF"/>
            <w:vAlign w:val="center"/>
          </w:tcPr>
          <w:p w14:paraId="516CCF2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CF2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PET/MR</w:t>
            </w:r>
          </w:p>
        </w:tc>
        <w:tc>
          <w:tcPr>
            <w:tcW w:w="630" w:type="dxa"/>
            <w:tcBorders>
              <w:top w:val="nil"/>
              <w:left w:val="nil"/>
              <w:bottom w:val="single" w:sz="8" w:space="0" w:color="000000"/>
              <w:right w:val="single" w:sz="8" w:space="0" w:color="000000"/>
            </w:tcBorders>
            <w:shd w:val="clear" w:color="auto" w:fill="FFFFFF"/>
            <w:vAlign w:val="center"/>
          </w:tcPr>
          <w:p w14:paraId="516CCF2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Bone </w:t>
            </w:r>
          </w:p>
        </w:tc>
        <w:tc>
          <w:tcPr>
            <w:tcW w:w="720" w:type="dxa"/>
            <w:tcBorders>
              <w:top w:val="nil"/>
              <w:left w:val="nil"/>
              <w:bottom w:val="single" w:sz="8" w:space="0" w:color="000000"/>
              <w:right w:val="single" w:sz="8" w:space="0" w:color="000000"/>
            </w:tcBorders>
            <w:shd w:val="clear" w:color="auto" w:fill="FFFFFF"/>
            <w:vAlign w:val="center"/>
          </w:tcPr>
          <w:p w14:paraId="516CCF2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Pituitary </w:t>
            </w:r>
          </w:p>
        </w:tc>
        <w:tc>
          <w:tcPr>
            <w:tcW w:w="720" w:type="dxa"/>
            <w:tcBorders>
              <w:top w:val="nil"/>
              <w:left w:val="nil"/>
              <w:bottom w:val="single" w:sz="8" w:space="0" w:color="000000"/>
              <w:right w:val="single" w:sz="8" w:space="0" w:color="000000"/>
            </w:tcBorders>
            <w:shd w:val="clear" w:color="auto" w:fill="FFFFFF"/>
            <w:vAlign w:val="center"/>
          </w:tcPr>
          <w:p w14:paraId="516CCF2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Yes </w:t>
            </w:r>
          </w:p>
        </w:tc>
        <w:tc>
          <w:tcPr>
            <w:tcW w:w="990" w:type="dxa"/>
            <w:tcBorders>
              <w:top w:val="nil"/>
              <w:left w:val="nil"/>
              <w:bottom w:val="single" w:sz="8" w:space="0" w:color="000000"/>
              <w:right w:val="single" w:sz="8" w:space="0" w:color="000000"/>
            </w:tcBorders>
            <w:shd w:val="clear" w:color="auto" w:fill="FFFFFF"/>
            <w:vAlign w:val="center"/>
          </w:tcPr>
          <w:p w14:paraId="516CCF2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IHC</w:t>
            </w:r>
          </w:p>
        </w:tc>
        <w:tc>
          <w:tcPr>
            <w:tcW w:w="1080" w:type="dxa"/>
            <w:tcBorders>
              <w:top w:val="nil"/>
              <w:left w:val="nil"/>
              <w:bottom w:val="single" w:sz="8" w:space="0" w:color="000000"/>
              <w:right w:val="single" w:sz="8" w:space="0" w:color="000000"/>
            </w:tcBorders>
            <w:shd w:val="clear" w:color="auto" w:fill="FFFFFF"/>
            <w:vAlign w:val="center"/>
          </w:tcPr>
          <w:p w14:paraId="516CCF2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S100 and CD1a positive, CD68 negative</w:t>
            </w:r>
          </w:p>
          <w:p w14:paraId="516CCF2A" w14:textId="77777777" w:rsidR="002F11C4" w:rsidRDefault="002F11C4">
            <w:pPr>
              <w:spacing w:after="0" w:line="240" w:lineRule="auto"/>
              <w:rPr>
                <w:rFonts w:ascii="Times New Roman" w:eastAsia="Times New Roman" w:hAnsi="Times New Roman" w:cs="Times New Roman"/>
                <w:color w:val="000000"/>
                <w:sz w:val="10"/>
                <w:szCs w:val="10"/>
              </w:rPr>
            </w:pPr>
          </w:p>
          <w:p w14:paraId="516CCF2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BRAF neg</w:t>
            </w:r>
          </w:p>
        </w:tc>
        <w:tc>
          <w:tcPr>
            <w:tcW w:w="2160" w:type="dxa"/>
            <w:tcBorders>
              <w:top w:val="nil"/>
              <w:left w:val="nil"/>
              <w:bottom w:val="single" w:sz="8" w:space="0" w:color="000000"/>
              <w:right w:val="single" w:sz="8" w:space="0" w:color="000000"/>
            </w:tcBorders>
            <w:shd w:val="clear" w:color="auto" w:fill="FFFFFF"/>
            <w:vAlign w:val="center"/>
          </w:tcPr>
          <w:p w14:paraId="516CCF2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Dx 2007 folowing rib bx, obs x5 yrs -&gt; 2012 new pitutary uptake, dx DI presumable 2/2 LCH -&gt; 2012, Vinblastine and pred, partial response after 2 mon -&gt; Maintenance therapy w/ 6MP, vinblastine and pred q3 wk x10 months, resolution of pituitary uptake -&gt; Obs x 5yrs, stable dz -&gt; Pamidronate x6 months, no response assessment -&gt; 2017, new frontoparietal lesion s/p XRT -&gt; Obs x 6 years, complete response</w:t>
            </w:r>
          </w:p>
        </w:tc>
        <w:tc>
          <w:tcPr>
            <w:tcW w:w="641" w:type="dxa"/>
            <w:tcBorders>
              <w:top w:val="nil"/>
              <w:left w:val="nil"/>
              <w:bottom w:val="single" w:sz="8" w:space="0" w:color="000000"/>
              <w:right w:val="single" w:sz="8" w:space="0" w:color="000000"/>
            </w:tcBorders>
            <w:shd w:val="clear" w:color="auto" w:fill="FFFFFF"/>
            <w:vAlign w:val="center"/>
          </w:tcPr>
          <w:p w14:paraId="516CCF2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Complete Response </w:t>
            </w:r>
          </w:p>
        </w:tc>
        <w:tc>
          <w:tcPr>
            <w:tcW w:w="716" w:type="dxa"/>
            <w:tcBorders>
              <w:top w:val="nil"/>
              <w:left w:val="nil"/>
              <w:bottom w:val="single" w:sz="8" w:space="0" w:color="000000"/>
              <w:right w:val="single" w:sz="8" w:space="0" w:color="000000"/>
            </w:tcBorders>
            <w:shd w:val="clear" w:color="auto" w:fill="FFFFFF"/>
            <w:vAlign w:val="center"/>
          </w:tcPr>
          <w:p w14:paraId="516CCF2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1.2 </w:t>
            </w:r>
          </w:p>
        </w:tc>
        <w:tc>
          <w:tcPr>
            <w:tcW w:w="750" w:type="dxa"/>
            <w:tcBorders>
              <w:top w:val="nil"/>
              <w:left w:val="nil"/>
              <w:bottom w:val="single" w:sz="8" w:space="0" w:color="000000"/>
              <w:right w:val="single" w:sz="8" w:space="0" w:color="000000"/>
            </w:tcBorders>
            <w:shd w:val="clear" w:color="auto" w:fill="FFFFFF"/>
            <w:vAlign w:val="center"/>
          </w:tcPr>
          <w:p w14:paraId="516CCF2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0.07</w:t>
            </w:r>
          </w:p>
        </w:tc>
      </w:tr>
      <w:tr w:rsidR="002F11C4" w14:paraId="516CCF3F" w14:textId="77777777">
        <w:trPr>
          <w:trHeight w:val="3075"/>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CF3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lastRenderedPageBreak/>
              <w:t>11</w:t>
            </w:r>
          </w:p>
        </w:tc>
        <w:tc>
          <w:tcPr>
            <w:tcW w:w="548" w:type="dxa"/>
            <w:tcBorders>
              <w:top w:val="nil"/>
              <w:left w:val="nil"/>
              <w:bottom w:val="single" w:sz="8" w:space="0" w:color="000000"/>
              <w:right w:val="single" w:sz="8" w:space="0" w:color="000000"/>
            </w:tcBorders>
            <w:shd w:val="clear" w:color="auto" w:fill="FFFFFF"/>
            <w:vAlign w:val="center"/>
          </w:tcPr>
          <w:p w14:paraId="516CCF3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nil"/>
              <w:left w:val="nil"/>
              <w:bottom w:val="single" w:sz="8" w:space="0" w:color="000000"/>
              <w:right w:val="single" w:sz="8" w:space="0" w:color="000000"/>
            </w:tcBorders>
            <w:shd w:val="clear" w:color="auto" w:fill="FFFFFF"/>
            <w:vAlign w:val="center"/>
          </w:tcPr>
          <w:p w14:paraId="516CCF3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38</w:t>
            </w:r>
          </w:p>
        </w:tc>
        <w:tc>
          <w:tcPr>
            <w:tcW w:w="611" w:type="dxa"/>
            <w:tcBorders>
              <w:top w:val="nil"/>
              <w:left w:val="nil"/>
              <w:bottom w:val="single" w:sz="8" w:space="0" w:color="000000"/>
              <w:right w:val="single" w:sz="8" w:space="0" w:color="000000"/>
            </w:tcBorders>
            <w:shd w:val="clear" w:color="auto" w:fill="FFFFFF"/>
            <w:vAlign w:val="center"/>
          </w:tcPr>
          <w:p w14:paraId="516CCF3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CF3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PET</w:t>
            </w:r>
          </w:p>
        </w:tc>
        <w:tc>
          <w:tcPr>
            <w:tcW w:w="630" w:type="dxa"/>
            <w:tcBorders>
              <w:top w:val="nil"/>
              <w:left w:val="nil"/>
              <w:bottom w:val="single" w:sz="8" w:space="0" w:color="000000"/>
              <w:right w:val="single" w:sz="8" w:space="0" w:color="000000"/>
            </w:tcBorders>
            <w:shd w:val="clear" w:color="auto" w:fill="FFFFFF"/>
            <w:vAlign w:val="center"/>
          </w:tcPr>
          <w:p w14:paraId="516CCF3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Bone</w:t>
            </w:r>
          </w:p>
        </w:tc>
        <w:tc>
          <w:tcPr>
            <w:tcW w:w="720" w:type="dxa"/>
            <w:tcBorders>
              <w:top w:val="nil"/>
              <w:left w:val="nil"/>
              <w:bottom w:val="single" w:sz="8" w:space="0" w:color="000000"/>
              <w:right w:val="single" w:sz="8" w:space="0" w:color="000000"/>
            </w:tcBorders>
            <w:shd w:val="clear" w:color="auto" w:fill="FFFFFF"/>
            <w:vAlign w:val="center"/>
          </w:tcPr>
          <w:p w14:paraId="516CCF3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None  </w:t>
            </w:r>
          </w:p>
        </w:tc>
        <w:tc>
          <w:tcPr>
            <w:tcW w:w="720" w:type="dxa"/>
            <w:tcBorders>
              <w:top w:val="nil"/>
              <w:left w:val="nil"/>
              <w:bottom w:val="single" w:sz="8" w:space="0" w:color="000000"/>
              <w:right w:val="single" w:sz="8" w:space="0" w:color="000000"/>
            </w:tcBorders>
            <w:shd w:val="clear" w:color="auto" w:fill="FFFFFF"/>
            <w:vAlign w:val="center"/>
          </w:tcPr>
          <w:p w14:paraId="516CCF3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w:t>
            </w:r>
          </w:p>
        </w:tc>
        <w:tc>
          <w:tcPr>
            <w:tcW w:w="990" w:type="dxa"/>
            <w:tcBorders>
              <w:top w:val="nil"/>
              <w:left w:val="nil"/>
              <w:bottom w:val="single" w:sz="8" w:space="0" w:color="000000"/>
              <w:right w:val="single" w:sz="8" w:space="0" w:color="000000"/>
            </w:tcBorders>
            <w:shd w:val="clear" w:color="auto" w:fill="FFFFFF"/>
            <w:vAlign w:val="center"/>
          </w:tcPr>
          <w:p w14:paraId="516CCF3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CF3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positive for CD1a and S100, and largely negative for CK AE1/AE3, CD34 and CD79a. CD3 and MPO highlight scattered cells.</w:t>
            </w:r>
          </w:p>
        </w:tc>
        <w:tc>
          <w:tcPr>
            <w:tcW w:w="2160" w:type="dxa"/>
            <w:tcBorders>
              <w:top w:val="nil"/>
              <w:left w:val="nil"/>
              <w:bottom w:val="single" w:sz="8" w:space="0" w:color="000000"/>
              <w:right w:val="single" w:sz="8" w:space="0" w:color="000000"/>
            </w:tcBorders>
            <w:shd w:val="clear" w:color="auto" w:fill="FFFFFF"/>
            <w:vAlign w:val="center"/>
          </w:tcPr>
          <w:p w14:paraId="516CCF3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Clavicular lesion excision 2013, no e/o systemic dx -&gt; Obs x10 years w.o evidence of dz recurrence</w:t>
            </w:r>
          </w:p>
        </w:tc>
        <w:tc>
          <w:tcPr>
            <w:tcW w:w="641" w:type="dxa"/>
            <w:tcBorders>
              <w:top w:val="nil"/>
              <w:left w:val="nil"/>
              <w:bottom w:val="single" w:sz="8" w:space="0" w:color="000000"/>
              <w:right w:val="single" w:sz="8" w:space="0" w:color="000000"/>
            </w:tcBorders>
            <w:shd w:val="clear" w:color="auto" w:fill="FFFFFF"/>
            <w:vAlign w:val="center"/>
          </w:tcPr>
          <w:p w14:paraId="516CCF3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Complete Response </w:t>
            </w:r>
          </w:p>
        </w:tc>
        <w:tc>
          <w:tcPr>
            <w:tcW w:w="716" w:type="dxa"/>
            <w:tcBorders>
              <w:top w:val="nil"/>
              <w:left w:val="nil"/>
              <w:bottom w:val="single" w:sz="8" w:space="0" w:color="000000"/>
              <w:right w:val="single" w:sz="8" w:space="0" w:color="000000"/>
            </w:tcBorders>
            <w:shd w:val="clear" w:color="auto" w:fill="FFFFFF"/>
            <w:vAlign w:val="center"/>
          </w:tcPr>
          <w:p w14:paraId="516CCF3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CF3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CF4E" w14:textId="77777777">
        <w:trPr>
          <w:trHeight w:val="1545"/>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CF4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12</w:t>
            </w:r>
          </w:p>
        </w:tc>
        <w:tc>
          <w:tcPr>
            <w:tcW w:w="548" w:type="dxa"/>
            <w:tcBorders>
              <w:top w:val="nil"/>
              <w:left w:val="nil"/>
              <w:bottom w:val="single" w:sz="8" w:space="0" w:color="000000"/>
              <w:right w:val="single" w:sz="8" w:space="0" w:color="000000"/>
            </w:tcBorders>
            <w:shd w:val="clear" w:color="auto" w:fill="FFFFFF"/>
            <w:vAlign w:val="center"/>
          </w:tcPr>
          <w:p w14:paraId="516CCF4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Male </w:t>
            </w:r>
          </w:p>
        </w:tc>
        <w:tc>
          <w:tcPr>
            <w:tcW w:w="719" w:type="dxa"/>
            <w:gridSpan w:val="2"/>
            <w:tcBorders>
              <w:top w:val="nil"/>
              <w:left w:val="nil"/>
              <w:bottom w:val="single" w:sz="8" w:space="0" w:color="000000"/>
              <w:right w:val="single" w:sz="8" w:space="0" w:color="000000"/>
            </w:tcBorders>
            <w:shd w:val="clear" w:color="auto" w:fill="FFFFFF"/>
            <w:vAlign w:val="center"/>
          </w:tcPr>
          <w:p w14:paraId="516CCF4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44</w:t>
            </w:r>
          </w:p>
        </w:tc>
        <w:tc>
          <w:tcPr>
            <w:tcW w:w="611" w:type="dxa"/>
            <w:tcBorders>
              <w:top w:val="nil"/>
              <w:left w:val="nil"/>
              <w:bottom w:val="single" w:sz="8" w:space="0" w:color="000000"/>
              <w:right w:val="single" w:sz="8" w:space="0" w:color="000000"/>
            </w:tcBorders>
            <w:shd w:val="clear" w:color="auto" w:fill="FFFFFF"/>
            <w:vAlign w:val="center"/>
          </w:tcPr>
          <w:p w14:paraId="516CCF4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CF4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MRI</w:t>
            </w:r>
          </w:p>
        </w:tc>
        <w:tc>
          <w:tcPr>
            <w:tcW w:w="630" w:type="dxa"/>
            <w:tcBorders>
              <w:top w:val="nil"/>
              <w:left w:val="nil"/>
              <w:bottom w:val="single" w:sz="8" w:space="0" w:color="000000"/>
              <w:right w:val="single" w:sz="8" w:space="0" w:color="000000"/>
            </w:tcBorders>
            <w:shd w:val="clear" w:color="auto" w:fill="FFFFFF"/>
            <w:vAlign w:val="center"/>
          </w:tcPr>
          <w:p w14:paraId="516CCF4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Bone</w:t>
            </w:r>
          </w:p>
        </w:tc>
        <w:tc>
          <w:tcPr>
            <w:tcW w:w="720" w:type="dxa"/>
            <w:tcBorders>
              <w:top w:val="nil"/>
              <w:left w:val="nil"/>
              <w:bottom w:val="single" w:sz="8" w:space="0" w:color="000000"/>
              <w:right w:val="single" w:sz="8" w:space="0" w:color="000000"/>
            </w:tcBorders>
            <w:shd w:val="clear" w:color="auto" w:fill="FFFFFF"/>
            <w:vAlign w:val="center"/>
          </w:tcPr>
          <w:p w14:paraId="516CCF4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Pituitary (DI)</w:t>
            </w:r>
          </w:p>
        </w:tc>
        <w:tc>
          <w:tcPr>
            <w:tcW w:w="720" w:type="dxa"/>
            <w:tcBorders>
              <w:top w:val="nil"/>
              <w:left w:val="nil"/>
              <w:bottom w:val="single" w:sz="8" w:space="0" w:color="000000"/>
              <w:right w:val="single" w:sz="8" w:space="0" w:color="000000"/>
            </w:tcBorders>
            <w:shd w:val="clear" w:color="auto" w:fill="FFFFFF"/>
            <w:vAlign w:val="center"/>
          </w:tcPr>
          <w:p w14:paraId="516CCF4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w:t>
            </w:r>
          </w:p>
        </w:tc>
        <w:tc>
          <w:tcPr>
            <w:tcW w:w="990" w:type="dxa"/>
            <w:tcBorders>
              <w:top w:val="nil"/>
              <w:left w:val="nil"/>
              <w:bottom w:val="single" w:sz="8" w:space="0" w:color="000000"/>
              <w:right w:val="single" w:sz="8" w:space="0" w:color="000000"/>
            </w:tcBorders>
            <w:shd w:val="clear" w:color="auto" w:fill="FFFFFF"/>
            <w:vAlign w:val="center"/>
          </w:tcPr>
          <w:p w14:paraId="516CCF4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CF49"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S100 positive, negative for lysozymes, CD3, CD4, CD20, CD43, MPO, cytokeratine and melan-A</w:t>
            </w:r>
          </w:p>
        </w:tc>
        <w:tc>
          <w:tcPr>
            <w:tcW w:w="2160" w:type="dxa"/>
            <w:tcBorders>
              <w:top w:val="nil"/>
              <w:left w:val="nil"/>
              <w:bottom w:val="single" w:sz="8" w:space="0" w:color="000000"/>
              <w:right w:val="single" w:sz="8" w:space="0" w:color="000000"/>
            </w:tcBorders>
            <w:shd w:val="clear" w:color="auto" w:fill="FFFFFF"/>
            <w:vAlign w:val="center"/>
          </w:tcPr>
          <w:p w14:paraId="516CCF4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Dx 2003, s/p manidbular lesion resection &amp; 1 cycle of cytarabine -&gt; relapse 2006, 4 cycles cladribine, CR</w:t>
            </w:r>
          </w:p>
        </w:tc>
        <w:tc>
          <w:tcPr>
            <w:tcW w:w="641" w:type="dxa"/>
            <w:tcBorders>
              <w:top w:val="nil"/>
              <w:left w:val="nil"/>
              <w:bottom w:val="single" w:sz="8" w:space="0" w:color="000000"/>
              <w:right w:val="single" w:sz="8" w:space="0" w:color="000000"/>
            </w:tcBorders>
            <w:shd w:val="clear" w:color="auto" w:fill="FFFFFF"/>
            <w:vAlign w:val="center"/>
          </w:tcPr>
          <w:p w14:paraId="516CCF4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nil"/>
              <w:left w:val="nil"/>
              <w:bottom w:val="single" w:sz="8" w:space="0" w:color="000000"/>
              <w:right w:val="single" w:sz="8" w:space="0" w:color="000000"/>
            </w:tcBorders>
            <w:shd w:val="clear" w:color="auto" w:fill="FFFFFF"/>
            <w:vAlign w:val="center"/>
          </w:tcPr>
          <w:p w14:paraId="516CCF4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CF4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CF5E" w14:textId="77777777">
        <w:trPr>
          <w:trHeight w:val="525"/>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CF4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13</w:t>
            </w:r>
          </w:p>
        </w:tc>
        <w:tc>
          <w:tcPr>
            <w:tcW w:w="548" w:type="dxa"/>
            <w:tcBorders>
              <w:top w:val="nil"/>
              <w:left w:val="nil"/>
              <w:bottom w:val="single" w:sz="8" w:space="0" w:color="000000"/>
              <w:right w:val="single" w:sz="8" w:space="0" w:color="000000"/>
            </w:tcBorders>
            <w:shd w:val="clear" w:color="auto" w:fill="FFFFFF"/>
            <w:vAlign w:val="center"/>
          </w:tcPr>
          <w:p w14:paraId="516CCF5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nil"/>
              <w:left w:val="nil"/>
              <w:bottom w:val="single" w:sz="8" w:space="0" w:color="000000"/>
              <w:right w:val="single" w:sz="8" w:space="0" w:color="000000"/>
            </w:tcBorders>
            <w:shd w:val="clear" w:color="auto" w:fill="FFFFFF"/>
            <w:vAlign w:val="center"/>
          </w:tcPr>
          <w:p w14:paraId="516CCF5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67</w:t>
            </w:r>
          </w:p>
        </w:tc>
        <w:tc>
          <w:tcPr>
            <w:tcW w:w="611" w:type="dxa"/>
            <w:tcBorders>
              <w:top w:val="nil"/>
              <w:left w:val="nil"/>
              <w:bottom w:val="single" w:sz="8" w:space="0" w:color="000000"/>
              <w:right w:val="single" w:sz="8" w:space="0" w:color="000000"/>
            </w:tcBorders>
            <w:shd w:val="clear" w:color="auto" w:fill="FFFFFF"/>
            <w:vAlign w:val="center"/>
          </w:tcPr>
          <w:p w14:paraId="516CCF5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CF5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PET/MRI</w:t>
            </w:r>
          </w:p>
        </w:tc>
        <w:tc>
          <w:tcPr>
            <w:tcW w:w="630" w:type="dxa"/>
            <w:tcBorders>
              <w:top w:val="nil"/>
              <w:left w:val="nil"/>
              <w:bottom w:val="single" w:sz="8" w:space="0" w:color="000000"/>
              <w:right w:val="single" w:sz="8" w:space="0" w:color="000000"/>
            </w:tcBorders>
            <w:shd w:val="clear" w:color="auto" w:fill="FFFFFF"/>
            <w:vAlign w:val="center"/>
          </w:tcPr>
          <w:p w14:paraId="516CCF5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Liver, rectal</w:t>
            </w:r>
          </w:p>
        </w:tc>
        <w:tc>
          <w:tcPr>
            <w:tcW w:w="720" w:type="dxa"/>
            <w:tcBorders>
              <w:top w:val="nil"/>
              <w:left w:val="nil"/>
              <w:bottom w:val="single" w:sz="8" w:space="0" w:color="000000"/>
              <w:right w:val="single" w:sz="8" w:space="0" w:color="000000"/>
            </w:tcBorders>
            <w:shd w:val="clear" w:color="auto" w:fill="FFFFFF"/>
            <w:vAlign w:val="center"/>
          </w:tcPr>
          <w:p w14:paraId="516CCF5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Pituitary (no DI)</w:t>
            </w:r>
          </w:p>
        </w:tc>
        <w:tc>
          <w:tcPr>
            <w:tcW w:w="720" w:type="dxa"/>
            <w:tcBorders>
              <w:top w:val="nil"/>
              <w:left w:val="nil"/>
              <w:bottom w:val="single" w:sz="8" w:space="0" w:color="000000"/>
              <w:right w:val="single" w:sz="8" w:space="0" w:color="000000"/>
            </w:tcBorders>
            <w:shd w:val="clear" w:color="auto" w:fill="FFFFFF"/>
            <w:vAlign w:val="center"/>
          </w:tcPr>
          <w:p w14:paraId="516CCF5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w:t>
            </w:r>
          </w:p>
        </w:tc>
        <w:tc>
          <w:tcPr>
            <w:tcW w:w="990" w:type="dxa"/>
            <w:tcBorders>
              <w:top w:val="nil"/>
              <w:left w:val="nil"/>
              <w:bottom w:val="single" w:sz="8" w:space="0" w:color="000000"/>
              <w:right w:val="single" w:sz="8" w:space="0" w:color="000000"/>
            </w:tcBorders>
            <w:shd w:val="clear" w:color="auto" w:fill="FFFFFF"/>
            <w:vAlign w:val="center"/>
          </w:tcPr>
          <w:p w14:paraId="516CCF5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CF5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"Liver biopsy: (Trichrome, CK 7, CD1a and S100 stains are confirmatory) </w:t>
            </w:r>
          </w:p>
          <w:p w14:paraId="516CCF5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w:t>
            </w:r>
          </w:p>
        </w:tc>
        <w:tc>
          <w:tcPr>
            <w:tcW w:w="2160" w:type="dxa"/>
            <w:tcBorders>
              <w:top w:val="nil"/>
              <w:left w:val="nil"/>
              <w:bottom w:val="single" w:sz="8" w:space="0" w:color="000000"/>
              <w:right w:val="single" w:sz="8" w:space="0" w:color="000000"/>
            </w:tcBorders>
            <w:shd w:val="clear" w:color="auto" w:fill="FFFFFF"/>
            <w:vAlign w:val="center"/>
          </w:tcPr>
          <w:p w14:paraId="516CCF5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Dx 2018 following liver transplant for cryptogenic cirrhosis with biopsy revealing LCH, no other FDG uptake on PET but small pituitary lesion (no DI) -&gt; post-transplant asymptomatic recommended starting definitive tx w/ cytarabine for 12 months -&gt; lost to f/u (follows with Hematology)</w:t>
            </w:r>
          </w:p>
        </w:tc>
        <w:tc>
          <w:tcPr>
            <w:tcW w:w="641" w:type="dxa"/>
            <w:tcBorders>
              <w:top w:val="nil"/>
              <w:left w:val="nil"/>
              <w:bottom w:val="single" w:sz="8" w:space="0" w:color="000000"/>
              <w:right w:val="single" w:sz="8" w:space="0" w:color="000000"/>
            </w:tcBorders>
            <w:shd w:val="clear" w:color="auto" w:fill="FFFFFF"/>
            <w:vAlign w:val="center"/>
          </w:tcPr>
          <w:p w14:paraId="516CCF5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Unknown </w:t>
            </w:r>
          </w:p>
        </w:tc>
        <w:tc>
          <w:tcPr>
            <w:tcW w:w="716" w:type="dxa"/>
            <w:tcBorders>
              <w:top w:val="nil"/>
              <w:left w:val="nil"/>
              <w:bottom w:val="single" w:sz="8" w:space="0" w:color="000000"/>
              <w:right w:val="single" w:sz="8" w:space="0" w:color="000000"/>
            </w:tcBorders>
            <w:shd w:val="clear" w:color="auto" w:fill="FFFFFF"/>
            <w:vAlign w:val="center"/>
          </w:tcPr>
          <w:p w14:paraId="516CCF5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CF5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CF6D" w14:textId="77777777">
        <w:trPr>
          <w:trHeight w:val="3075"/>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CF5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14</w:t>
            </w:r>
          </w:p>
        </w:tc>
        <w:tc>
          <w:tcPr>
            <w:tcW w:w="548" w:type="dxa"/>
            <w:tcBorders>
              <w:top w:val="nil"/>
              <w:left w:val="nil"/>
              <w:bottom w:val="single" w:sz="8" w:space="0" w:color="000000"/>
              <w:right w:val="single" w:sz="8" w:space="0" w:color="000000"/>
            </w:tcBorders>
            <w:shd w:val="clear" w:color="auto" w:fill="FFFFFF"/>
            <w:vAlign w:val="center"/>
          </w:tcPr>
          <w:p w14:paraId="516CCF6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Male </w:t>
            </w:r>
          </w:p>
        </w:tc>
        <w:tc>
          <w:tcPr>
            <w:tcW w:w="719" w:type="dxa"/>
            <w:gridSpan w:val="2"/>
            <w:tcBorders>
              <w:top w:val="nil"/>
              <w:left w:val="nil"/>
              <w:bottom w:val="single" w:sz="8" w:space="0" w:color="000000"/>
              <w:right w:val="single" w:sz="8" w:space="0" w:color="000000"/>
            </w:tcBorders>
            <w:shd w:val="clear" w:color="auto" w:fill="FFFFFF"/>
            <w:vAlign w:val="center"/>
          </w:tcPr>
          <w:p w14:paraId="516CCF6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47</w:t>
            </w:r>
          </w:p>
        </w:tc>
        <w:tc>
          <w:tcPr>
            <w:tcW w:w="611" w:type="dxa"/>
            <w:tcBorders>
              <w:top w:val="nil"/>
              <w:left w:val="nil"/>
              <w:bottom w:val="single" w:sz="8" w:space="0" w:color="000000"/>
              <w:right w:val="single" w:sz="8" w:space="0" w:color="000000"/>
            </w:tcBorders>
            <w:shd w:val="clear" w:color="auto" w:fill="FFFFFF"/>
            <w:vAlign w:val="center"/>
          </w:tcPr>
          <w:p w14:paraId="516CCF6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CF6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PET</w:t>
            </w:r>
          </w:p>
        </w:tc>
        <w:tc>
          <w:tcPr>
            <w:tcW w:w="630" w:type="dxa"/>
            <w:tcBorders>
              <w:top w:val="nil"/>
              <w:left w:val="nil"/>
              <w:bottom w:val="single" w:sz="8" w:space="0" w:color="000000"/>
              <w:right w:val="single" w:sz="8" w:space="0" w:color="000000"/>
            </w:tcBorders>
            <w:shd w:val="clear" w:color="auto" w:fill="FFFFFF"/>
            <w:vAlign w:val="center"/>
          </w:tcPr>
          <w:p w14:paraId="516CCF6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Bone</w:t>
            </w:r>
          </w:p>
        </w:tc>
        <w:tc>
          <w:tcPr>
            <w:tcW w:w="720" w:type="dxa"/>
            <w:tcBorders>
              <w:top w:val="nil"/>
              <w:left w:val="nil"/>
              <w:bottom w:val="single" w:sz="8" w:space="0" w:color="000000"/>
              <w:right w:val="single" w:sz="8" w:space="0" w:color="000000"/>
            </w:tcBorders>
            <w:shd w:val="clear" w:color="auto" w:fill="FFFFFF"/>
            <w:vAlign w:val="center"/>
          </w:tcPr>
          <w:p w14:paraId="516CCF6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 N/A </w:t>
            </w:r>
          </w:p>
        </w:tc>
        <w:tc>
          <w:tcPr>
            <w:tcW w:w="720" w:type="dxa"/>
            <w:tcBorders>
              <w:top w:val="nil"/>
              <w:left w:val="nil"/>
              <w:bottom w:val="single" w:sz="8" w:space="0" w:color="000000"/>
              <w:right w:val="single" w:sz="8" w:space="0" w:color="000000"/>
            </w:tcBorders>
            <w:shd w:val="clear" w:color="auto" w:fill="FFFFFF"/>
            <w:vAlign w:val="center"/>
          </w:tcPr>
          <w:p w14:paraId="516CCF6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nil"/>
              <w:left w:val="nil"/>
              <w:bottom w:val="single" w:sz="8" w:space="0" w:color="000000"/>
              <w:right w:val="single" w:sz="8" w:space="0" w:color="000000"/>
            </w:tcBorders>
            <w:shd w:val="clear" w:color="auto" w:fill="FFFFFF"/>
            <w:vAlign w:val="center"/>
          </w:tcPr>
          <w:p w14:paraId="516CCF6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CF6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Mandibular bx results not in our system</w:t>
            </w:r>
          </w:p>
        </w:tc>
        <w:tc>
          <w:tcPr>
            <w:tcW w:w="2160" w:type="dxa"/>
            <w:tcBorders>
              <w:top w:val="nil"/>
              <w:left w:val="nil"/>
              <w:bottom w:val="single" w:sz="8" w:space="0" w:color="000000"/>
              <w:right w:val="single" w:sz="8" w:space="0" w:color="000000"/>
            </w:tcBorders>
            <w:shd w:val="clear" w:color="auto" w:fill="FFFFFF"/>
            <w:vAlign w:val="center"/>
          </w:tcPr>
          <w:p w14:paraId="516CCF6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Dx 2016 after 6 years of loose teeth -&gt; 2017 s/p 5 courses radiation and PO steroids, mixed response -&gt; Observation x5 years, stable dz</w:t>
            </w:r>
          </w:p>
        </w:tc>
        <w:tc>
          <w:tcPr>
            <w:tcW w:w="641" w:type="dxa"/>
            <w:tcBorders>
              <w:top w:val="nil"/>
              <w:left w:val="nil"/>
              <w:bottom w:val="single" w:sz="8" w:space="0" w:color="000000"/>
              <w:right w:val="single" w:sz="8" w:space="0" w:color="000000"/>
            </w:tcBorders>
            <w:shd w:val="clear" w:color="auto" w:fill="FFFFFF"/>
            <w:vAlign w:val="center"/>
          </w:tcPr>
          <w:p w14:paraId="516CCF6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nil"/>
              <w:left w:val="nil"/>
              <w:bottom w:val="single" w:sz="8" w:space="0" w:color="000000"/>
              <w:right w:val="single" w:sz="8" w:space="0" w:color="000000"/>
            </w:tcBorders>
            <w:shd w:val="clear" w:color="auto" w:fill="FFFFFF"/>
            <w:vAlign w:val="center"/>
          </w:tcPr>
          <w:p w14:paraId="516CCF6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CF6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CF7D" w14:textId="77777777">
        <w:trPr>
          <w:trHeight w:val="2055"/>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CF6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15</w:t>
            </w:r>
          </w:p>
        </w:tc>
        <w:tc>
          <w:tcPr>
            <w:tcW w:w="548" w:type="dxa"/>
            <w:tcBorders>
              <w:top w:val="nil"/>
              <w:left w:val="nil"/>
              <w:bottom w:val="single" w:sz="8" w:space="0" w:color="000000"/>
              <w:right w:val="single" w:sz="8" w:space="0" w:color="000000"/>
            </w:tcBorders>
            <w:shd w:val="clear" w:color="auto" w:fill="FFFFFF"/>
            <w:vAlign w:val="center"/>
          </w:tcPr>
          <w:p w14:paraId="516CCF6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nil"/>
              <w:left w:val="nil"/>
              <w:bottom w:val="single" w:sz="8" w:space="0" w:color="000000"/>
              <w:right w:val="single" w:sz="8" w:space="0" w:color="000000"/>
            </w:tcBorders>
            <w:shd w:val="clear" w:color="auto" w:fill="FFFFFF"/>
            <w:vAlign w:val="center"/>
          </w:tcPr>
          <w:p w14:paraId="516CCF7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59</w:t>
            </w:r>
          </w:p>
        </w:tc>
        <w:tc>
          <w:tcPr>
            <w:tcW w:w="611" w:type="dxa"/>
            <w:tcBorders>
              <w:top w:val="nil"/>
              <w:left w:val="nil"/>
              <w:bottom w:val="single" w:sz="8" w:space="0" w:color="000000"/>
              <w:right w:val="single" w:sz="8" w:space="0" w:color="000000"/>
            </w:tcBorders>
            <w:shd w:val="clear" w:color="auto" w:fill="FFFFFF"/>
            <w:vAlign w:val="center"/>
          </w:tcPr>
          <w:p w14:paraId="516CCF7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CF7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nil"/>
              <w:left w:val="nil"/>
              <w:bottom w:val="single" w:sz="8" w:space="0" w:color="000000"/>
              <w:right w:val="single" w:sz="8" w:space="0" w:color="000000"/>
            </w:tcBorders>
            <w:shd w:val="clear" w:color="auto" w:fill="FFFFFF"/>
            <w:vAlign w:val="center"/>
          </w:tcPr>
          <w:p w14:paraId="516CCF7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nil"/>
              <w:left w:val="nil"/>
              <w:bottom w:val="single" w:sz="8" w:space="0" w:color="000000"/>
              <w:right w:val="single" w:sz="8" w:space="0" w:color="000000"/>
            </w:tcBorders>
            <w:shd w:val="clear" w:color="auto" w:fill="FFFFFF"/>
            <w:vAlign w:val="center"/>
          </w:tcPr>
          <w:p w14:paraId="516CCF7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nil"/>
              <w:left w:val="nil"/>
              <w:bottom w:val="single" w:sz="8" w:space="0" w:color="000000"/>
              <w:right w:val="single" w:sz="8" w:space="0" w:color="000000"/>
            </w:tcBorders>
            <w:shd w:val="clear" w:color="auto" w:fill="FFFFFF"/>
            <w:vAlign w:val="center"/>
          </w:tcPr>
          <w:p w14:paraId="516CCF7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w:t>
            </w:r>
          </w:p>
        </w:tc>
        <w:tc>
          <w:tcPr>
            <w:tcW w:w="990" w:type="dxa"/>
            <w:tcBorders>
              <w:top w:val="nil"/>
              <w:left w:val="nil"/>
              <w:bottom w:val="single" w:sz="8" w:space="0" w:color="000000"/>
              <w:right w:val="single" w:sz="8" w:space="0" w:color="000000"/>
            </w:tcBorders>
            <w:shd w:val="clear" w:color="auto" w:fill="FFFFFF"/>
            <w:vAlign w:val="center"/>
          </w:tcPr>
          <w:p w14:paraId="516CCF7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CF7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p w14:paraId="516CCF78" w14:textId="77777777" w:rsidR="002F11C4" w:rsidRDefault="002F11C4">
            <w:pPr>
              <w:spacing w:after="0" w:line="240" w:lineRule="auto"/>
              <w:rPr>
                <w:rFonts w:ascii="Times New Roman" w:eastAsia="Times New Roman" w:hAnsi="Times New Roman" w:cs="Times New Roman"/>
                <w:color w:val="000000"/>
                <w:sz w:val="10"/>
                <w:szCs w:val="10"/>
              </w:rPr>
            </w:pPr>
          </w:p>
        </w:tc>
        <w:tc>
          <w:tcPr>
            <w:tcW w:w="2160" w:type="dxa"/>
            <w:tcBorders>
              <w:top w:val="nil"/>
              <w:left w:val="nil"/>
              <w:bottom w:val="single" w:sz="8" w:space="0" w:color="000000"/>
              <w:right w:val="single" w:sz="8" w:space="0" w:color="000000"/>
            </w:tcBorders>
            <w:shd w:val="clear" w:color="auto" w:fill="FFFFFF"/>
            <w:vAlign w:val="center"/>
          </w:tcPr>
          <w:p w14:paraId="516CCF7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Longstanding dyspnea, pHTN and HRCT changes c/w LCH -&gt; No treatment, progressive pulmonary disease. Death 2021</w:t>
            </w:r>
          </w:p>
        </w:tc>
        <w:tc>
          <w:tcPr>
            <w:tcW w:w="641" w:type="dxa"/>
            <w:tcBorders>
              <w:top w:val="nil"/>
              <w:left w:val="nil"/>
              <w:bottom w:val="single" w:sz="8" w:space="0" w:color="000000"/>
              <w:right w:val="single" w:sz="8" w:space="0" w:color="000000"/>
            </w:tcBorders>
            <w:shd w:val="clear" w:color="auto" w:fill="FFFFFF"/>
            <w:vAlign w:val="center"/>
          </w:tcPr>
          <w:p w14:paraId="516CCF7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Progressive Disease </w:t>
            </w:r>
          </w:p>
        </w:tc>
        <w:tc>
          <w:tcPr>
            <w:tcW w:w="716" w:type="dxa"/>
            <w:tcBorders>
              <w:top w:val="nil"/>
              <w:left w:val="nil"/>
              <w:bottom w:val="single" w:sz="8" w:space="0" w:color="000000"/>
              <w:right w:val="single" w:sz="8" w:space="0" w:color="000000"/>
            </w:tcBorders>
            <w:shd w:val="clear" w:color="auto" w:fill="FFFFFF"/>
            <w:vAlign w:val="center"/>
          </w:tcPr>
          <w:p w14:paraId="516CCF7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CF7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CF8E" w14:textId="77777777">
        <w:trPr>
          <w:trHeight w:val="1290"/>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CF7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16</w:t>
            </w:r>
          </w:p>
        </w:tc>
        <w:tc>
          <w:tcPr>
            <w:tcW w:w="548" w:type="dxa"/>
            <w:tcBorders>
              <w:top w:val="nil"/>
              <w:left w:val="nil"/>
              <w:bottom w:val="single" w:sz="8" w:space="0" w:color="000000"/>
              <w:right w:val="single" w:sz="8" w:space="0" w:color="000000"/>
            </w:tcBorders>
            <w:shd w:val="clear" w:color="auto" w:fill="FFFFFF"/>
            <w:vAlign w:val="center"/>
          </w:tcPr>
          <w:p w14:paraId="516CCF7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Female </w:t>
            </w:r>
          </w:p>
        </w:tc>
        <w:tc>
          <w:tcPr>
            <w:tcW w:w="719" w:type="dxa"/>
            <w:gridSpan w:val="2"/>
            <w:tcBorders>
              <w:top w:val="nil"/>
              <w:left w:val="nil"/>
              <w:bottom w:val="single" w:sz="8" w:space="0" w:color="000000"/>
              <w:right w:val="single" w:sz="8" w:space="0" w:color="000000"/>
            </w:tcBorders>
            <w:shd w:val="clear" w:color="auto" w:fill="FFFFFF"/>
            <w:vAlign w:val="center"/>
          </w:tcPr>
          <w:p w14:paraId="516CCF8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59</w:t>
            </w:r>
          </w:p>
        </w:tc>
        <w:tc>
          <w:tcPr>
            <w:tcW w:w="611" w:type="dxa"/>
            <w:tcBorders>
              <w:top w:val="nil"/>
              <w:left w:val="nil"/>
              <w:bottom w:val="single" w:sz="8" w:space="0" w:color="000000"/>
              <w:right w:val="single" w:sz="8" w:space="0" w:color="000000"/>
            </w:tcBorders>
            <w:shd w:val="clear" w:color="auto" w:fill="FFFFFF"/>
            <w:vAlign w:val="center"/>
          </w:tcPr>
          <w:p w14:paraId="516CCF8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CF8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PET/CT</w:t>
            </w:r>
          </w:p>
        </w:tc>
        <w:tc>
          <w:tcPr>
            <w:tcW w:w="630" w:type="dxa"/>
            <w:tcBorders>
              <w:top w:val="nil"/>
              <w:left w:val="nil"/>
              <w:bottom w:val="single" w:sz="8" w:space="0" w:color="000000"/>
              <w:right w:val="single" w:sz="8" w:space="0" w:color="000000"/>
            </w:tcBorders>
            <w:shd w:val="clear" w:color="auto" w:fill="FFFFFF"/>
            <w:vAlign w:val="center"/>
          </w:tcPr>
          <w:p w14:paraId="516CCF8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Esophagus </w:t>
            </w:r>
          </w:p>
        </w:tc>
        <w:tc>
          <w:tcPr>
            <w:tcW w:w="720" w:type="dxa"/>
            <w:tcBorders>
              <w:top w:val="nil"/>
              <w:left w:val="nil"/>
              <w:bottom w:val="single" w:sz="8" w:space="0" w:color="000000"/>
              <w:right w:val="single" w:sz="8" w:space="0" w:color="000000"/>
            </w:tcBorders>
            <w:shd w:val="clear" w:color="auto" w:fill="FFFFFF"/>
            <w:vAlign w:val="center"/>
          </w:tcPr>
          <w:p w14:paraId="516CCF8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None </w:t>
            </w:r>
          </w:p>
        </w:tc>
        <w:tc>
          <w:tcPr>
            <w:tcW w:w="720" w:type="dxa"/>
            <w:tcBorders>
              <w:top w:val="nil"/>
              <w:left w:val="nil"/>
              <w:bottom w:val="single" w:sz="8" w:space="0" w:color="000000"/>
              <w:right w:val="single" w:sz="8" w:space="0" w:color="000000"/>
            </w:tcBorders>
            <w:shd w:val="clear" w:color="auto" w:fill="FFFFFF"/>
            <w:vAlign w:val="center"/>
          </w:tcPr>
          <w:p w14:paraId="516CCF8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990" w:type="dxa"/>
            <w:tcBorders>
              <w:top w:val="nil"/>
              <w:left w:val="nil"/>
              <w:bottom w:val="single" w:sz="8" w:space="0" w:color="000000"/>
              <w:right w:val="single" w:sz="8" w:space="0" w:color="000000"/>
            </w:tcBorders>
            <w:shd w:val="clear" w:color="auto" w:fill="FFFFFF"/>
            <w:vAlign w:val="center"/>
          </w:tcPr>
          <w:p w14:paraId="516CCF8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IHC</w:t>
            </w:r>
          </w:p>
        </w:tc>
        <w:tc>
          <w:tcPr>
            <w:tcW w:w="1080" w:type="dxa"/>
            <w:tcBorders>
              <w:top w:val="nil"/>
              <w:left w:val="nil"/>
              <w:bottom w:val="single" w:sz="8" w:space="0" w:color="000000"/>
              <w:right w:val="single" w:sz="8" w:space="0" w:color="000000"/>
            </w:tcBorders>
            <w:shd w:val="clear" w:color="auto" w:fill="FFFFFF"/>
            <w:vAlign w:val="center"/>
          </w:tcPr>
          <w:p w14:paraId="516CCF8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BRAF V600E positive</w:t>
            </w:r>
          </w:p>
          <w:p w14:paraId="516CCF88" w14:textId="77777777" w:rsidR="002F11C4" w:rsidRDefault="002F11C4">
            <w:pPr>
              <w:spacing w:after="0" w:line="240" w:lineRule="auto"/>
              <w:rPr>
                <w:rFonts w:ascii="Times New Roman" w:eastAsia="Times New Roman" w:hAnsi="Times New Roman" w:cs="Times New Roman"/>
                <w:color w:val="000000"/>
                <w:sz w:val="10"/>
                <w:szCs w:val="10"/>
              </w:rPr>
            </w:pPr>
          </w:p>
          <w:p w14:paraId="516CCF8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Esophageal ukcer bx:  ovoid cells with irregular nuclei tha tstained positive for vimentin, S-100, CD68 and CD1a.</w:t>
            </w:r>
          </w:p>
        </w:tc>
        <w:tc>
          <w:tcPr>
            <w:tcW w:w="2160" w:type="dxa"/>
            <w:tcBorders>
              <w:top w:val="nil"/>
              <w:left w:val="nil"/>
              <w:bottom w:val="single" w:sz="8" w:space="0" w:color="000000"/>
              <w:right w:val="single" w:sz="8" w:space="0" w:color="000000"/>
            </w:tcBorders>
            <w:shd w:val="clear" w:color="auto" w:fill="FFFFFF"/>
            <w:vAlign w:val="center"/>
          </w:tcPr>
          <w:p w14:paraId="516CCF8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Dyphagia for over a year, EGD w. esophageal ulcer positive for LCH on bx, recommended initiation of Vemurafinib based on mutation status -&gt; Lost to follow-up</w:t>
            </w:r>
          </w:p>
        </w:tc>
        <w:tc>
          <w:tcPr>
            <w:tcW w:w="641" w:type="dxa"/>
            <w:tcBorders>
              <w:top w:val="nil"/>
              <w:left w:val="nil"/>
              <w:bottom w:val="single" w:sz="8" w:space="0" w:color="000000"/>
              <w:right w:val="single" w:sz="8" w:space="0" w:color="000000"/>
            </w:tcBorders>
            <w:shd w:val="clear" w:color="auto" w:fill="FFFFFF"/>
            <w:vAlign w:val="center"/>
          </w:tcPr>
          <w:p w14:paraId="516CCF8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716" w:type="dxa"/>
            <w:tcBorders>
              <w:top w:val="nil"/>
              <w:left w:val="nil"/>
              <w:bottom w:val="single" w:sz="8" w:space="0" w:color="000000"/>
              <w:right w:val="single" w:sz="8" w:space="0" w:color="000000"/>
            </w:tcBorders>
            <w:shd w:val="clear" w:color="auto" w:fill="FFFFFF"/>
            <w:vAlign w:val="center"/>
          </w:tcPr>
          <w:p w14:paraId="516CCF8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CF8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CF9D" w14:textId="77777777">
        <w:trPr>
          <w:trHeight w:val="525"/>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CF8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17</w:t>
            </w:r>
          </w:p>
        </w:tc>
        <w:tc>
          <w:tcPr>
            <w:tcW w:w="548" w:type="dxa"/>
            <w:tcBorders>
              <w:top w:val="nil"/>
              <w:left w:val="nil"/>
              <w:bottom w:val="single" w:sz="8" w:space="0" w:color="000000"/>
              <w:right w:val="single" w:sz="8" w:space="0" w:color="000000"/>
            </w:tcBorders>
            <w:shd w:val="clear" w:color="auto" w:fill="FFFFFF"/>
            <w:vAlign w:val="center"/>
          </w:tcPr>
          <w:p w14:paraId="516CCF9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Female </w:t>
            </w:r>
          </w:p>
        </w:tc>
        <w:tc>
          <w:tcPr>
            <w:tcW w:w="719" w:type="dxa"/>
            <w:gridSpan w:val="2"/>
            <w:tcBorders>
              <w:top w:val="nil"/>
              <w:left w:val="nil"/>
              <w:bottom w:val="single" w:sz="8" w:space="0" w:color="000000"/>
              <w:right w:val="single" w:sz="8" w:space="0" w:color="000000"/>
            </w:tcBorders>
            <w:shd w:val="clear" w:color="auto" w:fill="FFFFFF"/>
            <w:vAlign w:val="center"/>
          </w:tcPr>
          <w:p w14:paraId="516CCF9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40</w:t>
            </w:r>
          </w:p>
        </w:tc>
        <w:tc>
          <w:tcPr>
            <w:tcW w:w="611" w:type="dxa"/>
            <w:tcBorders>
              <w:top w:val="nil"/>
              <w:left w:val="nil"/>
              <w:bottom w:val="single" w:sz="8" w:space="0" w:color="000000"/>
              <w:right w:val="single" w:sz="8" w:space="0" w:color="000000"/>
            </w:tcBorders>
            <w:shd w:val="clear" w:color="auto" w:fill="FFFFFF"/>
            <w:vAlign w:val="center"/>
          </w:tcPr>
          <w:p w14:paraId="516CCF9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CF9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nil"/>
              <w:left w:val="nil"/>
              <w:bottom w:val="single" w:sz="8" w:space="0" w:color="000000"/>
              <w:right w:val="single" w:sz="8" w:space="0" w:color="000000"/>
            </w:tcBorders>
            <w:shd w:val="clear" w:color="auto" w:fill="FFFFFF"/>
            <w:vAlign w:val="center"/>
          </w:tcPr>
          <w:p w14:paraId="516CCF9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Lungs </w:t>
            </w:r>
          </w:p>
        </w:tc>
        <w:tc>
          <w:tcPr>
            <w:tcW w:w="720" w:type="dxa"/>
            <w:tcBorders>
              <w:top w:val="nil"/>
              <w:left w:val="nil"/>
              <w:bottom w:val="single" w:sz="8" w:space="0" w:color="000000"/>
              <w:right w:val="single" w:sz="8" w:space="0" w:color="000000"/>
            </w:tcBorders>
            <w:shd w:val="clear" w:color="auto" w:fill="FFFFFF"/>
            <w:vAlign w:val="center"/>
          </w:tcPr>
          <w:p w14:paraId="516CCF9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None </w:t>
            </w:r>
          </w:p>
        </w:tc>
        <w:tc>
          <w:tcPr>
            <w:tcW w:w="720" w:type="dxa"/>
            <w:tcBorders>
              <w:top w:val="nil"/>
              <w:left w:val="nil"/>
              <w:bottom w:val="single" w:sz="8" w:space="0" w:color="000000"/>
              <w:right w:val="single" w:sz="8" w:space="0" w:color="000000"/>
            </w:tcBorders>
            <w:shd w:val="clear" w:color="auto" w:fill="FFFFFF"/>
            <w:vAlign w:val="center"/>
          </w:tcPr>
          <w:p w14:paraId="516CCF9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w:t>
            </w:r>
          </w:p>
        </w:tc>
        <w:tc>
          <w:tcPr>
            <w:tcW w:w="990" w:type="dxa"/>
            <w:tcBorders>
              <w:top w:val="nil"/>
              <w:left w:val="nil"/>
              <w:bottom w:val="single" w:sz="8" w:space="0" w:color="000000"/>
              <w:right w:val="single" w:sz="8" w:space="0" w:color="000000"/>
            </w:tcBorders>
            <w:shd w:val="clear" w:color="auto" w:fill="FFFFFF"/>
            <w:vAlign w:val="center"/>
          </w:tcPr>
          <w:p w14:paraId="516CCF9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CF9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N/A</w:t>
            </w:r>
          </w:p>
        </w:tc>
        <w:tc>
          <w:tcPr>
            <w:tcW w:w="2160" w:type="dxa"/>
            <w:tcBorders>
              <w:top w:val="nil"/>
              <w:left w:val="nil"/>
              <w:bottom w:val="single" w:sz="8" w:space="0" w:color="000000"/>
              <w:right w:val="single" w:sz="8" w:space="0" w:color="000000"/>
            </w:tcBorders>
            <w:shd w:val="clear" w:color="auto" w:fill="FFFFFF"/>
            <w:vAlign w:val="center"/>
          </w:tcPr>
          <w:p w14:paraId="516CCF9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Years of weight loss and dyspnea, CT findings c/w LCH, s/p wedge resection w/ bx c/w LCH, no other area of systemic dz -&gt; Continues obsevation x 9 years</w:t>
            </w:r>
          </w:p>
        </w:tc>
        <w:tc>
          <w:tcPr>
            <w:tcW w:w="641" w:type="dxa"/>
            <w:tcBorders>
              <w:top w:val="nil"/>
              <w:left w:val="nil"/>
              <w:bottom w:val="single" w:sz="8" w:space="0" w:color="000000"/>
              <w:right w:val="single" w:sz="8" w:space="0" w:color="000000"/>
            </w:tcBorders>
            <w:shd w:val="clear" w:color="auto" w:fill="FFFFFF"/>
            <w:vAlign w:val="center"/>
          </w:tcPr>
          <w:p w14:paraId="516CCF9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nil"/>
              <w:left w:val="nil"/>
              <w:bottom w:val="single" w:sz="8" w:space="0" w:color="000000"/>
              <w:right w:val="single" w:sz="8" w:space="0" w:color="000000"/>
            </w:tcBorders>
            <w:shd w:val="clear" w:color="auto" w:fill="FFFFFF"/>
            <w:vAlign w:val="center"/>
          </w:tcPr>
          <w:p w14:paraId="516CCF9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CF9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CFAE" w14:textId="77777777">
        <w:trPr>
          <w:trHeight w:val="1290"/>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CF9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lastRenderedPageBreak/>
              <w:t>18</w:t>
            </w:r>
          </w:p>
        </w:tc>
        <w:tc>
          <w:tcPr>
            <w:tcW w:w="548" w:type="dxa"/>
            <w:tcBorders>
              <w:top w:val="nil"/>
              <w:left w:val="nil"/>
              <w:bottom w:val="single" w:sz="8" w:space="0" w:color="000000"/>
              <w:right w:val="single" w:sz="8" w:space="0" w:color="000000"/>
            </w:tcBorders>
            <w:shd w:val="clear" w:color="auto" w:fill="FFFFFF"/>
            <w:vAlign w:val="center"/>
          </w:tcPr>
          <w:p w14:paraId="516CCF9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nil"/>
              <w:left w:val="nil"/>
              <w:bottom w:val="single" w:sz="8" w:space="0" w:color="000000"/>
              <w:right w:val="single" w:sz="8" w:space="0" w:color="000000"/>
            </w:tcBorders>
            <w:shd w:val="clear" w:color="auto" w:fill="FFFFFF"/>
            <w:vAlign w:val="center"/>
          </w:tcPr>
          <w:p w14:paraId="516CCFA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36</w:t>
            </w:r>
          </w:p>
        </w:tc>
        <w:tc>
          <w:tcPr>
            <w:tcW w:w="611" w:type="dxa"/>
            <w:tcBorders>
              <w:top w:val="nil"/>
              <w:left w:val="nil"/>
              <w:bottom w:val="single" w:sz="8" w:space="0" w:color="000000"/>
              <w:right w:val="single" w:sz="8" w:space="0" w:color="000000"/>
            </w:tcBorders>
            <w:shd w:val="clear" w:color="auto" w:fill="FFFFFF"/>
            <w:vAlign w:val="center"/>
          </w:tcPr>
          <w:p w14:paraId="516CCFA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CFA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CT/PET</w:t>
            </w:r>
          </w:p>
        </w:tc>
        <w:tc>
          <w:tcPr>
            <w:tcW w:w="630" w:type="dxa"/>
            <w:tcBorders>
              <w:top w:val="nil"/>
              <w:left w:val="nil"/>
              <w:bottom w:val="single" w:sz="8" w:space="0" w:color="000000"/>
              <w:right w:val="single" w:sz="8" w:space="0" w:color="000000"/>
            </w:tcBorders>
            <w:shd w:val="clear" w:color="auto" w:fill="FFFFFF"/>
            <w:vAlign w:val="center"/>
          </w:tcPr>
          <w:p w14:paraId="516CCFA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nil"/>
              <w:left w:val="nil"/>
              <w:bottom w:val="single" w:sz="8" w:space="0" w:color="000000"/>
              <w:right w:val="single" w:sz="8" w:space="0" w:color="000000"/>
            </w:tcBorders>
            <w:shd w:val="clear" w:color="auto" w:fill="FFFFFF"/>
            <w:vAlign w:val="center"/>
          </w:tcPr>
          <w:p w14:paraId="516CCFA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None </w:t>
            </w:r>
          </w:p>
        </w:tc>
        <w:tc>
          <w:tcPr>
            <w:tcW w:w="720" w:type="dxa"/>
            <w:tcBorders>
              <w:top w:val="nil"/>
              <w:left w:val="nil"/>
              <w:bottom w:val="single" w:sz="8" w:space="0" w:color="000000"/>
              <w:right w:val="single" w:sz="8" w:space="0" w:color="000000"/>
            </w:tcBorders>
            <w:shd w:val="clear" w:color="auto" w:fill="FFFFFF"/>
            <w:vAlign w:val="center"/>
          </w:tcPr>
          <w:p w14:paraId="516CCFA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w:t>
            </w:r>
          </w:p>
        </w:tc>
        <w:tc>
          <w:tcPr>
            <w:tcW w:w="990" w:type="dxa"/>
            <w:tcBorders>
              <w:top w:val="nil"/>
              <w:left w:val="nil"/>
              <w:bottom w:val="single" w:sz="8" w:space="0" w:color="000000"/>
              <w:right w:val="single" w:sz="8" w:space="0" w:color="000000"/>
            </w:tcBorders>
            <w:shd w:val="clear" w:color="auto" w:fill="FFFFFF"/>
            <w:vAlign w:val="center"/>
          </w:tcPr>
          <w:p w14:paraId="516CCFA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CFA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 Respiratory bronchiolitis with focal peribronchial fibrosis suggestive of eosinophilic </w:t>
            </w:r>
          </w:p>
          <w:p w14:paraId="516CCFA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granulomas.  No staining reported.</w:t>
            </w:r>
          </w:p>
          <w:p w14:paraId="516CCFA9" w14:textId="77777777" w:rsidR="002F11C4" w:rsidRDefault="002F11C4">
            <w:pPr>
              <w:spacing w:after="0" w:line="240" w:lineRule="auto"/>
              <w:rPr>
                <w:rFonts w:ascii="Times New Roman" w:eastAsia="Times New Roman" w:hAnsi="Times New Roman" w:cs="Times New Roman"/>
                <w:color w:val="000000"/>
                <w:sz w:val="10"/>
                <w:szCs w:val="10"/>
              </w:rPr>
            </w:pPr>
          </w:p>
        </w:tc>
        <w:tc>
          <w:tcPr>
            <w:tcW w:w="2160" w:type="dxa"/>
            <w:tcBorders>
              <w:top w:val="nil"/>
              <w:left w:val="nil"/>
              <w:bottom w:val="single" w:sz="8" w:space="0" w:color="000000"/>
              <w:right w:val="single" w:sz="8" w:space="0" w:color="000000"/>
            </w:tcBorders>
            <w:shd w:val="clear" w:color="auto" w:fill="FFFFFF"/>
            <w:vAlign w:val="center"/>
          </w:tcPr>
          <w:p w14:paraId="516CCFA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P/w weight loss and dyspnea, lung bx c/w LCH -&gt; Observation for 8 years then thought to have spontaous remission in 2014 -&gt; 2022 c/f disease recurrence on CT</w:t>
            </w:r>
          </w:p>
        </w:tc>
        <w:tc>
          <w:tcPr>
            <w:tcW w:w="641" w:type="dxa"/>
            <w:tcBorders>
              <w:top w:val="nil"/>
              <w:left w:val="nil"/>
              <w:bottom w:val="single" w:sz="8" w:space="0" w:color="000000"/>
              <w:right w:val="single" w:sz="8" w:space="0" w:color="000000"/>
            </w:tcBorders>
            <w:shd w:val="clear" w:color="auto" w:fill="FFFFFF"/>
            <w:vAlign w:val="center"/>
          </w:tcPr>
          <w:p w14:paraId="516CCFA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nil"/>
              <w:left w:val="nil"/>
              <w:bottom w:val="single" w:sz="8" w:space="0" w:color="000000"/>
              <w:right w:val="single" w:sz="8" w:space="0" w:color="000000"/>
            </w:tcBorders>
            <w:shd w:val="clear" w:color="auto" w:fill="FFFFFF"/>
            <w:vAlign w:val="center"/>
          </w:tcPr>
          <w:p w14:paraId="516CCFA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0.89</w:t>
            </w:r>
          </w:p>
        </w:tc>
        <w:tc>
          <w:tcPr>
            <w:tcW w:w="750" w:type="dxa"/>
            <w:tcBorders>
              <w:top w:val="nil"/>
              <w:left w:val="nil"/>
              <w:bottom w:val="single" w:sz="8" w:space="0" w:color="000000"/>
              <w:right w:val="single" w:sz="8" w:space="0" w:color="000000"/>
            </w:tcBorders>
            <w:shd w:val="clear" w:color="auto" w:fill="FFFFFF"/>
            <w:vAlign w:val="center"/>
          </w:tcPr>
          <w:p w14:paraId="516CCFA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CFBD" w14:textId="77777777">
        <w:trPr>
          <w:trHeight w:val="525"/>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CFA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19</w:t>
            </w:r>
          </w:p>
        </w:tc>
        <w:tc>
          <w:tcPr>
            <w:tcW w:w="548" w:type="dxa"/>
            <w:tcBorders>
              <w:top w:val="nil"/>
              <w:left w:val="nil"/>
              <w:bottom w:val="single" w:sz="8" w:space="0" w:color="000000"/>
              <w:right w:val="single" w:sz="8" w:space="0" w:color="000000"/>
            </w:tcBorders>
            <w:shd w:val="clear" w:color="auto" w:fill="FFFFFF"/>
            <w:vAlign w:val="center"/>
          </w:tcPr>
          <w:p w14:paraId="516CCFB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nil"/>
              <w:left w:val="nil"/>
              <w:bottom w:val="single" w:sz="8" w:space="0" w:color="000000"/>
              <w:right w:val="single" w:sz="8" w:space="0" w:color="000000"/>
            </w:tcBorders>
            <w:shd w:val="clear" w:color="auto" w:fill="FFFFFF"/>
            <w:vAlign w:val="center"/>
          </w:tcPr>
          <w:p w14:paraId="516CCFB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2</w:t>
            </w:r>
          </w:p>
        </w:tc>
        <w:tc>
          <w:tcPr>
            <w:tcW w:w="611" w:type="dxa"/>
            <w:tcBorders>
              <w:top w:val="nil"/>
              <w:left w:val="nil"/>
              <w:bottom w:val="single" w:sz="8" w:space="0" w:color="000000"/>
              <w:right w:val="single" w:sz="8" w:space="0" w:color="000000"/>
            </w:tcBorders>
            <w:shd w:val="clear" w:color="auto" w:fill="FFFFFF"/>
            <w:vAlign w:val="center"/>
          </w:tcPr>
          <w:p w14:paraId="516CCFB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CFB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XR, skeletal survey</w:t>
            </w:r>
          </w:p>
        </w:tc>
        <w:tc>
          <w:tcPr>
            <w:tcW w:w="630" w:type="dxa"/>
            <w:tcBorders>
              <w:top w:val="nil"/>
              <w:left w:val="nil"/>
              <w:bottom w:val="single" w:sz="8" w:space="0" w:color="000000"/>
              <w:right w:val="single" w:sz="8" w:space="0" w:color="000000"/>
            </w:tcBorders>
            <w:shd w:val="clear" w:color="auto" w:fill="FFFFFF"/>
            <w:vAlign w:val="center"/>
          </w:tcPr>
          <w:p w14:paraId="516CCFB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Bone (iliac and rib)</w:t>
            </w:r>
          </w:p>
        </w:tc>
        <w:tc>
          <w:tcPr>
            <w:tcW w:w="720" w:type="dxa"/>
            <w:tcBorders>
              <w:top w:val="nil"/>
              <w:left w:val="nil"/>
              <w:bottom w:val="single" w:sz="8" w:space="0" w:color="000000"/>
              <w:right w:val="single" w:sz="8" w:space="0" w:color="000000"/>
            </w:tcBorders>
            <w:shd w:val="clear" w:color="auto" w:fill="FFFFFF"/>
            <w:vAlign w:val="center"/>
          </w:tcPr>
          <w:p w14:paraId="516CCFB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 known</w:t>
            </w:r>
          </w:p>
        </w:tc>
        <w:tc>
          <w:tcPr>
            <w:tcW w:w="720" w:type="dxa"/>
            <w:tcBorders>
              <w:top w:val="nil"/>
              <w:left w:val="nil"/>
              <w:bottom w:val="single" w:sz="8" w:space="0" w:color="000000"/>
              <w:right w:val="single" w:sz="8" w:space="0" w:color="000000"/>
            </w:tcBorders>
            <w:shd w:val="clear" w:color="auto" w:fill="FFFFFF"/>
            <w:vAlign w:val="center"/>
          </w:tcPr>
          <w:p w14:paraId="516CCFB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w:t>
            </w:r>
          </w:p>
        </w:tc>
        <w:tc>
          <w:tcPr>
            <w:tcW w:w="990" w:type="dxa"/>
            <w:tcBorders>
              <w:top w:val="nil"/>
              <w:left w:val="nil"/>
              <w:bottom w:val="single" w:sz="8" w:space="0" w:color="000000"/>
              <w:right w:val="single" w:sz="8" w:space="0" w:color="000000"/>
            </w:tcBorders>
            <w:shd w:val="clear" w:color="auto" w:fill="FFFFFF"/>
            <w:vAlign w:val="center"/>
          </w:tcPr>
          <w:p w14:paraId="516CCFB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CFB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Eosinophilic granuloma, IHC staining done &amp; confirmatory but not commented on in report</w:t>
            </w:r>
          </w:p>
        </w:tc>
        <w:tc>
          <w:tcPr>
            <w:tcW w:w="2160" w:type="dxa"/>
            <w:tcBorders>
              <w:top w:val="nil"/>
              <w:left w:val="nil"/>
              <w:bottom w:val="single" w:sz="8" w:space="0" w:color="000000"/>
              <w:right w:val="single" w:sz="8" w:space="0" w:color="000000"/>
            </w:tcBorders>
            <w:shd w:val="clear" w:color="auto" w:fill="FFFFFF"/>
            <w:vAlign w:val="center"/>
          </w:tcPr>
          <w:p w14:paraId="516CCFB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Lytic lesion of iliac bone, bx c/w LCH, started Vinblastine and Prednisone, progressive disease 2004 -&gt; Cladaribine started, 3/6 cycles complete, progressive disease -&gt; IV MTX, Vinblastine, pred and 6 MP x2 yrs, complete remission -&gt; obs 17 years</w:t>
            </w:r>
          </w:p>
        </w:tc>
        <w:tc>
          <w:tcPr>
            <w:tcW w:w="641" w:type="dxa"/>
            <w:tcBorders>
              <w:top w:val="nil"/>
              <w:left w:val="nil"/>
              <w:bottom w:val="single" w:sz="8" w:space="0" w:color="000000"/>
              <w:right w:val="single" w:sz="8" w:space="0" w:color="000000"/>
            </w:tcBorders>
            <w:shd w:val="clear" w:color="auto" w:fill="FFFFFF"/>
            <w:vAlign w:val="center"/>
          </w:tcPr>
          <w:p w14:paraId="516CCFB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nil"/>
              <w:left w:val="nil"/>
              <w:bottom w:val="single" w:sz="8" w:space="0" w:color="000000"/>
              <w:right w:val="single" w:sz="8" w:space="0" w:color="000000"/>
            </w:tcBorders>
            <w:shd w:val="clear" w:color="auto" w:fill="FFFFFF"/>
            <w:vAlign w:val="center"/>
          </w:tcPr>
          <w:p w14:paraId="516CCFB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CFB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CFCC" w14:textId="77777777">
        <w:trPr>
          <w:trHeight w:val="780"/>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CFB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20</w:t>
            </w:r>
          </w:p>
        </w:tc>
        <w:tc>
          <w:tcPr>
            <w:tcW w:w="548" w:type="dxa"/>
            <w:tcBorders>
              <w:top w:val="nil"/>
              <w:left w:val="nil"/>
              <w:bottom w:val="single" w:sz="8" w:space="0" w:color="000000"/>
              <w:right w:val="single" w:sz="8" w:space="0" w:color="000000"/>
            </w:tcBorders>
            <w:shd w:val="clear" w:color="auto" w:fill="FFFFFF"/>
            <w:vAlign w:val="center"/>
          </w:tcPr>
          <w:p w14:paraId="516CCFB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nil"/>
              <w:left w:val="nil"/>
              <w:bottom w:val="single" w:sz="8" w:space="0" w:color="000000"/>
              <w:right w:val="single" w:sz="8" w:space="0" w:color="000000"/>
            </w:tcBorders>
            <w:shd w:val="clear" w:color="auto" w:fill="FFFFFF"/>
            <w:vAlign w:val="center"/>
          </w:tcPr>
          <w:p w14:paraId="516CCFC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92</w:t>
            </w:r>
          </w:p>
        </w:tc>
        <w:tc>
          <w:tcPr>
            <w:tcW w:w="611" w:type="dxa"/>
            <w:tcBorders>
              <w:top w:val="nil"/>
              <w:left w:val="nil"/>
              <w:bottom w:val="single" w:sz="8" w:space="0" w:color="000000"/>
              <w:right w:val="single" w:sz="8" w:space="0" w:color="000000"/>
            </w:tcBorders>
            <w:shd w:val="clear" w:color="auto" w:fill="FFFFFF"/>
            <w:vAlign w:val="center"/>
          </w:tcPr>
          <w:p w14:paraId="516CCFC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CFC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PET</w:t>
            </w:r>
          </w:p>
        </w:tc>
        <w:tc>
          <w:tcPr>
            <w:tcW w:w="630" w:type="dxa"/>
            <w:tcBorders>
              <w:top w:val="nil"/>
              <w:left w:val="nil"/>
              <w:bottom w:val="single" w:sz="8" w:space="0" w:color="000000"/>
              <w:right w:val="single" w:sz="8" w:space="0" w:color="000000"/>
            </w:tcBorders>
            <w:shd w:val="clear" w:color="auto" w:fill="FFFFFF"/>
            <w:vAlign w:val="center"/>
          </w:tcPr>
          <w:p w14:paraId="516CCFC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Cutaneous </w:t>
            </w:r>
          </w:p>
        </w:tc>
        <w:tc>
          <w:tcPr>
            <w:tcW w:w="720" w:type="dxa"/>
            <w:tcBorders>
              <w:top w:val="nil"/>
              <w:left w:val="nil"/>
              <w:bottom w:val="single" w:sz="8" w:space="0" w:color="000000"/>
              <w:right w:val="single" w:sz="8" w:space="0" w:color="000000"/>
            </w:tcBorders>
            <w:shd w:val="clear" w:color="auto" w:fill="FFFFFF"/>
            <w:vAlign w:val="center"/>
          </w:tcPr>
          <w:p w14:paraId="516CCFC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nil"/>
              <w:left w:val="nil"/>
              <w:bottom w:val="single" w:sz="8" w:space="0" w:color="000000"/>
              <w:right w:val="single" w:sz="8" w:space="0" w:color="000000"/>
            </w:tcBorders>
            <w:shd w:val="clear" w:color="auto" w:fill="FFFFFF"/>
            <w:vAlign w:val="center"/>
          </w:tcPr>
          <w:p w14:paraId="516CCFC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w:t>
            </w:r>
          </w:p>
        </w:tc>
        <w:tc>
          <w:tcPr>
            <w:tcW w:w="990" w:type="dxa"/>
            <w:tcBorders>
              <w:top w:val="nil"/>
              <w:left w:val="nil"/>
              <w:bottom w:val="single" w:sz="8" w:space="0" w:color="000000"/>
              <w:right w:val="single" w:sz="8" w:space="0" w:color="000000"/>
            </w:tcBorders>
            <w:shd w:val="clear" w:color="auto" w:fill="FFFFFF"/>
            <w:vAlign w:val="center"/>
          </w:tcPr>
          <w:p w14:paraId="516CCFC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CFC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Dense lymphoid infiltrate w/in dermis including Langerhans cells- positive for CD1A, cyclin D1, CD3+ w/ few CD 20+ cells</w:t>
            </w:r>
          </w:p>
        </w:tc>
        <w:tc>
          <w:tcPr>
            <w:tcW w:w="2160" w:type="dxa"/>
            <w:tcBorders>
              <w:top w:val="nil"/>
              <w:left w:val="nil"/>
              <w:bottom w:val="single" w:sz="8" w:space="0" w:color="000000"/>
              <w:right w:val="single" w:sz="8" w:space="0" w:color="000000"/>
            </w:tcBorders>
            <w:shd w:val="clear" w:color="auto" w:fill="FFFFFF"/>
            <w:vAlign w:val="center"/>
          </w:tcPr>
          <w:p w14:paraId="516CCFC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Bx of skin lesion c/w LCH, no other areas of involvement and pt asymptomatic, observation x3 years, stable disease</w:t>
            </w:r>
          </w:p>
        </w:tc>
        <w:tc>
          <w:tcPr>
            <w:tcW w:w="641" w:type="dxa"/>
            <w:tcBorders>
              <w:top w:val="nil"/>
              <w:left w:val="nil"/>
              <w:bottom w:val="single" w:sz="8" w:space="0" w:color="000000"/>
              <w:right w:val="single" w:sz="8" w:space="0" w:color="000000"/>
            </w:tcBorders>
            <w:shd w:val="clear" w:color="auto" w:fill="FFFFFF"/>
            <w:vAlign w:val="center"/>
          </w:tcPr>
          <w:p w14:paraId="516CCFC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Stable Disease </w:t>
            </w:r>
          </w:p>
        </w:tc>
        <w:tc>
          <w:tcPr>
            <w:tcW w:w="716" w:type="dxa"/>
            <w:tcBorders>
              <w:top w:val="nil"/>
              <w:left w:val="nil"/>
              <w:bottom w:val="single" w:sz="8" w:space="0" w:color="000000"/>
              <w:right w:val="single" w:sz="8" w:space="0" w:color="000000"/>
            </w:tcBorders>
            <w:shd w:val="clear" w:color="auto" w:fill="FFFFFF"/>
            <w:vAlign w:val="center"/>
          </w:tcPr>
          <w:p w14:paraId="516CCFC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CFC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CFDB" w14:textId="77777777">
        <w:trPr>
          <w:trHeight w:val="1035"/>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CFC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21</w:t>
            </w:r>
          </w:p>
        </w:tc>
        <w:tc>
          <w:tcPr>
            <w:tcW w:w="548" w:type="dxa"/>
            <w:tcBorders>
              <w:top w:val="nil"/>
              <w:left w:val="nil"/>
              <w:bottom w:val="single" w:sz="8" w:space="0" w:color="000000"/>
              <w:right w:val="single" w:sz="8" w:space="0" w:color="000000"/>
            </w:tcBorders>
            <w:shd w:val="clear" w:color="auto" w:fill="FFFFFF"/>
            <w:vAlign w:val="center"/>
          </w:tcPr>
          <w:p w14:paraId="516CCFC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nil"/>
              <w:left w:val="nil"/>
              <w:bottom w:val="single" w:sz="8" w:space="0" w:color="000000"/>
              <w:right w:val="single" w:sz="8" w:space="0" w:color="000000"/>
            </w:tcBorders>
            <w:shd w:val="clear" w:color="auto" w:fill="FFFFFF"/>
            <w:vAlign w:val="center"/>
          </w:tcPr>
          <w:p w14:paraId="516CCFC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40</w:t>
            </w:r>
          </w:p>
        </w:tc>
        <w:tc>
          <w:tcPr>
            <w:tcW w:w="611" w:type="dxa"/>
            <w:tcBorders>
              <w:top w:val="nil"/>
              <w:left w:val="nil"/>
              <w:bottom w:val="single" w:sz="8" w:space="0" w:color="000000"/>
              <w:right w:val="single" w:sz="8" w:space="0" w:color="000000"/>
            </w:tcBorders>
            <w:shd w:val="clear" w:color="auto" w:fill="FFFFFF"/>
            <w:vAlign w:val="center"/>
          </w:tcPr>
          <w:p w14:paraId="516CCFD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CFD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nil"/>
              <w:left w:val="nil"/>
              <w:bottom w:val="single" w:sz="8" w:space="0" w:color="000000"/>
              <w:right w:val="single" w:sz="8" w:space="0" w:color="000000"/>
            </w:tcBorders>
            <w:shd w:val="clear" w:color="auto" w:fill="FFFFFF"/>
            <w:vAlign w:val="center"/>
          </w:tcPr>
          <w:p w14:paraId="516CCFD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nil"/>
              <w:left w:val="nil"/>
              <w:bottom w:val="single" w:sz="8" w:space="0" w:color="000000"/>
              <w:right w:val="single" w:sz="8" w:space="0" w:color="000000"/>
            </w:tcBorders>
            <w:shd w:val="clear" w:color="auto" w:fill="FFFFFF"/>
            <w:vAlign w:val="center"/>
          </w:tcPr>
          <w:p w14:paraId="516CCFD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nil"/>
              <w:left w:val="nil"/>
              <w:bottom w:val="single" w:sz="8" w:space="0" w:color="000000"/>
              <w:right w:val="single" w:sz="8" w:space="0" w:color="000000"/>
            </w:tcBorders>
            <w:shd w:val="clear" w:color="auto" w:fill="FFFFFF"/>
            <w:vAlign w:val="center"/>
          </w:tcPr>
          <w:p w14:paraId="516CCFD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w:t>
            </w:r>
          </w:p>
        </w:tc>
        <w:tc>
          <w:tcPr>
            <w:tcW w:w="990" w:type="dxa"/>
            <w:tcBorders>
              <w:top w:val="nil"/>
              <w:left w:val="nil"/>
              <w:bottom w:val="single" w:sz="8" w:space="0" w:color="000000"/>
              <w:right w:val="single" w:sz="8" w:space="0" w:color="000000"/>
            </w:tcBorders>
            <w:shd w:val="clear" w:color="auto" w:fill="FFFFFF"/>
            <w:vAlign w:val="center"/>
          </w:tcPr>
          <w:p w14:paraId="516CCFD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CFD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2160" w:type="dxa"/>
            <w:tcBorders>
              <w:top w:val="nil"/>
              <w:left w:val="nil"/>
              <w:bottom w:val="single" w:sz="8" w:space="0" w:color="000000"/>
              <w:right w:val="single" w:sz="8" w:space="0" w:color="000000"/>
            </w:tcBorders>
            <w:shd w:val="clear" w:color="auto" w:fill="FFFFFF"/>
            <w:vAlign w:val="center"/>
          </w:tcPr>
          <w:p w14:paraId="516CCFD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Progressive dyspnea for several years, s/p lung bx c/w LCH -&gt; observation for 15 years, died 2020</w:t>
            </w:r>
          </w:p>
        </w:tc>
        <w:tc>
          <w:tcPr>
            <w:tcW w:w="641" w:type="dxa"/>
            <w:tcBorders>
              <w:top w:val="nil"/>
              <w:left w:val="nil"/>
              <w:bottom w:val="single" w:sz="8" w:space="0" w:color="000000"/>
              <w:right w:val="single" w:sz="8" w:space="0" w:color="000000"/>
            </w:tcBorders>
            <w:shd w:val="clear" w:color="auto" w:fill="FFFFFF"/>
            <w:vAlign w:val="center"/>
          </w:tcPr>
          <w:p w14:paraId="516CCFD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Progressive Disease</w:t>
            </w:r>
          </w:p>
        </w:tc>
        <w:tc>
          <w:tcPr>
            <w:tcW w:w="716" w:type="dxa"/>
            <w:tcBorders>
              <w:top w:val="nil"/>
              <w:left w:val="nil"/>
              <w:bottom w:val="single" w:sz="8" w:space="0" w:color="000000"/>
              <w:right w:val="single" w:sz="8" w:space="0" w:color="000000"/>
            </w:tcBorders>
            <w:shd w:val="clear" w:color="auto" w:fill="FFFFFF"/>
            <w:vAlign w:val="center"/>
          </w:tcPr>
          <w:p w14:paraId="516CCFD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CFD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CFEE" w14:textId="77777777">
        <w:trPr>
          <w:trHeight w:val="1545"/>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CFD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22</w:t>
            </w:r>
          </w:p>
        </w:tc>
        <w:tc>
          <w:tcPr>
            <w:tcW w:w="548" w:type="dxa"/>
            <w:tcBorders>
              <w:top w:val="nil"/>
              <w:left w:val="nil"/>
              <w:bottom w:val="single" w:sz="8" w:space="0" w:color="000000"/>
              <w:right w:val="single" w:sz="8" w:space="0" w:color="000000"/>
            </w:tcBorders>
            <w:shd w:val="clear" w:color="auto" w:fill="FFFFFF"/>
            <w:vAlign w:val="center"/>
          </w:tcPr>
          <w:p w14:paraId="516CCFD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nil"/>
              <w:left w:val="nil"/>
              <w:bottom w:val="single" w:sz="8" w:space="0" w:color="000000"/>
              <w:right w:val="single" w:sz="8" w:space="0" w:color="000000"/>
            </w:tcBorders>
            <w:shd w:val="clear" w:color="auto" w:fill="FFFFFF"/>
            <w:vAlign w:val="center"/>
          </w:tcPr>
          <w:p w14:paraId="516CCFD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12</w:t>
            </w:r>
          </w:p>
        </w:tc>
        <w:tc>
          <w:tcPr>
            <w:tcW w:w="611" w:type="dxa"/>
            <w:tcBorders>
              <w:top w:val="nil"/>
              <w:left w:val="nil"/>
              <w:bottom w:val="single" w:sz="8" w:space="0" w:color="000000"/>
              <w:right w:val="single" w:sz="8" w:space="0" w:color="000000"/>
            </w:tcBorders>
            <w:shd w:val="clear" w:color="auto" w:fill="FFFFFF"/>
            <w:vAlign w:val="center"/>
          </w:tcPr>
          <w:p w14:paraId="516CCFD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CFE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MRI/PET</w:t>
            </w:r>
          </w:p>
        </w:tc>
        <w:tc>
          <w:tcPr>
            <w:tcW w:w="630" w:type="dxa"/>
            <w:tcBorders>
              <w:top w:val="nil"/>
              <w:left w:val="nil"/>
              <w:bottom w:val="single" w:sz="8" w:space="0" w:color="000000"/>
              <w:right w:val="single" w:sz="8" w:space="0" w:color="000000"/>
            </w:tcBorders>
            <w:shd w:val="clear" w:color="auto" w:fill="FFFFFF"/>
            <w:vAlign w:val="center"/>
          </w:tcPr>
          <w:p w14:paraId="516CCFE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Bone</w:t>
            </w:r>
          </w:p>
        </w:tc>
        <w:tc>
          <w:tcPr>
            <w:tcW w:w="720" w:type="dxa"/>
            <w:tcBorders>
              <w:top w:val="nil"/>
              <w:left w:val="nil"/>
              <w:bottom w:val="single" w:sz="8" w:space="0" w:color="000000"/>
              <w:right w:val="single" w:sz="8" w:space="0" w:color="000000"/>
            </w:tcBorders>
            <w:shd w:val="clear" w:color="auto" w:fill="FFFFFF"/>
            <w:vAlign w:val="center"/>
          </w:tcPr>
          <w:p w14:paraId="516CCFE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Nodal</w:t>
            </w:r>
          </w:p>
        </w:tc>
        <w:tc>
          <w:tcPr>
            <w:tcW w:w="720" w:type="dxa"/>
            <w:tcBorders>
              <w:top w:val="nil"/>
              <w:left w:val="nil"/>
              <w:bottom w:val="single" w:sz="8" w:space="0" w:color="000000"/>
              <w:right w:val="single" w:sz="8" w:space="0" w:color="000000"/>
            </w:tcBorders>
            <w:shd w:val="clear" w:color="auto" w:fill="FFFFFF"/>
            <w:vAlign w:val="center"/>
          </w:tcPr>
          <w:p w14:paraId="516CCFE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w:t>
            </w:r>
          </w:p>
        </w:tc>
        <w:tc>
          <w:tcPr>
            <w:tcW w:w="990" w:type="dxa"/>
            <w:tcBorders>
              <w:top w:val="nil"/>
              <w:left w:val="nil"/>
              <w:bottom w:val="single" w:sz="8" w:space="0" w:color="000000"/>
              <w:right w:val="single" w:sz="8" w:space="0" w:color="000000"/>
            </w:tcBorders>
            <w:shd w:val="clear" w:color="auto" w:fill="FFFFFF"/>
            <w:vAlign w:val="center"/>
          </w:tcPr>
          <w:p w14:paraId="516CCFE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CFE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"LN bx: large, multifocal </w:t>
            </w:r>
          </w:p>
          <w:p w14:paraId="516CCFE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collections of Langerhans cells intermingled with some eosinophils, histiocytes (including occasional multinucleated giant cells), and lymphocytes. The infiltrates of Langerhans cells are predominantly localized. </w:t>
            </w:r>
          </w:p>
          <w:p w14:paraId="516CCFE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in sinusal and paracortical areas of the lymph node. The Langerhans cells show </w:t>
            </w:r>
          </w:p>
          <w:p w14:paraId="516CCFE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the characteristic immunohistochemical staining pattern with anti-CD1a and S-100 protein. </w:t>
            </w:r>
          </w:p>
          <w:p w14:paraId="516CCFE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w:t>
            </w:r>
          </w:p>
        </w:tc>
        <w:tc>
          <w:tcPr>
            <w:tcW w:w="2160" w:type="dxa"/>
            <w:tcBorders>
              <w:top w:val="nil"/>
              <w:left w:val="nil"/>
              <w:bottom w:val="single" w:sz="8" w:space="0" w:color="000000"/>
              <w:right w:val="single" w:sz="8" w:space="0" w:color="000000"/>
            </w:tcBorders>
            <w:shd w:val="clear" w:color="auto" w:fill="FFFFFF"/>
            <w:vAlign w:val="center"/>
          </w:tcPr>
          <w:p w14:paraId="516CCFE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Hip pain w/ bx c/w LCH + positive LN -&gt; Vinblastine and steroids x5 mon, stable dz -&gt; observation x 17 years stable disease</w:t>
            </w:r>
          </w:p>
        </w:tc>
        <w:tc>
          <w:tcPr>
            <w:tcW w:w="641" w:type="dxa"/>
            <w:tcBorders>
              <w:top w:val="nil"/>
              <w:left w:val="nil"/>
              <w:bottom w:val="single" w:sz="8" w:space="0" w:color="000000"/>
              <w:right w:val="single" w:sz="8" w:space="0" w:color="000000"/>
            </w:tcBorders>
            <w:shd w:val="clear" w:color="auto" w:fill="FFFFFF"/>
            <w:vAlign w:val="center"/>
          </w:tcPr>
          <w:p w14:paraId="516CCFE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nil"/>
              <w:left w:val="nil"/>
              <w:bottom w:val="single" w:sz="8" w:space="0" w:color="000000"/>
              <w:right w:val="single" w:sz="8" w:space="0" w:color="000000"/>
            </w:tcBorders>
            <w:shd w:val="clear" w:color="auto" w:fill="FFFFFF"/>
            <w:vAlign w:val="center"/>
          </w:tcPr>
          <w:p w14:paraId="516CCFE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CFE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CFFD" w14:textId="77777777">
        <w:trPr>
          <w:trHeight w:val="1290"/>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CFE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23</w:t>
            </w:r>
          </w:p>
        </w:tc>
        <w:tc>
          <w:tcPr>
            <w:tcW w:w="548" w:type="dxa"/>
            <w:tcBorders>
              <w:top w:val="nil"/>
              <w:left w:val="nil"/>
              <w:bottom w:val="single" w:sz="8" w:space="0" w:color="000000"/>
              <w:right w:val="single" w:sz="8" w:space="0" w:color="000000"/>
            </w:tcBorders>
            <w:shd w:val="clear" w:color="auto" w:fill="FFFFFF"/>
            <w:vAlign w:val="center"/>
          </w:tcPr>
          <w:p w14:paraId="516CCFF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nil"/>
              <w:left w:val="nil"/>
              <w:bottom w:val="single" w:sz="8" w:space="0" w:color="000000"/>
              <w:right w:val="single" w:sz="8" w:space="0" w:color="000000"/>
            </w:tcBorders>
            <w:shd w:val="clear" w:color="auto" w:fill="FFFFFF"/>
            <w:vAlign w:val="center"/>
          </w:tcPr>
          <w:p w14:paraId="516CCFF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44</w:t>
            </w:r>
          </w:p>
        </w:tc>
        <w:tc>
          <w:tcPr>
            <w:tcW w:w="611" w:type="dxa"/>
            <w:tcBorders>
              <w:top w:val="nil"/>
              <w:left w:val="nil"/>
              <w:bottom w:val="single" w:sz="8" w:space="0" w:color="000000"/>
              <w:right w:val="single" w:sz="8" w:space="0" w:color="000000"/>
            </w:tcBorders>
            <w:shd w:val="clear" w:color="auto" w:fill="FFFFFF"/>
            <w:vAlign w:val="center"/>
          </w:tcPr>
          <w:p w14:paraId="516CCFF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CFF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nil"/>
              <w:left w:val="nil"/>
              <w:bottom w:val="single" w:sz="8" w:space="0" w:color="000000"/>
              <w:right w:val="single" w:sz="8" w:space="0" w:color="000000"/>
            </w:tcBorders>
            <w:shd w:val="clear" w:color="auto" w:fill="FFFFFF"/>
            <w:vAlign w:val="center"/>
          </w:tcPr>
          <w:p w14:paraId="516CCFF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nil"/>
              <w:left w:val="nil"/>
              <w:bottom w:val="single" w:sz="8" w:space="0" w:color="000000"/>
              <w:right w:val="single" w:sz="8" w:space="0" w:color="000000"/>
            </w:tcBorders>
            <w:shd w:val="clear" w:color="auto" w:fill="FFFFFF"/>
            <w:vAlign w:val="center"/>
          </w:tcPr>
          <w:p w14:paraId="516CCFF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nil"/>
              <w:left w:val="nil"/>
              <w:bottom w:val="single" w:sz="8" w:space="0" w:color="000000"/>
              <w:right w:val="single" w:sz="8" w:space="0" w:color="000000"/>
            </w:tcBorders>
            <w:shd w:val="clear" w:color="auto" w:fill="FFFFFF"/>
            <w:vAlign w:val="center"/>
          </w:tcPr>
          <w:p w14:paraId="516CCFF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w:t>
            </w:r>
          </w:p>
        </w:tc>
        <w:tc>
          <w:tcPr>
            <w:tcW w:w="990" w:type="dxa"/>
            <w:tcBorders>
              <w:top w:val="nil"/>
              <w:left w:val="nil"/>
              <w:bottom w:val="single" w:sz="8" w:space="0" w:color="000000"/>
              <w:right w:val="single" w:sz="8" w:space="0" w:color="000000"/>
            </w:tcBorders>
            <w:shd w:val="clear" w:color="auto" w:fill="FFFFFF"/>
            <w:vAlign w:val="center"/>
          </w:tcPr>
          <w:p w14:paraId="516CCFF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CFF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2160" w:type="dxa"/>
            <w:tcBorders>
              <w:top w:val="nil"/>
              <w:left w:val="nil"/>
              <w:bottom w:val="single" w:sz="8" w:space="0" w:color="000000"/>
              <w:right w:val="single" w:sz="8" w:space="0" w:color="000000"/>
            </w:tcBorders>
            <w:shd w:val="clear" w:color="auto" w:fill="FFFFFF"/>
            <w:vAlign w:val="center"/>
          </w:tcPr>
          <w:p w14:paraId="516CCFF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History of anaplastic oligodendroglioma, chronic smoking, incidentally lung findings on CT c/w LCH, recommended smoking cessation -&gt; died 2017</w:t>
            </w:r>
          </w:p>
        </w:tc>
        <w:tc>
          <w:tcPr>
            <w:tcW w:w="641" w:type="dxa"/>
            <w:tcBorders>
              <w:top w:val="nil"/>
              <w:left w:val="nil"/>
              <w:bottom w:val="single" w:sz="8" w:space="0" w:color="000000"/>
              <w:right w:val="single" w:sz="8" w:space="0" w:color="000000"/>
            </w:tcBorders>
            <w:shd w:val="clear" w:color="auto" w:fill="FFFFFF"/>
            <w:vAlign w:val="center"/>
          </w:tcPr>
          <w:p w14:paraId="516CCFF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Progressive Disease</w:t>
            </w:r>
          </w:p>
        </w:tc>
        <w:tc>
          <w:tcPr>
            <w:tcW w:w="716" w:type="dxa"/>
            <w:tcBorders>
              <w:top w:val="nil"/>
              <w:left w:val="nil"/>
              <w:bottom w:val="single" w:sz="8" w:space="0" w:color="000000"/>
              <w:right w:val="single" w:sz="8" w:space="0" w:color="000000"/>
            </w:tcBorders>
            <w:shd w:val="clear" w:color="auto" w:fill="FFFFFF"/>
            <w:vAlign w:val="center"/>
          </w:tcPr>
          <w:p w14:paraId="516CCFF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CFF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00C" w14:textId="77777777">
        <w:trPr>
          <w:trHeight w:val="525"/>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CFF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24</w:t>
            </w:r>
          </w:p>
        </w:tc>
        <w:tc>
          <w:tcPr>
            <w:tcW w:w="548" w:type="dxa"/>
            <w:tcBorders>
              <w:top w:val="nil"/>
              <w:left w:val="nil"/>
              <w:bottom w:val="single" w:sz="8" w:space="0" w:color="000000"/>
              <w:right w:val="single" w:sz="8" w:space="0" w:color="000000"/>
            </w:tcBorders>
            <w:shd w:val="clear" w:color="auto" w:fill="FFFFFF"/>
            <w:vAlign w:val="center"/>
          </w:tcPr>
          <w:p w14:paraId="516CCFF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Female </w:t>
            </w:r>
          </w:p>
        </w:tc>
        <w:tc>
          <w:tcPr>
            <w:tcW w:w="719" w:type="dxa"/>
            <w:gridSpan w:val="2"/>
            <w:tcBorders>
              <w:top w:val="nil"/>
              <w:left w:val="nil"/>
              <w:bottom w:val="single" w:sz="8" w:space="0" w:color="000000"/>
              <w:right w:val="single" w:sz="8" w:space="0" w:color="000000"/>
            </w:tcBorders>
            <w:shd w:val="clear" w:color="auto" w:fill="FFFFFF"/>
            <w:vAlign w:val="center"/>
          </w:tcPr>
          <w:p w14:paraId="516CD00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10</w:t>
            </w:r>
          </w:p>
        </w:tc>
        <w:tc>
          <w:tcPr>
            <w:tcW w:w="611" w:type="dxa"/>
            <w:tcBorders>
              <w:top w:val="nil"/>
              <w:left w:val="nil"/>
              <w:bottom w:val="single" w:sz="8" w:space="0" w:color="000000"/>
              <w:right w:val="single" w:sz="8" w:space="0" w:color="000000"/>
            </w:tcBorders>
            <w:shd w:val="clear" w:color="auto" w:fill="FFFFFF"/>
            <w:vAlign w:val="center"/>
          </w:tcPr>
          <w:p w14:paraId="516CD00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D00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MRI</w:t>
            </w:r>
          </w:p>
        </w:tc>
        <w:tc>
          <w:tcPr>
            <w:tcW w:w="630" w:type="dxa"/>
            <w:tcBorders>
              <w:top w:val="nil"/>
              <w:left w:val="nil"/>
              <w:bottom w:val="single" w:sz="8" w:space="0" w:color="000000"/>
              <w:right w:val="single" w:sz="8" w:space="0" w:color="000000"/>
            </w:tcBorders>
            <w:shd w:val="clear" w:color="auto" w:fill="FFFFFF"/>
            <w:vAlign w:val="center"/>
          </w:tcPr>
          <w:p w14:paraId="516CD00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Bone</w:t>
            </w:r>
          </w:p>
        </w:tc>
        <w:tc>
          <w:tcPr>
            <w:tcW w:w="720" w:type="dxa"/>
            <w:tcBorders>
              <w:top w:val="nil"/>
              <w:left w:val="nil"/>
              <w:bottom w:val="single" w:sz="8" w:space="0" w:color="000000"/>
              <w:right w:val="single" w:sz="8" w:space="0" w:color="000000"/>
            </w:tcBorders>
            <w:shd w:val="clear" w:color="auto" w:fill="FFFFFF"/>
            <w:vAlign w:val="center"/>
          </w:tcPr>
          <w:p w14:paraId="516CD00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nil"/>
              <w:left w:val="nil"/>
              <w:bottom w:val="single" w:sz="8" w:space="0" w:color="000000"/>
              <w:right w:val="single" w:sz="8" w:space="0" w:color="000000"/>
            </w:tcBorders>
            <w:shd w:val="clear" w:color="auto" w:fill="FFFFFF"/>
            <w:vAlign w:val="center"/>
          </w:tcPr>
          <w:p w14:paraId="516CD00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nil"/>
              <w:left w:val="nil"/>
              <w:bottom w:val="single" w:sz="8" w:space="0" w:color="000000"/>
              <w:right w:val="single" w:sz="8" w:space="0" w:color="000000"/>
            </w:tcBorders>
            <w:shd w:val="clear" w:color="auto" w:fill="FFFFFF"/>
            <w:vAlign w:val="center"/>
          </w:tcPr>
          <w:p w14:paraId="516CD00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D00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2160" w:type="dxa"/>
            <w:tcBorders>
              <w:top w:val="nil"/>
              <w:left w:val="nil"/>
              <w:bottom w:val="single" w:sz="8" w:space="0" w:color="000000"/>
              <w:right w:val="single" w:sz="8" w:space="0" w:color="000000"/>
            </w:tcBorders>
            <w:shd w:val="clear" w:color="auto" w:fill="FFFFFF"/>
            <w:vAlign w:val="center"/>
          </w:tcPr>
          <w:p w14:paraId="516CD00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Dx 2006 following bx and bone grafting of femur -&gt; Observation x13 years, complete response</w:t>
            </w:r>
          </w:p>
        </w:tc>
        <w:tc>
          <w:tcPr>
            <w:tcW w:w="641" w:type="dxa"/>
            <w:tcBorders>
              <w:top w:val="nil"/>
              <w:left w:val="nil"/>
              <w:bottom w:val="single" w:sz="8" w:space="0" w:color="000000"/>
              <w:right w:val="single" w:sz="8" w:space="0" w:color="000000"/>
            </w:tcBorders>
            <w:shd w:val="clear" w:color="auto" w:fill="FFFFFF"/>
            <w:vAlign w:val="center"/>
          </w:tcPr>
          <w:p w14:paraId="516CD00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nil"/>
              <w:left w:val="nil"/>
              <w:bottom w:val="single" w:sz="8" w:space="0" w:color="000000"/>
              <w:right w:val="single" w:sz="8" w:space="0" w:color="000000"/>
            </w:tcBorders>
            <w:shd w:val="clear" w:color="auto" w:fill="FFFFFF"/>
            <w:vAlign w:val="center"/>
          </w:tcPr>
          <w:p w14:paraId="516CD00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D00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01D" w14:textId="77777777">
        <w:trPr>
          <w:trHeight w:val="1290"/>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D00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25</w:t>
            </w:r>
          </w:p>
        </w:tc>
        <w:tc>
          <w:tcPr>
            <w:tcW w:w="548" w:type="dxa"/>
            <w:tcBorders>
              <w:top w:val="nil"/>
              <w:left w:val="nil"/>
              <w:bottom w:val="single" w:sz="8" w:space="0" w:color="000000"/>
              <w:right w:val="single" w:sz="8" w:space="0" w:color="000000"/>
            </w:tcBorders>
            <w:shd w:val="clear" w:color="auto" w:fill="FFFFFF"/>
            <w:vAlign w:val="center"/>
          </w:tcPr>
          <w:p w14:paraId="516CD00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nil"/>
              <w:left w:val="nil"/>
              <w:bottom w:val="single" w:sz="8" w:space="0" w:color="000000"/>
              <w:right w:val="single" w:sz="8" w:space="0" w:color="000000"/>
            </w:tcBorders>
            <w:shd w:val="clear" w:color="auto" w:fill="FFFFFF"/>
            <w:vAlign w:val="center"/>
          </w:tcPr>
          <w:p w14:paraId="516CD00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61</w:t>
            </w:r>
          </w:p>
        </w:tc>
        <w:tc>
          <w:tcPr>
            <w:tcW w:w="611" w:type="dxa"/>
            <w:tcBorders>
              <w:top w:val="nil"/>
              <w:left w:val="nil"/>
              <w:bottom w:val="single" w:sz="8" w:space="0" w:color="000000"/>
              <w:right w:val="single" w:sz="8" w:space="0" w:color="000000"/>
            </w:tcBorders>
            <w:shd w:val="clear" w:color="auto" w:fill="FFFFFF"/>
            <w:vAlign w:val="center"/>
          </w:tcPr>
          <w:p w14:paraId="516CD01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D01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MRI</w:t>
            </w:r>
          </w:p>
        </w:tc>
        <w:tc>
          <w:tcPr>
            <w:tcW w:w="630" w:type="dxa"/>
            <w:tcBorders>
              <w:top w:val="nil"/>
              <w:left w:val="nil"/>
              <w:bottom w:val="single" w:sz="8" w:space="0" w:color="000000"/>
              <w:right w:val="single" w:sz="8" w:space="0" w:color="000000"/>
            </w:tcBorders>
            <w:shd w:val="clear" w:color="auto" w:fill="FFFFFF"/>
            <w:vAlign w:val="center"/>
          </w:tcPr>
          <w:p w14:paraId="516CD01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Bone</w:t>
            </w:r>
          </w:p>
        </w:tc>
        <w:tc>
          <w:tcPr>
            <w:tcW w:w="720" w:type="dxa"/>
            <w:tcBorders>
              <w:top w:val="nil"/>
              <w:left w:val="nil"/>
              <w:bottom w:val="single" w:sz="8" w:space="0" w:color="000000"/>
              <w:right w:val="single" w:sz="8" w:space="0" w:color="000000"/>
            </w:tcBorders>
            <w:shd w:val="clear" w:color="auto" w:fill="FFFFFF"/>
            <w:vAlign w:val="center"/>
          </w:tcPr>
          <w:p w14:paraId="516CD01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nil"/>
              <w:left w:val="nil"/>
              <w:bottom w:val="single" w:sz="8" w:space="0" w:color="000000"/>
              <w:right w:val="single" w:sz="8" w:space="0" w:color="000000"/>
            </w:tcBorders>
            <w:shd w:val="clear" w:color="auto" w:fill="FFFFFF"/>
            <w:vAlign w:val="center"/>
          </w:tcPr>
          <w:p w14:paraId="516CD01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nil"/>
              <w:left w:val="nil"/>
              <w:bottom w:val="single" w:sz="8" w:space="0" w:color="000000"/>
              <w:right w:val="single" w:sz="8" w:space="0" w:color="000000"/>
            </w:tcBorders>
            <w:shd w:val="clear" w:color="auto" w:fill="FFFFFF"/>
            <w:vAlign w:val="center"/>
          </w:tcPr>
          <w:p w14:paraId="516CD01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D01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Immunohistochemical stain for S-100 highlights Langerhan's cells within the </w:t>
            </w:r>
          </w:p>
          <w:p w14:paraId="516CD01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dense infiltrate of eosinophils and lymphocytes. </w:t>
            </w:r>
          </w:p>
          <w:p w14:paraId="516CD018" w14:textId="77777777" w:rsidR="002F11C4" w:rsidRDefault="002F11C4">
            <w:pPr>
              <w:spacing w:after="0" w:line="240" w:lineRule="auto"/>
              <w:rPr>
                <w:rFonts w:ascii="Times New Roman" w:eastAsia="Times New Roman" w:hAnsi="Times New Roman" w:cs="Times New Roman"/>
                <w:color w:val="000000"/>
                <w:sz w:val="10"/>
                <w:szCs w:val="10"/>
              </w:rPr>
            </w:pPr>
          </w:p>
        </w:tc>
        <w:tc>
          <w:tcPr>
            <w:tcW w:w="2160" w:type="dxa"/>
            <w:tcBorders>
              <w:top w:val="nil"/>
              <w:left w:val="nil"/>
              <w:bottom w:val="single" w:sz="8" w:space="0" w:color="000000"/>
              <w:right w:val="single" w:sz="8" w:space="0" w:color="000000"/>
            </w:tcBorders>
            <w:shd w:val="clear" w:color="auto" w:fill="FFFFFF"/>
            <w:vAlign w:val="center"/>
          </w:tcPr>
          <w:p w14:paraId="516CD01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Right temporal lesion w/ extension into calvarium, dura and subgaleal tissues, bx and bone curretage c/w LCH, observation x9 years, complete response</w:t>
            </w:r>
          </w:p>
        </w:tc>
        <w:tc>
          <w:tcPr>
            <w:tcW w:w="641" w:type="dxa"/>
            <w:tcBorders>
              <w:top w:val="nil"/>
              <w:left w:val="nil"/>
              <w:bottom w:val="single" w:sz="8" w:space="0" w:color="000000"/>
              <w:right w:val="single" w:sz="8" w:space="0" w:color="000000"/>
            </w:tcBorders>
            <w:shd w:val="clear" w:color="auto" w:fill="FFFFFF"/>
            <w:vAlign w:val="center"/>
          </w:tcPr>
          <w:p w14:paraId="516CD01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nil"/>
              <w:left w:val="nil"/>
              <w:bottom w:val="single" w:sz="8" w:space="0" w:color="000000"/>
              <w:right w:val="single" w:sz="8" w:space="0" w:color="000000"/>
            </w:tcBorders>
            <w:shd w:val="clear" w:color="auto" w:fill="FFFFFF"/>
            <w:vAlign w:val="center"/>
          </w:tcPr>
          <w:p w14:paraId="516CD01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D01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02C" w14:textId="77777777">
        <w:trPr>
          <w:trHeight w:val="1035"/>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D01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26</w:t>
            </w:r>
          </w:p>
        </w:tc>
        <w:tc>
          <w:tcPr>
            <w:tcW w:w="548" w:type="dxa"/>
            <w:tcBorders>
              <w:top w:val="nil"/>
              <w:left w:val="nil"/>
              <w:bottom w:val="single" w:sz="8" w:space="0" w:color="000000"/>
              <w:right w:val="single" w:sz="8" w:space="0" w:color="000000"/>
            </w:tcBorders>
            <w:shd w:val="clear" w:color="auto" w:fill="FFFFFF"/>
            <w:vAlign w:val="center"/>
          </w:tcPr>
          <w:p w14:paraId="516CD01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nil"/>
              <w:left w:val="nil"/>
              <w:bottom w:val="single" w:sz="8" w:space="0" w:color="000000"/>
              <w:right w:val="single" w:sz="8" w:space="0" w:color="000000"/>
            </w:tcBorders>
            <w:shd w:val="clear" w:color="auto" w:fill="FFFFFF"/>
            <w:vAlign w:val="center"/>
          </w:tcPr>
          <w:p w14:paraId="516CD02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70</w:t>
            </w:r>
          </w:p>
        </w:tc>
        <w:tc>
          <w:tcPr>
            <w:tcW w:w="611" w:type="dxa"/>
            <w:tcBorders>
              <w:top w:val="nil"/>
              <w:left w:val="nil"/>
              <w:bottom w:val="single" w:sz="8" w:space="0" w:color="000000"/>
              <w:right w:val="single" w:sz="8" w:space="0" w:color="000000"/>
            </w:tcBorders>
            <w:shd w:val="clear" w:color="auto" w:fill="FFFFFF"/>
            <w:vAlign w:val="center"/>
          </w:tcPr>
          <w:p w14:paraId="516CD02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D02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nil"/>
              <w:left w:val="nil"/>
              <w:bottom w:val="single" w:sz="8" w:space="0" w:color="000000"/>
              <w:right w:val="single" w:sz="8" w:space="0" w:color="000000"/>
            </w:tcBorders>
            <w:shd w:val="clear" w:color="auto" w:fill="FFFFFF"/>
            <w:vAlign w:val="center"/>
          </w:tcPr>
          <w:p w14:paraId="516CD02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nil"/>
              <w:left w:val="nil"/>
              <w:bottom w:val="single" w:sz="8" w:space="0" w:color="000000"/>
              <w:right w:val="single" w:sz="8" w:space="0" w:color="000000"/>
            </w:tcBorders>
            <w:shd w:val="clear" w:color="auto" w:fill="FFFFFF"/>
            <w:vAlign w:val="center"/>
          </w:tcPr>
          <w:p w14:paraId="516CD02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nil"/>
              <w:left w:val="nil"/>
              <w:bottom w:val="single" w:sz="8" w:space="0" w:color="000000"/>
              <w:right w:val="single" w:sz="8" w:space="0" w:color="000000"/>
            </w:tcBorders>
            <w:shd w:val="clear" w:color="auto" w:fill="FFFFFF"/>
            <w:vAlign w:val="center"/>
          </w:tcPr>
          <w:p w14:paraId="516CD02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nil"/>
              <w:left w:val="nil"/>
              <w:bottom w:val="single" w:sz="8" w:space="0" w:color="000000"/>
              <w:right w:val="single" w:sz="8" w:space="0" w:color="000000"/>
            </w:tcBorders>
            <w:shd w:val="clear" w:color="auto" w:fill="FFFFFF"/>
            <w:vAlign w:val="center"/>
          </w:tcPr>
          <w:p w14:paraId="516CD02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D02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CD1a and S100 immunostains highlight Langerhans cells</w:t>
            </w:r>
          </w:p>
        </w:tc>
        <w:tc>
          <w:tcPr>
            <w:tcW w:w="2160" w:type="dxa"/>
            <w:tcBorders>
              <w:top w:val="nil"/>
              <w:left w:val="nil"/>
              <w:bottom w:val="single" w:sz="8" w:space="0" w:color="000000"/>
              <w:right w:val="single" w:sz="8" w:space="0" w:color="000000"/>
            </w:tcBorders>
            <w:shd w:val="clear" w:color="auto" w:fill="FFFFFF"/>
            <w:vAlign w:val="center"/>
          </w:tcPr>
          <w:p w14:paraId="516CD02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TBBx c/w pulmonary LCH, advised smoking cessation -&gt; observation x 6 yrs</w:t>
            </w:r>
          </w:p>
        </w:tc>
        <w:tc>
          <w:tcPr>
            <w:tcW w:w="641" w:type="dxa"/>
            <w:tcBorders>
              <w:top w:val="nil"/>
              <w:left w:val="nil"/>
              <w:bottom w:val="single" w:sz="8" w:space="0" w:color="000000"/>
              <w:right w:val="single" w:sz="8" w:space="0" w:color="000000"/>
            </w:tcBorders>
            <w:shd w:val="clear" w:color="auto" w:fill="FFFFFF"/>
            <w:vAlign w:val="center"/>
          </w:tcPr>
          <w:p w14:paraId="516CD02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nil"/>
              <w:left w:val="nil"/>
              <w:bottom w:val="single" w:sz="8" w:space="0" w:color="000000"/>
              <w:right w:val="single" w:sz="8" w:space="0" w:color="000000"/>
            </w:tcBorders>
            <w:shd w:val="clear" w:color="auto" w:fill="FFFFFF"/>
            <w:vAlign w:val="center"/>
          </w:tcPr>
          <w:p w14:paraId="516CD02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D02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03B" w14:textId="77777777">
        <w:trPr>
          <w:trHeight w:val="525"/>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D02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27</w:t>
            </w:r>
          </w:p>
        </w:tc>
        <w:tc>
          <w:tcPr>
            <w:tcW w:w="548" w:type="dxa"/>
            <w:tcBorders>
              <w:top w:val="nil"/>
              <w:left w:val="nil"/>
              <w:bottom w:val="single" w:sz="8" w:space="0" w:color="000000"/>
              <w:right w:val="single" w:sz="8" w:space="0" w:color="000000"/>
            </w:tcBorders>
            <w:shd w:val="clear" w:color="auto" w:fill="FFFFFF"/>
            <w:vAlign w:val="center"/>
          </w:tcPr>
          <w:p w14:paraId="516CD02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nil"/>
              <w:left w:val="nil"/>
              <w:bottom w:val="single" w:sz="8" w:space="0" w:color="000000"/>
              <w:right w:val="single" w:sz="8" w:space="0" w:color="000000"/>
            </w:tcBorders>
            <w:shd w:val="clear" w:color="auto" w:fill="FFFFFF"/>
            <w:vAlign w:val="center"/>
          </w:tcPr>
          <w:p w14:paraId="516CD02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53</w:t>
            </w:r>
          </w:p>
        </w:tc>
        <w:tc>
          <w:tcPr>
            <w:tcW w:w="611" w:type="dxa"/>
            <w:tcBorders>
              <w:top w:val="nil"/>
              <w:left w:val="nil"/>
              <w:bottom w:val="single" w:sz="8" w:space="0" w:color="000000"/>
              <w:right w:val="single" w:sz="8" w:space="0" w:color="000000"/>
            </w:tcBorders>
            <w:shd w:val="clear" w:color="auto" w:fill="FFFFFF"/>
            <w:vAlign w:val="center"/>
          </w:tcPr>
          <w:p w14:paraId="516CD03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D03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nil"/>
              <w:left w:val="nil"/>
              <w:bottom w:val="single" w:sz="8" w:space="0" w:color="000000"/>
              <w:right w:val="single" w:sz="8" w:space="0" w:color="000000"/>
            </w:tcBorders>
            <w:shd w:val="clear" w:color="auto" w:fill="FFFFFF"/>
            <w:vAlign w:val="center"/>
          </w:tcPr>
          <w:p w14:paraId="516CD03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nil"/>
              <w:left w:val="nil"/>
              <w:bottom w:val="single" w:sz="8" w:space="0" w:color="000000"/>
              <w:right w:val="single" w:sz="8" w:space="0" w:color="000000"/>
            </w:tcBorders>
            <w:shd w:val="clear" w:color="auto" w:fill="FFFFFF"/>
            <w:vAlign w:val="center"/>
          </w:tcPr>
          <w:p w14:paraId="516CD03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nil"/>
              <w:left w:val="nil"/>
              <w:bottom w:val="single" w:sz="8" w:space="0" w:color="000000"/>
              <w:right w:val="single" w:sz="8" w:space="0" w:color="000000"/>
            </w:tcBorders>
            <w:shd w:val="clear" w:color="auto" w:fill="FFFFFF"/>
            <w:vAlign w:val="center"/>
          </w:tcPr>
          <w:p w14:paraId="516CD03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nil"/>
              <w:left w:val="nil"/>
              <w:bottom w:val="single" w:sz="8" w:space="0" w:color="000000"/>
              <w:right w:val="single" w:sz="8" w:space="0" w:color="000000"/>
            </w:tcBorders>
            <w:shd w:val="clear" w:color="auto" w:fill="FFFFFF"/>
            <w:vAlign w:val="center"/>
          </w:tcPr>
          <w:p w14:paraId="516CD03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D03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2160" w:type="dxa"/>
            <w:tcBorders>
              <w:top w:val="nil"/>
              <w:left w:val="nil"/>
              <w:bottom w:val="single" w:sz="8" w:space="0" w:color="000000"/>
              <w:right w:val="single" w:sz="8" w:space="0" w:color="000000"/>
            </w:tcBorders>
            <w:shd w:val="clear" w:color="auto" w:fill="FFFFFF"/>
            <w:vAlign w:val="center"/>
          </w:tcPr>
          <w:p w14:paraId="516CD03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 findings c/w mild pulmonary LCH, advised smoking cessation -&gt; observation x 6 months</w:t>
            </w:r>
          </w:p>
        </w:tc>
        <w:tc>
          <w:tcPr>
            <w:tcW w:w="641" w:type="dxa"/>
            <w:tcBorders>
              <w:top w:val="nil"/>
              <w:left w:val="nil"/>
              <w:bottom w:val="single" w:sz="8" w:space="0" w:color="000000"/>
              <w:right w:val="single" w:sz="8" w:space="0" w:color="000000"/>
            </w:tcBorders>
            <w:shd w:val="clear" w:color="auto" w:fill="FFFFFF"/>
            <w:vAlign w:val="center"/>
          </w:tcPr>
          <w:p w14:paraId="516CD03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nil"/>
              <w:left w:val="nil"/>
              <w:bottom w:val="single" w:sz="8" w:space="0" w:color="000000"/>
              <w:right w:val="single" w:sz="8" w:space="0" w:color="000000"/>
            </w:tcBorders>
            <w:shd w:val="clear" w:color="auto" w:fill="FFFFFF"/>
            <w:vAlign w:val="center"/>
          </w:tcPr>
          <w:p w14:paraId="516CD03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D03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04B" w14:textId="77777777">
        <w:trPr>
          <w:trHeight w:val="1290"/>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D03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lastRenderedPageBreak/>
              <w:t>28</w:t>
            </w:r>
          </w:p>
        </w:tc>
        <w:tc>
          <w:tcPr>
            <w:tcW w:w="548" w:type="dxa"/>
            <w:tcBorders>
              <w:top w:val="nil"/>
              <w:left w:val="nil"/>
              <w:bottom w:val="single" w:sz="8" w:space="0" w:color="000000"/>
              <w:right w:val="single" w:sz="8" w:space="0" w:color="000000"/>
            </w:tcBorders>
            <w:shd w:val="clear" w:color="auto" w:fill="FFFFFF"/>
            <w:vAlign w:val="center"/>
          </w:tcPr>
          <w:p w14:paraId="516CD03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nil"/>
              <w:left w:val="nil"/>
              <w:bottom w:val="single" w:sz="8" w:space="0" w:color="000000"/>
              <w:right w:val="single" w:sz="8" w:space="0" w:color="000000"/>
            </w:tcBorders>
            <w:shd w:val="clear" w:color="auto" w:fill="FFFFFF"/>
            <w:vAlign w:val="center"/>
          </w:tcPr>
          <w:p w14:paraId="516CD03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38</w:t>
            </w:r>
          </w:p>
        </w:tc>
        <w:tc>
          <w:tcPr>
            <w:tcW w:w="611" w:type="dxa"/>
            <w:tcBorders>
              <w:top w:val="nil"/>
              <w:left w:val="nil"/>
              <w:bottom w:val="single" w:sz="8" w:space="0" w:color="000000"/>
              <w:right w:val="single" w:sz="8" w:space="0" w:color="000000"/>
            </w:tcBorders>
            <w:shd w:val="clear" w:color="auto" w:fill="FFFFFF"/>
            <w:vAlign w:val="center"/>
          </w:tcPr>
          <w:p w14:paraId="516CD03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D04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nil"/>
              <w:left w:val="nil"/>
              <w:bottom w:val="single" w:sz="8" w:space="0" w:color="000000"/>
              <w:right w:val="single" w:sz="8" w:space="0" w:color="000000"/>
            </w:tcBorders>
            <w:shd w:val="clear" w:color="auto" w:fill="FFFFFF"/>
            <w:vAlign w:val="center"/>
          </w:tcPr>
          <w:p w14:paraId="516CD04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nil"/>
              <w:left w:val="nil"/>
              <w:bottom w:val="single" w:sz="8" w:space="0" w:color="000000"/>
              <w:right w:val="single" w:sz="8" w:space="0" w:color="000000"/>
            </w:tcBorders>
            <w:shd w:val="clear" w:color="auto" w:fill="FFFFFF"/>
            <w:vAlign w:val="center"/>
          </w:tcPr>
          <w:p w14:paraId="516CD04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nil"/>
              <w:left w:val="nil"/>
              <w:bottom w:val="single" w:sz="8" w:space="0" w:color="000000"/>
              <w:right w:val="single" w:sz="8" w:space="0" w:color="000000"/>
            </w:tcBorders>
            <w:shd w:val="clear" w:color="auto" w:fill="FFFFFF"/>
            <w:vAlign w:val="center"/>
          </w:tcPr>
          <w:p w14:paraId="516CD04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w:t>
            </w:r>
          </w:p>
        </w:tc>
        <w:tc>
          <w:tcPr>
            <w:tcW w:w="990" w:type="dxa"/>
            <w:tcBorders>
              <w:top w:val="nil"/>
              <w:left w:val="nil"/>
              <w:bottom w:val="single" w:sz="8" w:space="0" w:color="000000"/>
              <w:right w:val="single" w:sz="8" w:space="0" w:color="000000"/>
            </w:tcBorders>
            <w:shd w:val="clear" w:color="auto" w:fill="FFFFFF"/>
            <w:vAlign w:val="center"/>
          </w:tcPr>
          <w:p w14:paraId="516CD04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D04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Positive for CD1a (focal) and S100 (focal), and negative for TTF-1, p40, and pancytokeratin AE1/AE3 </w:t>
            </w:r>
          </w:p>
          <w:p w14:paraId="516CD046" w14:textId="77777777" w:rsidR="002F11C4" w:rsidRDefault="002F11C4">
            <w:pPr>
              <w:spacing w:after="0" w:line="240" w:lineRule="auto"/>
              <w:rPr>
                <w:rFonts w:ascii="Times New Roman" w:eastAsia="Times New Roman" w:hAnsi="Times New Roman" w:cs="Times New Roman"/>
                <w:color w:val="000000"/>
                <w:sz w:val="10"/>
                <w:szCs w:val="10"/>
              </w:rPr>
            </w:pPr>
          </w:p>
        </w:tc>
        <w:tc>
          <w:tcPr>
            <w:tcW w:w="2160" w:type="dxa"/>
            <w:tcBorders>
              <w:top w:val="nil"/>
              <w:left w:val="nil"/>
              <w:bottom w:val="single" w:sz="8" w:space="0" w:color="000000"/>
              <w:right w:val="single" w:sz="8" w:space="0" w:color="000000"/>
            </w:tcBorders>
            <w:shd w:val="clear" w:color="auto" w:fill="FFFFFF"/>
            <w:vAlign w:val="center"/>
          </w:tcPr>
          <w:p w14:paraId="516CD04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S/p VATS w/ bx of pulmonary nodule c/w LCH -&gt; Observation and smoking cessation w/ stable disease</w:t>
            </w:r>
          </w:p>
        </w:tc>
        <w:tc>
          <w:tcPr>
            <w:tcW w:w="641" w:type="dxa"/>
            <w:tcBorders>
              <w:top w:val="nil"/>
              <w:left w:val="nil"/>
              <w:bottom w:val="single" w:sz="8" w:space="0" w:color="000000"/>
              <w:right w:val="single" w:sz="8" w:space="0" w:color="000000"/>
            </w:tcBorders>
            <w:shd w:val="clear" w:color="auto" w:fill="FFFFFF"/>
            <w:vAlign w:val="center"/>
          </w:tcPr>
          <w:p w14:paraId="516CD04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nil"/>
              <w:left w:val="nil"/>
              <w:bottom w:val="single" w:sz="8" w:space="0" w:color="000000"/>
              <w:right w:val="single" w:sz="8" w:space="0" w:color="000000"/>
            </w:tcBorders>
            <w:shd w:val="clear" w:color="auto" w:fill="FFFFFF"/>
            <w:vAlign w:val="center"/>
          </w:tcPr>
          <w:p w14:paraId="516CD04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D04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05A" w14:textId="77777777">
        <w:trPr>
          <w:trHeight w:val="990"/>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D04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29</w:t>
            </w:r>
          </w:p>
        </w:tc>
        <w:tc>
          <w:tcPr>
            <w:tcW w:w="548" w:type="dxa"/>
            <w:tcBorders>
              <w:top w:val="nil"/>
              <w:left w:val="nil"/>
              <w:bottom w:val="single" w:sz="8" w:space="0" w:color="000000"/>
              <w:right w:val="single" w:sz="8" w:space="0" w:color="000000"/>
            </w:tcBorders>
            <w:shd w:val="clear" w:color="auto" w:fill="FFFFFF"/>
            <w:vAlign w:val="center"/>
          </w:tcPr>
          <w:p w14:paraId="516CD04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Female </w:t>
            </w:r>
          </w:p>
        </w:tc>
        <w:tc>
          <w:tcPr>
            <w:tcW w:w="719" w:type="dxa"/>
            <w:gridSpan w:val="2"/>
            <w:tcBorders>
              <w:top w:val="nil"/>
              <w:left w:val="nil"/>
              <w:bottom w:val="single" w:sz="8" w:space="0" w:color="000000"/>
              <w:right w:val="single" w:sz="8" w:space="0" w:color="000000"/>
            </w:tcBorders>
            <w:shd w:val="clear" w:color="auto" w:fill="FFFFFF"/>
            <w:vAlign w:val="center"/>
          </w:tcPr>
          <w:p w14:paraId="516CD04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30</w:t>
            </w:r>
          </w:p>
        </w:tc>
        <w:tc>
          <w:tcPr>
            <w:tcW w:w="611" w:type="dxa"/>
            <w:tcBorders>
              <w:top w:val="nil"/>
              <w:left w:val="nil"/>
              <w:bottom w:val="single" w:sz="8" w:space="0" w:color="000000"/>
              <w:right w:val="single" w:sz="8" w:space="0" w:color="000000"/>
            </w:tcBorders>
            <w:shd w:val="clear" w:color="auto" w:fill="FFFFFF"/>
            <w:vAlign w:val="center"/>
          </w:tcPr>
          <w:p w14:paraId="516CD04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D05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nil"/>
              <w:left w:val="nil"/>
              <w:bottom w:val="single" w:sz="8" w:space="0" w:color="000000"/>
              <w:right w:val="single" w:sz="8" w:space="0" w:color="000000"/>
            </w:tcBorders>
            <w:shd w:val="clear" w:color="auto" w:fill="FFFFFF"/>
            <w:vAlign w:val="center"/>
          </w:tcPr>
          <w:p w14:paraId="516CD05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nil"/>
              <w:left w:val="nil"/>
              <w:bottom w:val="single" w:sz="8" w:space="0" w:color="000000"/>
              <w:right w:val="single" w:sz="8" w:space="0" w:color="000000"/>
            </w:tcBorders>
            <w:shd w:val="clear" w:color="auto" w:fill="FFFFFF"/>
            <w:vAlign w:val="center"/>
          </w:tcPr>
          <w:p w14:paraId="516CD05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nil"/>
              <w:left w:val="nil"/>
              <w:bottom w:val="single" w:sz="8" w:space="0" w:color="000000"/>
              <w:right w:val="single" w:sz="8" w:space="0" w:color="000000"/>
            </w:tcBorders>
            <w:shd w:val="clear" w:color="auto" w:fill="FFFFFF"/>
            <w:vAlign w:val="center"/>
          </w:tcPr>
          <w:p w14:paraId="516CD05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nil"/>
              <w:left w:val="nil"/>
              <w:bottom w:val="single" w:sz="8" w:space="0" w:color="000000"/>
              <w:right w:val="single" w:sz="8" w:space="0" w:color="000000"/>
            </w:tcBorders>
            <w:shd w:val="clear" w:color="auto" w:fill="FFFFFF"/>
            <w:vAlign w:val="center"/>
          </w:tcPr>
          <w:p w14:paraId="516CD05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D05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2160" w:type="dxa"/>
            <w:tcBorders>
              <w:top w:val="nil"/>
              <w:left w:val="nil"/>
              <w:bottom w:val="single" w:sz="8" w:space="0" w:color="000000"/>
              <w:right w:val="single" w:sz="8" w:space="0" w:color="000000"/>
            </w:tcBorders>
            <w:shd w:val="clear" w:color="auto" w:fill="FFFFFF"/>
            <w:vAlign w:val="center"/>
          </w:tcPr>
          <w:p w14:paraId="516CD056"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Presented w/progressive dyspnea in 2012, bx c.w LCH -&gt; s/p bilateral lung transplant 2017</w:t>
            </w:r>
          </w:p>
        </w:tc>
        <w:tc>
          <w:tcPr>
            <w:tcW w:w="641" w:type="dxa"/>
            <w:tcBorders>
              <w:top w:val="nil"/>
              <w:left w:val="nil"/>
              <w:bottom w:val="single" w:sz="8" w:space="0" w:color="000000"/>
              <w:right w:val="single" w:sz="8" w:space="0" w:color="000000"/>
            </w:tcBorders>
            <w:shd w:val="clear" w:color="auto" w:fill="FFFFFF"/>
            <w:vAlign w:val="center"/>
          </w:tcPr>
          <w:p w14:paraId="516CD05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Progressive disease</w:t>
            </w:r>
          </w:p>
        </w:tc>
        <w:tc>
          <w:tcPr>
            <w:tcW w:w="716" w:type="dxa"/>
            <w:tcBorders>
              <w:top w:val="nil"/>
              <w:left w:val="nil"/>
              <w:bottom w:val="single" w:sz="8" w:space="0" w:color="000000"/>
              <w:right w:val="single" w:sz="8" w:space="0" w:color="000000"/>
            </w:tcBorders>
            <w:shd w:val="clear" w:color="auto" w:fill="FFFFFF"/>
            <w:vAlign w:val="center"/>
          </w:tcPr>
          <w:p w14:paraId="516CD05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D05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069" w14:textId="77777777">
        <w:trPr>
          <w:trHeight w:val="1545"/>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D05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30</w:t>
            </w:r>
          </w:p>
        </w:tc>
        <w:tc>
          <w:tcPr>
            <w:tcW w:w="548" w:type="dxa"/>
            <w:tcBorders>
              <w:top w:val="nil"/>
              <w:left w:val="nil"/>
              <w:bottom w:val="single" w:sz="8" w:space="0" w:color="000000"/>
              <w:right w:val="single" w:sz="8" w:space="0" w:color="000000"/>
            </w:tcBorders>
            <w:shd w:val="clear" w:color="auto" w:fill="FFFFFF"/>
            <w:vAlign w:val="center"/>
          </w:tcPr>
          <w:p w14:paraId="516CD05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nil"/>
              <w:left w:val="nil"/>
              <w:bottom w:val="single" w:sz="8" w:space="0" w:color="000000"/>
              <w:right w:val="single" w:sz="8" w:space="0" w:color="000000"/>
            </w:tcBorders>
            <w:shd w:val="clear" w:color="auto" w:fill="FFFFFF"/>
            <w:vAlign w:val="center"/>
          </w:tcPr>
          <w:p w14:paraId="516CD05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30</w:t>
            </w:r>
          </w:p>
        </w:tc>
        <w:tc>
          <w:tcPr>
            <w:tcW w:w="611" w:type="dxa"/>
            <w:tcBorders>
              <w:top w:val="nil"/>
              <w:left w:val="nil"/>
              <w:bottom w:val="single" w:sz="8" w:space="0" w:color="000000"/>
              <w:right w:val="single" w:sz="8" w:space="0" w:color="000000"/>
            </w:tcBorders>
            <w:shd w:val="clear" w:color="auto" w:fill="FFFFFF"/>
            <w:vAlign w:val="center"/>
          </w:tcPr>
          <w:p w14:paraId="516CD05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D05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nil"/>
              <w:left w:val="nil"/>
              <w:bottom w:val="single" w:sz="8" w:space="0" w:color="000000"/>
              <w:right w:val="single" w:sz="8" w:space="0" w:color="000000"/>
            </w:tcBorders>
            <w:shd w:val="clear" w:color="auto" w:fill="FFFFFF"/>
            <w:vAlign w:val="center"/>
          </w:tcPr>
          <w:p w14:paraId="516CD06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nil"/>
              <w:left w:val="nil"/>
              <w:bottom w:val="single" w:sz="8" w:space="0" w:color="000000"/>
              <w:right w:val="single" w:sz="8" w:space="0" w:color="000000"/>
            </w:tcBorders>
            <w:shd w:val="clear" w:color="auto" w:fill="FFFFFF"/>
            <w:vAlign w:val="center"/>
          </w:tcPr>
          <w:p w14:paraId="516CD06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nil"/>
              <w:left w:val="nil"/>
              <w:bottom w:val="single" w:sz="8" w:space="0" w:color="000000"/>
              <w:right w:val="single" w:sz="8" w:space="0" w:color="000000"/>
            </w:tcBorders>
            <w:shd w:val="clear" w:color="auto" w:fill="FFFFFF"/>
            <w:vAlign w:val="center"/>
          </w:tcPr>
          <w:p w14:paraId="516CD06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nil"/>
              <w:left w:val="nil"/>
              <w:bottom w:val="single" w:sz="8" w:space="0" w:color="000000"/>
              <w:right w:val="single" w:sz="8" w:space="0" w:color="000000"/>
            </w:tcBorders>
            <w:shd w:val="clear" w:color="auto" w:fill="FFFFFF"/>
            <w:vAlign w:val="center"/>
          </w:tcPr>
          <w:p w14:paraId="516CD06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D06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2160" w:type="dxa"/>
            <w:tcBorders>
              <w:top w:val="nil"/>
              <w:left w:val="nil"/>
              <w:bottom w:val="single" w:sz="8" w:space="0" w:color="000000"/>
              <w:right w:val="single" w:sz="8" w:space="0" w:color="000000"/>
            </w:tcBorders>
            <w:shd w:val="clear" w:color="auto" w:fill="FFFFFF"/>
            <w:vAlign w:val="center"/>
          </w:tcPr>
          <w:p w14:paraId="516CD06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Advanced lung disease, w/u c/w LCH based on imaging, ongoing smoking use</w:t>
            </w:r>
          </w:p>
        </w:tc>
        <w:tc>
          <w:tcPr>
            <w:tcW w:w="641" w:type="dxa"/>
            <w:tcBorders>
              <w:top w:val="nil"/>
              <w:left w:val="nil"/>
              <w:bottom w:val="single" w:sz="8" w:space="0" w:color="000000"/>
              <w:right w:val="single" w:sz="8" w:space="0" w:color="000000"/>
            </w:tcBorders>
            <w:shd w:val="clear" w:color="auto" w:fill="FFFFFF"/>
            <w:vAlign w:val="center"/>
          </w:tcPr>
          <w:p w14:paraId="516CD06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Progressive Disease</w:t>
            </w:r>
          </w:p>
        </w:tc>
        <w:tc>
          <w:tcPr>
            <w:tcW w:w="716" w:type="dxa"/>
            <w:tcBorders>
              <w:top w:val="nil"/>
              <w:left w:val="nil"/>
              <w:bottom w:val="single" w:sz="8" w:space="0" w:color="000000"/>
              <w:right w:val="single" w:sz="8" w:space="0" w:color="000000"/>
            </w:tcBorders>
            <w:shd w:val="clear" w:color="auto" w:fill="FFFFFF"/>
            <w:vAlign w:val="center"/>
          </w:tcPr>
          <w:p w14:paraId="516CD06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D06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078" w14:textId="77777777">
        <w:trPr>
          <w:trHeight w:val="1800"/>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D06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52</w:t>
            </w:r>
          </w:p>
        </w:tc>
        <w:tc>
          <w:tcPr>
            <w:tcW w:w="548" w:type="dxa"/>
            <w:tcBorders>
              <w:top w:val="nil"/>
              <w:left w:val="nil"/>
              <w:bottom w:val="single" w:sz="8" w:space="0" w:color="000000"/>
              <w:right w:val="single" w:sz="8" w:space="0" w:color="000000"/>
            </w:tcBorders>
            <w:shd w:val="clear" w:color="auto" w:fill="FFFFFF"/>
            <w:vAlign w:val="center"/>
          </w:tcPr>
          <w:p w14:paraId="516CD06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nil"/>
              <w:left w:val="nil"/>
              <w:bottom w:val="single" w:sz="8" w:space="0" w:color="000000"/>
              <w:right w:val="single" w:sz="8" w:space="0" w:color="000000"/>
            </w:tcBorders>
            <w:shd w:val="clear" w:color="auto" w:fill="FFFFFF"/>
            <w:vAlign w:val="center"/>
          </w:tcPr>
          <w:p w14:paraId="516CD06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13</w:t>
            </w:r>
          </w:p>
        </w:tc>
        <w:tc>
          <w:tcPr>
            <w:tcW w:w="611" w:type="dxa"/>
            <w:tcBorders>
              <w:top w:val="nil"/>
              <w:left w:val="nil"/>
              <w:bottom w:val="single" w:sz="8" w:space="0" w:color="000000"/>
              <w:right w:val="single" w:sz="8" w:space="0" w:color="000000"/>
            </w:tcBorders>
            <w:shd w:val="clear" w:color="auto" w:fill="FFFFFF"/>
            <w:vAlign w:val="center"/>
          </w:tcPr>
          <w:p w14:paraId="516CD06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650" w:type="dxa"/>
            <w:tcBorders>
              <w:top w:val="nil"/>
              <w:left w:val="nil"/>
              <w:bottom w:val="single" w:sz="8" w:space="0" w:color="000000"/>
              <w:right w:val="single" w:sz="8" w:space="0" w:color="000000"/>
            </w:tcBorders>
            <w:shd w:val="clear" w:color="auto" w:fill="FFFFFF"/>
            <w:vAlign w:val="center"/>
          </w:tcPr>
          <w:p w14:paraId="516CD06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630" w:type="dxa"/>
            <w:tcBorders>
              <w:top w:val="nil"/>
              <w:left w:val="nil"/>
              <w:bottom w:val="single" w:sz="8" w:space="0" w:color="000000"/>
              <w:right w:val="single" w:sz="8" w:space="0" w:color="000000"/>
            </w:tcBorders>
            <w:shd w:val="clear" w:color="auto" w:fill="FFFFFF"/>
            <w:vAlign w:val="center"/>
          </w:tcPr>
          <w:p w14:paraId="516CD06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720" w:type="dxa"/>
            <w:tcBorders>
              <w:top w:val="nil"/>
              <w:left w:val="nil"/>
              <w:bottom w:val="single" w:sz="8" w:space="0" w:color="000000"/>
              <w:right w:val="single" w:sz="8" w:space="0" w:color="000000"/>
            </w:tcBorders>
            <w:shd w:val="clear" w:color="auto" w:fill="FFFFFF"/>
            <w:vAlign w:val="center"/>
          </w:tcPr>
          <w:p w14:paraId="516CD07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720" w:type="dxa"/>
            <w:tcBorders>
              <w:top w:val="nil"/>
              <w:left w:val="nil"/>
              <w:bottom w:val="single" w:sz="8" w:space="0" w:color="000000"/>
              <w:right w:val="single" w:sz="8" w:space="0" w:color="000000"/>
            </w:tcBorders>
            <w:shd w:val="clear" w:color="auto" w:fill="FFFFFF"/>
            <w:vAlign w:val="center"/>
          </w:tcPr>
          <w:p w14:paraId="516CD07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990" w:type="dxa"/>
            <w:tcBorders>
              <w:top w:val="nil"/>
              <w:left w:val="nil"/>
              <w:bottom w:val="single" w:sz="8" w:space="0" w:color="000000"/>
              <w:right w:val="single" w:sz="8" w:space="0" w:color="000000"/>
            </w:tcBorders>
            <w:shd w:val="clear" w:color="auto" w:fill="FFFFFF"/>
            <w:vAlign w:val="center"/>
          </w:tcPr>
          <w:p w14:paraId="516CD07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D07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2160" w:type="dxa"/>
            <w:tcBorders>
              <w:top w:val="nil"/>
              <w:left w:val="nil"/>
              <w:bottom w:val="single" w:sz="8" w:space="0" w:color="000000"/>
              <w:right w:val="single" w:sz="8" w:space="0" w:color="000000"/>
            </w:tcBorders>
            <w:shd w:val="clear" w:color="auto" w:fill="FFFFFF"/>
            <w:vAlign w:val="center"/>
          </w:tcPr>
          <w:p w14:paraId="516CD07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Dx 2004, underwent OLT for PSC but unclear if this was for LCH --&gt;19 years observations post-liver transplant</w:t>
            </w:r>
          </w:p>
        </w:tc>
        <w:tc>
          <w:tcPr>
            <w:tcW w:w="641" w:type="dxa"/>
            <w:tcBorders>
              <w:top w:val="nil"/>
              <w:left w:val="nil"/>
              <w:bottom w:val="single" w:sz="8" w:space="0" w:color="000000"/>
              <w:right w:val="single" w:sz="8" w:space="0" w:color="000000"/>
            </w:tcBorders>
            <w:shd w:val="clear" w:color="auto" w:fill="FFFFFF"/>
            <w:vAlign w:val="center"/>
          </w:tcPr>
          <w:p w14:paraId="516CD07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716" w:type="dxa"/>
            <w:tcBorders>
              <w:top w:val="nil"/>
              <w:left w:val="nil"/>
              <w:bottom w:val="single" w:sz="8" w:space="0" w:color="000000"/>
              <w:right w:val="single" w:sz="8" w:space="0" w:color="000000"/>
            </w:tcBorders>
            <w:shd w:val="clear" w:color="auto" w:fill="FFFFFF"/>
            <w:vAlign w:val="center"/>
          </w:tcPr>
          <w:p w14:paraId="516CD07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single" w:sz="8" w:space="0" w:color="000000"/>
              <w:right w:val="single" w:sz="8" w:space="0" w:color="000000"/>
            </w:tcBorders>
            <w:shd w:val="clear" w:color="auto" w:fill="FFFFFF"/>
            <w:vAlign w:val="center"/>
          </w:tcPr>
          <w:p w14:paraId="516CD07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087" w14:textId="77777777">
        <w:trPr>
          <w:trHeight w:val="1035"/>
        </w:trPr>
        <w:tc>
          <w:tcPr>
            <w:tcW w:w="522" w:type="dxa"/>
            <w:tcBorders>
              <w:top w:val="nil"/>
              <w:left w:val="single" w:sz="8" w:space="0" w:color="000000"/>
              <w:bottom w:val="nil"/>
              <w:right w:val="single" w:sz="8" w:space="0" w:color="000000"/>
            </w:tcBorders>
            <w:shd w:val="clear" w:color="auto" w:fill="FFFFFF"/>
            <w:vAlign w:val="center"/>
          </w:tcPr>
          <w:p w14:paraId="516CD07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53</w:t>
            </w:r>
          </w:p>
        </w:tc>
        <w:tc>
          <w:tcPr>
            <w:tcW w:w="548" w:type="dxa"/>
            <w:tcBorders>
              <w:top w:val="nil"/>
              <w:left w:val="nil"/>
              <w:bottom w:val="nil"/>
              <w:right w:val="single" w:sz="8" w:space="0" w:color="000000"/>
            </w:tcBorders>
            <w:shd w:val="clear" w:color="auto" w:fill="FFFFFF"/>
            <w:vAlign w:val="center"/>
          </w:tcPr>
          <w:p w14:paraId="516CD07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nil"/>
              <w:left w:val="nil"/>
              <w:bottom w:val="nil"/>
              <w:right w:val="single" w:sz="8" w:space="0" w:color="000000"/>
            </w:tcBorders>
            <w:shd w:val="clear" w:color="auto" w:fill="FFFFFF"/>
            <w:vAlign w:val="center"/>
          </w:tcPr>
          <w:p w14:paraId="516CD07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80</w:t>
            </w:r>
          </w:p>
        </w:tc>
        <w:tc>
          <w:tcPr>
            <w:tcW w:w="611" w:type="dxa"/>
            <w:tcBorders>
              <w:top w:val="nil"/>
              <w:left w:val="nil"/>
              <w:bottom w:val="nil"/>
              <w:right w:val="single" w:sz="8" w:space="0" w:color="000000"/>
            </w:tcBorders>
            <w:shd w:val="clear" w:color="auto" w:fill="FFFFFF"/>
            <w:vAlign w:val="center"/>
          </w:tcPr>
          <w:p w14:paraId="516CD07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nil"/>
              <w:right w:val="single" w:sz="8" w:space="0" w:color="000000"/>
            </w:tcBorders>
            <w:shd w:val="clear" w:color="auto" w:fill="FFFFFF"/>
            <w:vAlign w:val="center"/>
          </w:tcPr>
          <w:p w14:paraId="516CD07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PET</w:t>
            </w:r>
          </w:p>
        </w:tc>
        <w:tc>
          <w:tcPr>
            <w:tcW w:w="630" w:type="dxa"/>
            <w:tcBorders>
              <w:top w:val="nil"/>
              <w:left w:val="nil"/>
              <w:bottom w:val="nil"/>
              <w:right w:val="single" w:sz="8" w:space="0" w:color="000000"/>
            </w:tcBorders>
            <w:shd w:val="clear" w:color="auto" w:fill="FFFFFF"/>
            <w:vAlign w:val="center"/>
          </w:tcPr>
          <w:p w14:paraId="516CD07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Skin</w:t>
            </w:r>
          </w:p>
        </w:tc>
        <w:tc>
          <w:tcPr>
            <w:tcW w:w="720" w:type="dxa"/>
            <w:tcBorders>
              <w:top w:val="nil"/>
              <w:left w:val="nil"/>
              <w:bottom w:val="nil"/>
              <w:right w:val="single" w:sz="8" w:space="0" w:color="000000"/>
            </w:tcBorders>
            <w:shd w:val="clear" w:color="auto" w:fill="FFFFFF"/>
            <w:vAlign w:val="center"/>
          </w:tcPr>
          <w:p w14:paraId="516CD07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nil"/>
              <w:left w:val="nil"/>
              <w:bottom w:val="nil"/>
              <w:right w:val="single" w:sz="8" w:space="0" w:color="000000"/>
            </w:tcBorders>
            <w:shd w:val="clear" w:color="auto" w:fill="FFFFFF"/>
            <w:vAlign w:val="center"/>
          </w:tcPr>
          <w:p w14:paraId="516CD08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nil"/>
              <w:left w:val="nil"/>
              <w:bottom w:val="nil"/>
              <w:right w:val="single" w:sz="8" w:space="0" w:color="000000"/>
            </w:tcBorders>
            <w:shd w:val="clear" w:color="auto" w:fill="FFFFFF"/>
            <w:vAlign w:val="center"/>
          </w:tcPr>
          <w:p w14:paraId="516CD08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nil"/>
              <w:right w:val="single" w:sz="8" w:space="0" w:color="000000"/>
            </w:tcBorders>
            <w:shd w:val="clear" w:color="auto" w:fill="FFFFFF"/>
            <w:vAlign w:val="center"/>
          </w:tcPr>
          <w:p w14:paraId="516CD08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BRAF immunostaining negative</w:t>
            </w:r>
          </w:p>
        </w:tc>
        <w:tc>
          <w:tcPr>
            <w:tcW w:w="2160" w:type="dxa"/>
            <w:tcBorders>
              <w:top w:val="nil"/>
              <w:left w:val="nil"/>
              <w:bottom w:val="nil"/>
              <w:right w:val="single" w:sz="8" w:space="0" w:color="000000"/>
            </w:tcBorders>
            <w:shd w:val="clear" w:color="auto" w:fill="FFFFFF"/>
            <w:vAlign w:val="center"/>
          </w:tcPr>
          <w:p w14:paraId="516CD08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Observation alone from diagnosis --&gt; Died at 50 months due to melanoma </w:t>
            </w:r>
          </w:p>
        </w:tc>
        <w:tc>
          <w:tcPr>
            <w:tcW w:w="641" w:type="dxa"/>
            <w:tcBorders>
              <w:top w:val="nil"/>
              <w:left w:val="nil"/>
              <w:bottom w:val="nil"/>
              <w:right w:val="single" w:sz="8" w:space="0" w:color="000000"/>
            </w:tcBorders>
            <w:shd w:val="clear" w:color="auto" w:fill="FFFFFF"/>
            <w:vAlign w:val="center"/>
          </w:tcPr>
          <w:p w14:paraId="516CD08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nil"/>
              <w:left w:val="nil"/>
              <w:bottom w:val="nil"/>
              <w:right w:val="single" w:sz="8" w:space="0" w:color="000000"/>
            </w:tcBorders>
            <w:shd w:val="clear" w:color="auto" w:fill="FFFFFF"/>
            <w:vAlign w:val="center"/>
          </w:tcPr>
          <w:p w14:paraId="516CD08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nil"/>
              <w:left w:val="nil"/>
              <w:bottom w:val="nil"/>
              <w:right w:val="single" w:sz="8" w:space="0" w:color="000000"/>
            </w:tcBorders>
            <w:shd w:val="clear" w:color="auto" w:fill="FFFFFF"/>
            <w:vAlign w:val="center"/>
          </w:tcPr>
          <w:p w14:paraId="516CD08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099" w14:textId="77777777">
        <w:trPr>
          <w:trHeight w:val="1395"/>
        </w:trPr>
        <w:tc>
          <w:tcPr>
            <w:tcW w:w="52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6CD08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54</w:t>
            </w:r>
          </w:p>
        </w:tc>
        <w:tc>
          <w:tcPr>
            <w:tcW w:w="548" w:type="dxa"/>
            <w:tcBorders>
              <w:top w:val="single" w:sz="8" w:space="0" w:color="000000"/>
              <w:left w:val="nil"/>
              <w:bottom w:val="single" w:sz="8" w:space="0" w:color="000000"/>
              <w:right w:val="single" w:sz="8" w:space="0" w:color="000000"/>
            </w:tcBorders>
            <w:shd w:val="clear" w:color="auto" w:fill="FFFFFF"/>
            <w:vAlign w:val="center"/>
          </w:tcPr>
          <w:p w14:paraId="516CD08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single" w:sz="8" w:space="0" w:color="000000"/>
              <w:left w:val="nil"/>
              <w:bottom w:val="single" w:sz="8" w:space="0" w:color="000000"/>
              <w:right w:val="single" w:sz="8" w:space="0" w:color="000000"/>
            </w:tcBorders>
            <w:shd w:val="clear" w:color="auto" w:fill="FFFFFF"/>
            <w:vAlign w:val="center"/>
          </w:tcPr>
          <w:p w14:paraId="516CD08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17</w:t>
            </w:r>
          </w:p>
        </w:tc>
        <w:tc>
          <w:tcPr>
            <w:tcW w:w="611" w:type="dxa"/>
            <w:tcBorders>
              <w:top w:val="single" w:sz="8" w:space="0" w:color="000000"/>
              <w:left w:val="nil"/>
              <w:bottom w:val="single" w:sz="8" w:space="0" w:color="000000"/>
              <w:right w:val="single" w:sz="8" w:space="0" w:color="000000"/>
            </w:tcBorders>
            <w:shd w:val="clear" w:color="auto" w:fill="FFFFFF"/>
            <w:vAlign w:val="center"/>
          </w:tcPr>
          <w:p w14:paraId="516CD08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8" w:space="0" w:color="000000"/>
              <w:left w:val="nil"/>
              <w:bottom w:val="single" w:sz="8" w:space="0" w:color="000000"/>
              <w:right w:val="single" w:sz="8" w:space="0" w:color="000000"/>
            </w:tcBorders>
            <w:shd w:val="clear" w:color="auto" w:fill="FFFFFF"/>
            <w:vAlign w:val="center"/>
          </w:tcPr>
          <w:p w14:paraId="516CD08C" w14:textId="77777777" w:rsidR="002F11C4" w:rsidRPr="00013F64" w:rsidRDefault="007A0B94">
            <w:pPr>
              <w:spacing w:after="0" w:line="240" w:lineRule="auto"/>
              <w:rPr>
                <w:rFonts w:ascii="Times New Roman" w:eastAsia="Times New Roman" w:hAnsi="Times New Roman" w:cs="Times New Roman"/>
                <w:color w:val="000000"/>
                <w:sz w:val="10"/>
                <w:szCs w:val="10"/>
                <w:lang w:val="it-IT"/>
              </w:rPr>
            </w:pPr>
            <w:r w:rsidRPr="00013F64">
              <w:rPr>
                <w:rFonts w:ascii="Times New Roman" w:eastAsia="Times New Roman" w:hAnsi="Times New Roman" w:cs="Times New Roman"/>
                <w:color w:val="000000"/>
                <w:sz w:val="10"/>
                <w:szCs w:val="10"/>
                <w:lang w:val="it-IT"/>
              </w:rPr>
              <w:t>XR, MRI, NM Bone Scan CT</w:t>
            </w:r>
          </w:p>
        </w:tc>
        <w:tc>
          <w:tcPr>
            <w:tcW w:w="630" w:type="dxa"/>
            <w:tcBorders>
              <w:top w:val="single" w:sz="8" w:space="0" w:color="000000"/>
              <w:left w:val="nil"/>
              <w:bottom w:val="single" w:sz="8" w:space="0" w:color="000000"/>
              <w:right w:val="single" w:sz="8" w:space="0" w:color="000000"/>
            </w:tcBorders>
            <w:shd w:val="clear" w:color="auto" w:fill="FFFFFF"/>
            <w:vAlign w:val="center"/>
          </w:tcPr>
          <w:p w14:paraId="516CD08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sz w:val="10"/>
                <w:szCs w:val="10"/>
              </w:rPr>
              <w:t>Osseeus Structures</w:t>
            </w:r>
          </w:p>
        </w:tc>
        <w:tc>
          <w:tcPr>
            <w:tcW w:w="720" w:type="dxa"/>
            <w:tcBorders>
              <w:top w:val="single" w:sz="8" w:space="0" w:color="000000"/>
              <w:left w:val="nil"/>
              <w:bottom w:val="single" w:sz="8" w:space="0" w:color="000000"/>
              <w:right w:val="single" w:sz="8" w:space="0" w:color="000000"/>
            </w:tcBorders>
            <w:shd w:val="clear" w:color="auto" w:fill="FFFFFF"/>
            <w:vAlign w:val="center"/>
          </w:tcPr>
          <w:p w14:paraId="516CD08E" w14:textId="77777777" w:rsidR="002F11C4" w:rsidRDefault="007A0B94">
            <w:pPr>
              <w:rPr>
                <w:rFonts w:ascii="Times New Roman" w:eastAsia="Times New Roman" w:hAnsi="Times New Roman" w:cs="Times New Roman"/>
                <w:sz w:val="10"/>
                <w:szCs w:val="10"/>
              </w:rPr>
            </w:pPr>
            <w:r>
              <w:rPr>
                <w:rFonts w:ascii="Times New Roman" w:eastAsia="Times New Roman" w:hAnsi="Times New Roman" w:cs="Times New Roman"/>
                <w:color w:val="000000"/>
                <w:sz w:val="10"/>
                <w:szCs w:val="10"/>
              </w:rPr>
              <w:t>Lungs</w:t>
            </w:r>
          </w:p>
        </w:tc>
        <w:tc>
          <w:tcPr>
            <w:tcW w:w="720" w:type="dxa"/>
            <w:tcBorders>
              <w:top w:val="single" w:sz="8" w:space="0" w:color="000000"/>
              <w:left w:val="nil"/>
              <w:bottom w:val="single" w:sz="8" w:space="0" w:color="000000"/>
              <w:right w:val="single" w:sz="8" w:space="0" w:color="000000"/>
            </w:tcBorders>
            <w:shd w:val="clear" w:color="auto" w:fill="FFFFFF"/>
            <w:vAlign w:val="center"/>
          </w:tcPr>
          <w:p w14:paraId="516CD08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990" w:type="dxa"/>
            <w:tcBorders>
              <w:top w:val="single" w:sz="8" w:space="0" w:color="000000"/>
              <w:left w:val="nil"/>
              <w:bottom w:val="single" w:sz="8" w:space="0" w:color="000000"/>
              <w:right w:val="single" w:sz="8" w:space="0" w:color="000000"/>
            </w:tcBorders>
            <w:shd w:val="clear" w:color="auto" w:fill="FFFFFF"/>
            <w:vAlign w:val="center"/>
          </w:tcPr>
          <w:p w14:paraId="516CD090" w14:textId="77777777" w:rsidR="002F11C4" w:rsidRDefault="002F11C4">
            <w:pPr>
              <w:spacing w:after="0" w:line="240" w:lineRule="auto"/>
              <w:rPr>
                <w:rFonts w:ascii="Times New Roman" w:eastAsia="Times New Roman" w:hAnsi="Times New Roman" w:cs="Times New Roman"/>
                <w:color w:val="000000"/>
                <w:sz w:val="10"/>
                <w:szCs w:val="10"/>
              </w:rPr>
            </w:pPr>
          </w:p>
          <w:p w14:paraId="516CD09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sz w:val="10"/>
                <w:szCs w:val="10"/>
              </w:rPr>
              <w:t>NGS (allele-specific PCR)</w:t>
            </w:r>
          </w:p>
        </w:tc>
        <w:tc>
          <w:tcPr>
            <w:tcW w:w="1080" w:type="dxa"/>
            <w:tcBorders>
              <w:top w:val="single" w:sz="8" w:space="0" w:color="000000"/>
              <w:left w:val="nil"/>
              <w:bottom w:val="single" w:sz="8" w:space="0" w:color="000000"/>
              <w:right w:val="single" w:sz="8" w:space="0" w:color="000000"/>
            </w:tcBorders>
            <w:shd w:val="clear" w:color="auto" w:fill="FFFFFF"/>
            <w:vAlign w:val="center"/>
          </w:tcPr>
          <w:p w14:paraId="516CD09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BRAF V600E positive</w:t>
            </w:r>
          </w:p>
          <w:p w14:paraId="516CD093" w14:textId="77777777" w:rsidR="002F11C4" w:rsidRDefault="002F11C4">
            <w:pPr>
              <w:spacing w:after="0" w:line="240" w:lineRule="auto"/>
              <w:rPr>
                <w:rFonts w:ascii="Times New Roman" w:eastAsia="Times New Roman" w:hAnsi="Times New Roman" w:cs="Times New Roman"/>
                <w:color w:val="000000"/>
                <w:sz w:val="10"/>
                <w:szCs w:val="10"/>
              </w:rPr>
            </w:pPr>
          </w:p>
          <w:p w14:paraId="516CD09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Langerhans cells are positive for S100. CD68 and CD45 mark admixed  histiocytes. Molecular studies (ARUP) detected BRAF V600E mutation.</w:t>
            </w:r>
          </w:p>
        </w:tc>
        <w:tc>
          <w:tcPr>
            <w:tcW w:w="2160" w:type="dxa"/>
            <w:tcBorders>
              <w:top w:val="single" w:sz="8" w:space="0" w:color="000000"/>
              <w:left w:val="nil"/>
              <w:bottom w:val="single" w:sz="8" w:space="0" w:color="000000"/>
              <w:right w:val="single" w:sz="8" w:space="0" w:color="000000"/>
            </w:tcBorders>
            <w:shd w:val="clear" w:color="auto" w:fill="FFFFFF"/>
            <w:vAlign w:val="center"/>
          </w:tcPr>
          <w:p w14:paraId="516CD09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Dx --&gt; observation for 3 months --&gt; Systemic tx in daily vinblastine/prednisone/6-MP (administered over 31 weeks) --&gt; partial response at 7 months --&gt; continued tx with chemo for 8 months --&gt; complete response --&gt; observation --&gt; progressive disease 13 months later --&gt; progressive disease at 41 months --&gt; stable disease at 88 months --&gt; progessive disease 36 months --&gt; XRT</w:t>
            </w:r>
          </w:p>
        </w:tc>
        <w:tc>
          <w:tcPr>
            <w:tcW w:w="641" w:type="dxa"/>
            <w:tcBorders>
              <w:top w:val="single" w:sz="8" w:space="0" w:color="000000"/>
              <w:left w:val="nil"/>
              <w:bottom w:val="single" w:sz="8" w:space="0" w:color="000000"/>
              <w:right w:val="single" w:sz="8" w:space="0" w:color="000000"/>
            </w:tcBorders>
            <w:shd w:val="clear" w:color="auto" w:fill="FFFFFF"/>
            <w:vAlign w:val="center"/>
          </w:tcPr>
          <w:p w14:paraId="516CD09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single" w:sz="8" w:space="0" w:color="000000"/>
              <w:left w:val="nil"/>
              <w:bottom w:val="single" w:sz="8" w:space="0" w:color="000000"/>
              <w:right w:val="single" w:sz="8" w:space="0" w:color="000000"/>
            </w:tcBorders>
            <w:shd w:val="clear" w:color="auto" w:fill="FFFFFF"/>
            <w:vAlign w:val="center"/>
          </w:tcPr>
          <w:p w14:paraId="516CD09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0.8</w:t>
            </w:r>
          </w:p>
        </w:tc>
        <w:tc>
          <w:tcPr>
            <w:tcW w:w="750" w:type="dxa"/>
            <w:tcBorders>
              <w:top w:val="single" w:sz="8" w:space="0" w:color="000000"/>
              <w:left w:val="nil"/>
              <w:bottom w:val="single" w:sz="8" w:space="0" w:color="000000"/>
              <w:right w:val="single" w:sz="8" w:space="0" w:color="000000"/>
            </w:tcBorders>
            <w:shd w:val="clear" w:color="auto" w:fill="FFFFFF"/>
            <w:vAlign w:val="center"/>
          </w:tcPr>
          <w:p w14:paraId="516CD09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Not available </w:t>
            </w:r>
          </w:p>
        </w:tc>
      </w:tr>
      <w:tr w:rsidR="002F11C4" w14:paraId="516CD0AB" w14:textId="77777777">
        <w:trPr>
          <w:trHeight w:val="1290"/>
        </w:trPr>
        <w:tc>
          <w:tcPr>
            <w:tcW w:w="522" w:type="dxa"/>
            <w:tcBorders>
              <w:top w:val="nil"/>
              <w:left w:val="single" w:sz="8" w:space="0" w:color="000000"/>
              <w:bottom w:val="single" w:sz="8" w:space="0" w:color="000000"/>
              <w:right w:val="single" w:sz="8" w:space="0" w:color="000000"/>
            </w:tcBorders>
            <w:shd w:val="clear" w:color="auto" w:fill="FFFFFF"/>
            <w:vAlign w:val="center"/>
          </w:tcPr>
          <w:p w14:paraId="516CD09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56</w:t>
            </w:r>
          </w:p>
        </w:tc>
        <w:tc>
          <w:tcPr>
            <w:tcW w:w="548" w:type="dxa"/>
            <w:tcBorders>
              <w:top w:val="nil"/>
              <w:left w:val="nil"/>
              <w:bottom w:val="single" w:sz="8" w:space="0" w:color="000000"/>
              <w:right w:val="single" w:sz="8" w:space="0" w:color="000000"/>
            </w:tcBorders>
            <w:shd w:val="clear" w:color="auto" w:fill="FFFFFF"/>
            <w:vAlign w:val="center"/>
          </w:tcPr>
          <w:p w14:paraId="516CD09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nil"/>
              <w:left w:val="nil"/>
              <w:bottom w:val="single" w:sz="8" w:space="0" w:color="000000"/>
              <w:right w:val="single" w:sz="8" w:space="0" w:color="000000"/>
            </w:tcBorders>
            <w:shd w:val="clear" w:color="auto" w:fill="FFFFFF"/>
            <w:vAlign w:val="center"/>
          </w:tcPr>
          <w:p w14:paraId="516CD09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51</w:t>
            </w:r>
          </w:p>
        </w:tc>
        <w:tc>
          <w:tcPr>
            <w:tcW w:w="611" w:type="dxa"/>
            <w:tcBorders>
              <w:top w:val="nil"/>
              <w:left w:val="nil"/>
              <w:bottom w:val="single" w:sz="8" w:space="0" w:color="000000"/>
              <w:right w:val="single" w:sz="8" w:space="0" w:color="000000"/>
            </w:tcBorders>
            <w:shd w:val="clear" w:color="auto" w:fill="FFFFFF"/>
            <w:vAlign w:val="center"/>
          </w:tcPr>
          <w:p w14:paraId="516CD09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single" w:sz="8" w:space="0" w:color="000000"/>
              <w:right w:val="single" w:sz="8" w:space="0" w:color="000000"/>
            </w:tcBorders>
            <w:shd w:val="clear" w:color="auto" w:fill="FFFFFF"/>
            <w:vAlign w:val="center"/>
          </w:tcPr>
          <w:p w14:paraId="516CD09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nil"/>
              <w:left w:val="nil"/>
              <w:bottom w:val="single" w:sz="8" w:space="0" w:color="000000"/>
              <w:right w:val="single" w:sz="8" w:space="0" w:color="000000"/>
            </w:tcBorders>
            <w:shd w:val="clear" w:color="auto" w:fill="FFFFFF"/>
            <w:vAlign w:val="center"/>
          </w:tcPr>
          <w:p w14:paraId="516CD09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nil"/>
              <w:left w:val="nil"/>
              <w:bottom w:val="single" w:sz="8" w:space="0" w:color="000000"/>
              <w:right w:val="single" w:sz="8" w:space="0" w:color="000000"/>
            </w:tcBorders>
            <w:shd w:val="clear" w:color="auto" w:fill="FFFFFF"/>
            <w:vAlign w:val="center"/>
          </w:tcPr>
          <w:p w14:paraId="516CD0A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20" w:type="dxa"/>
            <w:tcBorders>
              <w:top w:val="nil"/>
              <w:left w:val="nil"/>
              <w:bottom w:val="single" w:sz="8" w:space="0" w:color="000000"/>
              <w:right w:val="single" w:sz="8" w:space="0" w:color="000000"/>
            </w:tcBorders>
            <w:shd w:val="clear" w:color="auto" w:fill="FFFFFF"/>
            <w:vAlign w:val="center"/>
          </w:tcPr>
          <w:p w14:paraId="516CD0A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nil"/>
              <w:left w:val="nil"/>
              <w:bottom w:val="single" w:sz="8" w:space="0" w:color="000000"/>
              <w:right w:val="single" w:sz="8" w:space="0" w:color="000000"/>
            </w:tcBorders>
            <w:shd w:val="clear" w:color="auto" w:fill="FFFFFF"/>
            <w:vAlign w:val="center"/>
          </w:tcPr>
          <w:p w14:paraId="516CD0A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single" w:sz="8" w:space="0" w:color="000000"/>
              <w:right w:val="single" w:sz="8" w:space="0" w:color="000000"/>
            </w:tcBorders>
            <w:shd w:val="clear" w:color="auto" w:fill="FFFFFF"/>
            <w:vAlign w:val="center"/>
          </w:tcPr>
          <w:p w14:paraId="516CD0A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"Lung bx, 5/6/2009: The degree of fibrosis cannot be explained on the basis of emphysema alone. </w:t>
            </w:r>
          </w:p>
          <w:p w14:paraId="516CD0A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The overall distribution is most suggestive of usual interstitial pneumonia </w:t>
            </w:r>
          </w:p>
          <w:p w14:paraId="516CD0A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(UIP), although similar changes can occasionally occur in patients with late </w:t>
            </w:r>
          </w:p>
          <w:p w14:paraId="516CD0A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fibrotic stage Langerhans cell histiocytosis. "</w:t>
            </w:r>
          </w:p>
        </w:tc>
        <w:tc>
          <w:tcPr>
            <w:tcW w:w="2160" w:type="dxa"/>
            <w:tcBorders>
              <w:top w:val="nil"/>
              <w:left w:val="nil"/>
              <w:bottom w:val="single" w:sz="8" w:space="0" w:color="000000"/>
              <w:right w:val="single" w:sz="8" w:space="0" w:color="000000"/>
            </w:tcBorders>
            <w:shd w:val="clear" w:color="auto" w:fill="FFFFFF"/>
            <w:vAlign w:val="center"/>
          </w:tcPr>
          <w:p w14:paraId="516CD0A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Dx --&gt; observation for 50 months --&gt; surgery - complete response for 120 months</w:t>
            </w:r>
          </w:p>
        </w:tc>
        <w:tc>
          <w:tcPr>
            <w:tcW w:w="641" w:type="dxa"/>
            <w:tcBorders>
              <w:top w:val="nil"/>
              <w:left w:val="nil"/>
              <w:bottom w:val="single" w:sz="8" w:space="0" w:color="000000"/>
              <w:right w:val="single" w:sz="8" w:space="0" w:color="000000"/>
            </w:tcBorders>
            <w:shd w:val="clear" w:color="auto" w:fill="FFFFFF"/>
            <w:vAlign w:val="center"/>
          </w:tcPr>
          <w:p w14:paraId="516CD0A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nil"/>
              <w:left w:val="nil"/>
              <w:bottom w:val="single" w:sz="8" w:space="0" w:color="000000"/>
              <w:right w:val="single" w:sz="8" w:space="0" w:color="000000"/>
            </w:tcBorders>
            <w:shd w:val="clear" w:color="auto" w:fill="FFFFFF"/>
            <w:vAlign w:val="center"/>
          </w:tcPr>
          <w:p w14:paraId="516CD0A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1.1</w:t>
            </w:r>
          </w:p>
        </w:tc>
        <w:tc>
          <w:tcPr>
            <w:tcW w:w="750" w:type="dxa"/>
            <w:tcBorders>
              <w:top w:val="nil"/>
              <w:left w:val="nil"/>
              <w:bottom w:val="single" w:sz="8" w:space="0" w:color="000000"/>
              <w:right w:val="single" w:sz="8" w:space="0" w:color="000000"/>
            </w:tcBorders>
            <w:shd w:val="clear" w:color="auto" w:fill="FFFFFF"/>
            <w:vAlign w:val="center"/>
          </w:tcPr>
          <w:p w14:paraId="516CD0A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0.2</w:t>
            </w:r>
          </w:p>
        </w:tc>
      </w:tr>
      <w:tr w:rsidR="002F11C4" w14:paraId="516CD0BD" w14:textId="77777777">
        <w:trPr>
          <w:trHeight w:val="1815"/>
        </w:trPr>
        <w:tc>
          <w:tcPr>
            <w:tcW w:w="522" w:type="dxa"/>
            <w:tcBorders>
              <w:top w:val="nil"/>
              <w:left w:val="single" w:sz="8" w:space="0" w:color="000000"/>
              <w:bottom w:val="nil"/>
              <w:right w:val="single" w:sz="8" w:space="0" w:color="000000"/>
            </w:tcBorders>
            <w:shd w:val="clear" w:color="auto" w:fill="FFFFFF"/>
            <w:vAlign w:val="center"/>
          </w:tcPr>
          <w:p w14:paraId="516CD0A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59</w:t>
            </w:r>
          </w:p>
        </w:tc>
        <w:tc>
          <w:tcPr>
            <w:tcW w:w="548" w:type="dxa"/>
            <w:tcBorders>
              <w:top w:val="nil"/>
              <w:left w:val="nil"/>
              <w:bottom w:val="nil"/>
              <w:right w:val="single" w:sz="8" w:space="0" w:color="000000"/>
            </w:tcBorders>
            <w:shd w:val="clear" w:color="auto" w:fill="FFFFFF"/>
            <w:vAlign w:val="center"/>
          </w:tcPr>
          <w:p w14:paraId="516CD0A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nil"/>
              <w:left w:val="nil"/>
              <w:bottom w:val="nil"/>
              <w:right w:val="single" w:sz="8" w:space="0" w:color="000000"/>
            </w:tcBorders>
            <w:shd w:val="clear" w:color="auto" w:fill="FFFFFF"/>
            <w:vAlign w:val="center"/>
          </w:tcPr>
          <w:p w14:paraId="516CD0A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12</w:t>
            </w:r>
          </w:p>
        </w:tc>
        <w:tc>
          <w:tcPr>
            <w:tcW w:w="611" w:type="dxa"/>
            <w:tcBorders>
              <w:top w:val="nil"/>
              <w:left w:val="nil"/>
              <w:bottom w:val="nil"/>
              <w:right w:val="single" w:sz="8" w:space="0" w:color="000000"/>
            </w:tcBorders>
            <w:shd w:val="clear" w:color="auto" w:fill="FFFFFF"/>
            <w:vAlign w:val="center"/>
          </w:tcPr>
          <w:p w14:paraId="516CD0A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nil"/>
              <w:left w:val="nil"/>
              <w:bottom w:val="nil"/>
              <w:right w:val="single" w:sz="8" w:space="0" w:color="000000"/>
            </w:tcBorders>
            <w:shd w:val="clear" w:color="auto" w:fill="FFFFFF"/>
            <w:vAlign w:val="center"/>
          </w:tcPr>
          <w:p w14:paraId="516CD0B0" w14:textId="77777777" w:rsidR="002F11C4" w:rsidRDefault="002F11C4">
            <w:pPr>
              <w:spacing w:after="0" w:line="240" w:lineRule="auto"/>
              <w:rPr>
                <w:rFonts w:ascii="Times New Roman" w:eastAsia="Times New Roman" w:hAnsi="Times New Roman" w:cs="Times New Roman"/>
                <w:color w:val="000000"/>
                <w:sz w:val="10"/>
                <w:szCs w:val="10"/>
              </w:rPr>
            </w:pPr>
          </w:p>
          <w:p w14:paraId="516CD0B1" w14:textId="77777777" w:rsidR="002F11C4" w:rsidRDefault="002F11C4">
            <w:pPr>
              <w:rPr>
                <w:rFonts w:ascii="Times New Roman" w:eastAsia="Times New Roman" w:hAnsi="Times New Roman" w:cs="Times New Roman"/>
                <w:color w:val="000000"/>
                <w:sz w:val="10"/>
                <w:szCs w:val="10"/>
              </w:rPr>
            </w:pPr>
          </w:p>
          <w:p w14:paraId="516CD0B2" w14:textId="77777777" w:rsidR="002F11C4" w:rsidRDefault="007A0B94">
            <w:pPr>
              <w:rPr>
                <w:rFonts w:ascii="Times New Roman" w:eastAsia="Times New Roman" w:hAnsi="Times New Roman" w:cs="Times New Roman"/>
                <w:sz w:val="10"/>
                <w:szCs w:val="10"/>
              </w:rPr>
            </w:pPr>
            <w:r>
              <w:rPr>
                <w:rFonts w:ascii="Times New Roman" w:eastAsia="Times New Roman" w:hAnsi="Times New Roman" w:cs="Times New Roman"/>
                <w:sz w:val="10"/>
                <w:szCs w:val="10"/>
              </w:rPr>
              <w:t>XR, MRI, CT</w:t>
            </w:r>
          </w:p>
        </w:tc>
        <w:tc>
          <w:tcPr>
            <w:tcW w:w="630" w:type="dxa"/>
            <w:tcBorders>
              <w:top w:val="nil"/>
              <w:left w:val="nil"/>
              <w:bottom w:val="nil"/>
              <w:right w:val="single" w:sz="8" w:space="0" w:color="000000"/>
            </w:tcBorders>
            <w:shd w:val="clear" w:color="auto" w:fill="FFFFFF"/>
            <w:vAlign w:val="center"/>
          </w:tcPr>
          <w:p w14:paraId="516CD0B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Skull</w:t>
            </w:r>
          </w:p>
        </w:tc>
        <w:tc>
          <w:tcPr>
            <w:tcW w:w="720" w:type="dxa"/>
            <w:tcBorders>
              <w:top w:val="nil"/>
              <w:left w:val="nil"/>
              <w:bottom w:val="nil"/>
              <w:right w:val="single" w:sz="8" w:space="0" w:color="000000"/>
            </w:tcBorders>
            <w:shd w:val="clear" w:color="auto" w:fill="FFFFFF"/>
            <w:vAlign w:val="center"/>
          </w:tcPr>
          <w:p w14:paraId="516CD0B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Right humerus, left ischium. Other possible areas of involvement included the left proximal tibia, L1 vertebra, and multiple ribs right greater than left</w:t>
            </w:r>
          </w:p>
        </w:tc>
        <w:tc>
          <w:tcPr>
            <w:tcW w:w="720" w:type="dxa"/>
            <w:tcBorders>
              <w:top w:val="nil"/>
              <w:left w:val="nil"/>
              <w:bottom w:val="nil"/>
              <w:right w:val="single" w:sz="8" w:space="0" w:color="000000"/>
            </w:tcBorders>
            <w:shd w:val="clear" w:color="auto" w:fill="FFFFFF"/>
            <w:vAlign w:val="center"/>
          </w:tcPr>
          <w:p w14:paraId="516CD0B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nil"/>
              <w:left w:val="nil"/>
              <w:bottom w:val="nil"/>
              <w:right w:val="single" w:sz="8" w:space="0" w:color="000000"/>
            </w:tcBorders>
            <w:shd w:val="clear" w:color="auto" w:fill="FFFFFF"/>
            <w:vAlign w:val="center"/>
          </w:tcPr>
          <w:p w14:paraId="516CD0B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nil"/>
              <w:left w:val="nil"/>
              <w:bottom w:val="nil"/>
              <w:right w:val="single" w:sz="8" w:space="0" w:color="000000"/>
            </w:tcBorders>
            <w:shd w:val="clear" w:color="auto" w:fill="FFFFFF"/>
            <w:vAlign w:val="center"/>
          </w:tcPr>
          <w:p w14:paraId="516CD0B7" w14:textId="77777777" w:rsidR="002F11C4" w:rsidRDefault="002F11C4">
            <w:pPr>
              <w:spacing w:after="0" w:line="240" w:lineRule="auto"/>
              <w:rPr>
                <w:rFonts w:ascii="Times New Roman" w:eastAsia="Times New Roman" w:hAnsi="Times New Roman" w:cs="Times New Roman"/>
                <w:color w:val="000000"/>
                <w:sz w:val="10"/>
                <w:szCs w:val="10"/>
              </w:rPr>
            </w:pPr>
          </w:p>
          <w:p w14:paraId="516CD0B8" w14:textId="77777777" w:rsidR="002F11C4" w:rsidRDefault="007A0B94">
            <w:pPr>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S100 protein, CD1a, CD3, CD20, CD68, CD138, GFAP, and MIB-1 stains on sections of 1B show cells positive for CD68, and abnormal histiocytes robustly positive for S100 protein and CD1a markers. It is interesting that S100 protein and CD1a marks a somewhat different subset of histiocytes, ones with single nuclei and relatively high nucleus to cytoplasmic ratio; </w:t>
            </w:r>
            <w:r>
              <w:rPr>
                <w:rFonts w:ascii="Times New Roman" w:eastAsia="Times New Roman" w:hAnsi="Times New Roman" w:cs="Times New Roman"/>
                <w:sz w:val="10"/>
                <w:szCs w:val="10"/>
              </w:rPr>
              <w:lastRenderedPageBreak/>
              <w:t>whereas the smaller subset of cells marked by CD68 include multinucleated giant cell macrophages and cells with lower nucleus to cytoplasmic ratios. "</w:t>
            </w:r>
          </w:p>
        </w:tc>
        <w:tc>
          <w:tcPr>
            <w:tcW w:w="2160" w:type="dxa"/>
            <w:tcBorders>
              <w:top w:val="nil"/>
              <w:left w:val="nil"/>
              <w:bottom w:val="nil"/>
              <w:right w:val="single" w:sz="8" w:space="0" w:color="000000"/>
            </w:tcBorders>
            <w:shd w:val="clear" w:color="auto" w:fill="FFFFFF"/>
            <w:vAlign w:val="center"/>
          </w:tcPr>
          <w:p w14:paraId="516CD0B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lastRenderedPageBreak/>
              <w:t>Dx --&gt; Surgery (left parietal, Nov 2006), CR --&gt; Progressive disease 12 months later (Nov 2007) --&gt; Surgery --&gt; CR for 3 months --&gt; Progressive disease (Feb -  May 2008, 3 months) --&gt; Chemo as per LCHIII with vinblastine/prednisone/6-MP (Feb - May 2008) --&gt; Mixed response - partial/stable (May - Oct 2008) --&gt; progressive disease 7 months later (May 2009) --&gt; multi-agent chemo in Ara-C, vincristine, prednisone followed by 24 total months of maintenance with oral 6-MP, MTX, prednisone, IV vincristine (July 2009-2011; still PD through 7 more months) --&gt; Mixed response (dec 2009-november 2011, 11 months) --&gt; partial response (86 months, Aug 2017)</w:t>
            </w:r>
          </w:p>
        </w:tc>
        <w:tc>
          <w:tcPr>
            <w:tcW w:w="641" w:type="dxa"/>
            <w:tcBorders>
              <w:top w:val="nil"/>
              <w:left w:val="nil"/>
              <w:bottom w:val="nil"/>
              <w:right w:val="single" w:sz="8" w:space="0" w:color="000000"/>
            </w:tcBorders>
            <w:shd w:val="clear" w:color="auto" w:fill="FFFFFF"/>
            <w:vAlign w:val="center"/>
          </w:tcPr>
          <w:p w14:paraId="516CD0B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nil"/>
              <w:left w:val="nil"/>
              <w:bottom w:val="nil"/>
              <w:right w:val="single" w:sz="8" w:space="0" w:color="000000"/>
            </w:tcBorders>
            <w:shd w:val="clear" w:color="auto" w:fill="FFFFFF"/>
            <w:vAlign w:val="center"/>
          </w:tcPr>
          <w:p w14:paraId="516CD0B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0.3</w:t>
            </w:r>
          </w:p>
        </w:tc>
        <w:tc>
          <w:tcPr>
            <w:tcW w:w="750" w:type="dxa"/>
            <w:tcBorders>
              <w:top w:val="nil"/>
              <w:left w:val="nil"/>
              <w:bottom w:val="nil"/>
              <w:right w:val="single" w:sz="8" w:space="0" w:color="000000"/>
            </w:tcBorders>
            <w:shd w:val="clear" w:color="auto" w:fill="FFFFFF"/>
            <w:vAlign w:val="center"/>
          </w:tcPr>
          <w:p w14:paraId="516CD0B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0/- </w:t>
            </w:r>
          </w:p>
        </w:tc>
      </w:tr>
      <w:tr w:rsidR="002F11C4" w14:paraId="516CD0D5"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0B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60</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0B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0C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16</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0C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0C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MRI</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0C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Pituitary gland/region</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0C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0C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0C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0C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Langerhans cell </w:t>
            </w:r>
          </w:p>
          <w:p w14:paraId="516CD0C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histiocytosis, associated with lymphocytic inflammation. </w:t>
            </w:r>
          </w:p>
          <w:p w14:paraId="516CD0C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 </w:t>
            </w:r>
          </w:p>
          <w:p w14:paraId="516CD0C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One of several fragments of variably cellular connective tissue contains. </w:t>
            </w:r>
          </w:p>
          <w:p w14:paraId="516CD0C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clusters of eosinophils and pale larger cells in the background that stain </w:t>
            </w:r>
          </w:p>
          <w:p w14:paraId="516CD0C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positively for CD1A and S-100. Other fragments are much less cellular, except </w:t>
            </w:r>
          </w:p>
          <w:p w14:paraId="516CD0C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for one which is infiltrated by small lymphocytes. Most of the latter are</w:t>
            </w:r>
          </w:p>
          <w:p w14:paraId="516CD0C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CD20- positive B cells, with smaller number of CD3- positive T cells. </w:t>
            </w:r>
          </w:p>
          <w:p w14:paraId="516CD0C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Immunostaining for GFAP, synaptophysin, neurofilament, and CD117(c-kit) is </w:t>
            </w:r>
          </w:p>
          <w:p w14:paraId="516CD0D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negative.</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0D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Surgery with frontal craniotomy (4/13/09) followed likely immediately by 12 cycles of chemotherapy with cytarabine over 1 years--&gt;14 cycles of maintenance vinblastine, 6-MP, methotrexate and prednisone completed in August 2012. So surgery --&gt; partial response through 22 months --&gt; progressive disease 5 months  --&gt; partial response 8 months --&gt; stable disease 4 months --&gt; partial response 3 months --&gt; Stable disease 121 mo (10/22)</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0D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Partial Response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0D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0.9</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0D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w:t>
            </w:r>
          </w:p>
        </w:tc>
      </w:tr>
      <w:tr w:rsidR="002F11C4" w14:paraId="516CD0E4"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0D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61</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0D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0D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5</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0D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0D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MRI</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0D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Pituitary Gland </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0D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Skull </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0D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0D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0D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Eosinophilic granuloma; positive for S-100 and CD1a.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0E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Surgery with frontal craniectomy/lesional biopsy + curettage (5/07) followed by LCH III chemo with vinblastine + prednisone through January 2008 complete response, 17 months --&gt; progressive disease 18 months (beginning 8/08 --&gt;3/09) --&gt; (Thalidomide considered but not truly started in Sep 2009) --&gt; stable disease 24 months (3/09 - 11) --&gt; complete response (23 months, Jan 2023)</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0E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 (by MR)</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0E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0.8</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0E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0.5</w:t>
            </w:r>
          </w:p>
        </w:tc>
      </w:tr>
      <w:tr w:rsidR="002F11C4" w14:paraId="516CD0F6"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0E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62</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0E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0E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28</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0E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0E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MRI/CT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0E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C3</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0E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0E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0E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N/A </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0E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Multiple levels and additional immunohistochemical staining for CD1a on three</w:t>
            </w:r>
          </w:p>
          <w:p w14:paraId="516CD0E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blocks show strong positivity within a subset of the histiocytes. In</w:t>
            </w:r>
          </w:p>
          <w:p w14:paraId="516CD0F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addition, levels disclose more classic histologic features of Langerhans cell.</w:t>
            </w:r>
          </w:p>
          <w:p w14:paraId="516CD0F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histiocytosis, including areas with numerous eosinophils. </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0F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Surgery (C3 laminectomy) --&gt; complete response for next 84 months (7 years)</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0F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0F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0F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106"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0F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64</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0F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0F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0F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0F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0F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0F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0F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0F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10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101"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Bilateral lung transplant in 2009 --&gt; Partial response 2 years --&gt; Progressive disease 1 (52 mo) --&gt; Stable disease 1 month --&gt; complete response 33 months --&gt; progressive disease (2) 16 mo --&gt; stable 24 months --&gt;partial response 11 months  --&gt; stable disease (1/23)</w:t>
            </w:r>
          </w:p>
          <w:p w14:paraId="516CD102" w14:textId="77777777" w:rsidR="002F11C4" w:rsidRDefault="002F11C4">
            <w:pPr>
              <w:spacing w:after="0" w:line="240" w:lineRule="auto"/>
              <w:rPr>
                <w:rFonts w:ascii="Times New Roman" w:eastAsia="Times New Roman" w:hAnsi="Times New Roman" w:cs="Times New Roman"/>
                <w:color w:val="000000"/>
                <w:sz w:val="10"/>
                <w:szCs w:val="10"/>
              </w:rPr>
            </w:pP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10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Partial Response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10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1.4</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10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0.2</w:t>
            </w:r>
          </w:p>
        </w:tc>
      </w:tr>
      <w:tr w:rsidR="002F11C4" w14:paraId="516CD115"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10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lastRenderedPageBreak/>
              <w:t>65</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10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10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10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10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10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Skull</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0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0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10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11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111"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Radiation to skull for Histiocytosis X in childhood --&gt;  complete response, likely for 45-50 years</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11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11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11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125"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11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67</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11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11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25</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11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11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PET, XR (skeletal survey)</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11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Skull</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1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Various osseous structures, nodal disease in the chest, abdomen, pelvis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1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11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11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Morphologically, observed cells are compatible with </w:t>
            </w:r>
          </w:p>
          <w:p w14:paraId="516CD12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Langerhan cells. Immunostain for CD1a highlights these cells "</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121"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November 2008: Chemotherapy in vinblastine subsequently initiated, administered weekly x6 weeks (stable disease,  x months - duration unknown)) --&gt; partial response (through Dec 2009) --&gt; 9 cycles of consolidative cytarabine (9 month, through Feb 2010) --&gt; progressive as of Dec 2009  4 months --&gt; stable disease starting March 2010  36 mo--&gt; March 2013 Mixed response 11 months --&gt; stable disease</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12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Partial Response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12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1.2</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12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0.5</w:t>
            </w:r>
          </w:p>
        </w:tc>
      </w:tr>
      <w:tr w:rsidR="002F11C4" w14:paraId="516CD134"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12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68</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12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12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12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12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12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2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 Known</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2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12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12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Immunostains with S100 highlight Langerhans cells, while HMB45 staining is negative</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130"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Diagnosis 5/26/2011 --&gt; Stable disease (9 months)</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13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13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13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143"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13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70</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13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13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75</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13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13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Physical Exam</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13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Cutaneous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3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None </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3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13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13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13F"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Diagnosis --&gt; (Local therapies but unclear which) --&gt; 9 years observation</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14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14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14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152"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14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71</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14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14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3</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14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14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Physical exam, MRI, XR (skeletal survey)</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14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4A" w14:textId="77777777" w:rsidR="002F11C4" w:rsidRPr="00013F64" w:rsidRDefault="007A0B94">
            <w:pPr>
              <w:spacing w:after="0" w:line="240" w:lineRule="auto"/>
              <w:rPr>
                <w:rFonts w:ascii="Times New Roman" w:eastAsia="Times New Roman" w:hAnsi="Times New Roman" w:cs="Times New Roman"/>
                <w:color w:val="000000"/>
                <w:sz w:val="10"/>
                <w:szCs w:val="10"/>
                <w:lang w:val="fr-FR"/>
              </w:rPr>
            </w:pPr>
            <w:r w:rsidRPr="00013F64">
              <w:rPr>
                <w:rFonts w:ascii="Times New Roman" w:eastAsia="Times New Roman" w:hAnsi="Times New Roman" w:cs="Times New Roman"/>
                <w:color w:val="000000"/>
                <w:sz w:val="10"/>
                <w:szCs w:val="10"/>
                <w:lang w:val="fr-FR"/>
              </w:rPr>
              <w:t>Skin, lymph nodes, osseous structures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4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14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14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Negative TP53, FLT3</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14E"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Dx 2007 with multifocal disease, initial tx with chemo in vinblastine, etoposide, prednisone for six months (? Response) --&gt; Recurrent disease in October 2009 (six more months of treatment with Vinblastine/Etop/Prednisone --&gt; 2011 recurrence with multifocal bone disease --&gt; 6 cycles of cladribine followed by 12 months of maintenance chemo in oral 6-MP/MTX/Prednisone/Vincristine, completed in Nov 2012 with no disease recurrence  </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14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Partial Response </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15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0.5</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15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0.2</w:t>
            </w:r>
          </w:p>
        </w:tc>
      </w:tr>
      <w:tr w:rsidR="002F11C4" w14:paraId="516CD162"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15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72</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15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15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9</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15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15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MRI, XR (skeletal survey)</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158" w14:textId="77777777" w:rsidR="002F11C4" w:rsidRDefault="002F11C4">
            <w:pPr>
              <w:spacing w:after="0" w:line="240" w:lineRule="auto"/>
              <w:rPr>
                <w:rFonts w:ascii="Times New Roman" w:eastAsia="Times New Roman" w:hAnsi="Times New Roman" w:cs="Times New Roman"/>
                <w:color w:val="000000"/>
                <w:sz w:val="10"/>
                <w:szCs w:val="10"/>
              </w:rPr>
            </w:pPr>
          </w:p>
          <w:p w14:paraId="516CD159" w14:textId="77777777" w:rsidR="002F11C4" w:rsidRDefault="007A0B94">
            <w:pPr>
              <w:rPr>
                <w:rFonts w:ascii="Times New Roman" w:eastAsia="Times New Roman" w:hAnsi="Times New Roman" w:cs="Times New Roman"/>
                <w:sz w:val="10"/>
                <w:szCs w:val="10"/>
              </w:rPr>
            </w:pPr>
            <w:r>
              <w:rPr>
                <w:rFonts w:ascii="Times New Roman" w:eastAsia="Times New Roman" w:hAnsi="Times New Roman" w:cs="Times New Roman"/>
                <w:sz w:val="10"/>
                <w:szCs w:val="10"/>
              </w:rPr>
              <w:t>Skull (right anterior clinoid)</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5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5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15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15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Unknown </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15E"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Dx in Nove 2009; treated with six months of vinblastine + prednisone, completed therapy in June 2010</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15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16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16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171"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16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74</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16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16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44</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16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16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16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Left neck (cervical/supraclavicular lymph node)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6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6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16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16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16D"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Dx 10/29/2009 --&gt; Pred 50 mg orally Jan 2020 --&gt; Tapered through May 2020 --&gt; partial response in 12/2011 --&gt; CR In 12/2012</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16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16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17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180"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17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lastRenderedPageBreak/>
              <w:t>76</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17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17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17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17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17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7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7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17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17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17C"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17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17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17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18F"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18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78</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18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18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16</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18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18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MRI, PET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18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Left orbit</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8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Pituitary</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8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18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18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18B"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Surgery + adjuvant chemo with prednisone/6-MP through 1988 (4  years of age) --&gt; recurrence in right hip 5 years later (1993), resected incompletely. Treated with adjuvant vinblastine/prednisone, recurrence in right frontal skull bone in 1996 (resected) --&gt; observation with no definitive recurrence through 2017</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18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18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18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19E"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19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80</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19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19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19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19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19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9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9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19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19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19A"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Appears to have been managed supportively with prednisone, epoprostenol; exact treatment history unclear</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19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19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19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1AD"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19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81</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1A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1A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Infant</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1A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1A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1A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Cutaneous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A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A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1A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1A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1A9"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1A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1A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1A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1BC"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1A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82</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1A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1B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60</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1B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1B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1B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B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B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1B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IHC</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1B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S100, OKT-6, CD1A stains</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1B8"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1B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1B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1B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1CB"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1B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83</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1B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1B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20</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1C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1C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1C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C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Pituitary</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C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1C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1C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1C7"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Was first diagnosed in 20s with disease in the lungs, 10 years later developed panhypopituitarism  and requires hormone therapy. Required pleurodisis and chest tube placement and with pituitary manifestations, required hydrocortisone. Levothyroixine</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1C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1C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1C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1DB"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1CC" w14:textId="77777777" w:rsidR="002F11C4" w:rsidRDefault="002F11C4">
            <w:pPr>
              <w:spacing w:after="0" w:line="240" w:lineRule="auto"/>
              <w:rPr>
                <w:rFonts w:ascii="Times New Roman" w:eastAsia="Times New Roman" w:hAnsi="Times New Roman" w:cs="Times New Roman"/>
                <w:color w:val="000000"/>
                <w:sz w:val="10"/>
                <w:szCs w:val="10"/>
              </w:rPr>
            </w:pPr>
          </w:p>
          <w:p w14:paraId="516CD1CD" w14:textId="77777777" w:rsidR="002F11C4" w:rsidRDefault="007A0B94">
            <w:pPr>
              <w:rPr>
                <w:rFonts w:ascii="Times New Roman" w:eastAsia="Times New Roman" w:hAnsi="Times New Roman" w:cs="Times New Roman"/>
                <w:sz w:val="10"/>
                <w:szCs w:val="10"/>
              </w:rPr>
            </w:pPr>
            <w:r>
              <w:rPr>
                <w:rFonts w:ascii="Times New Roman" w:eastAsia="Times New Roman" w:hAnsi="Times New Roman" w:cs="Times New Roman"/>
                <w:sz w:val="10"/>
                <w:szCs w:val="10"/>
              </w:rPr>
              <w:t>85</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1C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1C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Birth</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1D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1D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MRI</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1D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Eye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D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Tibia/Skin</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D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1D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1D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1D7"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Carboplatin and vincristine</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1D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1D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1.2</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1D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0.5</w:t>
            </w:r>
          </w:p>
        </w:tc>
      </w:tr>
      <w:tr w:rsidR="002F11C4" w14:paraId="516CD1EA"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1D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lastRenderedPageBreak/>
              <w:t>88</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1D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1D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72</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1D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1E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PET/MRI/CTAP/Bone scan</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1E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Skin</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E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Spine, rib, nodal, lung</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E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1E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IHC</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1E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S100 positive</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1E6"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Underwent field radiation, XRT, 2- CDA x6 cycles</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1E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Progressive Disease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1E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1.8</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1E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w:t>
            </w:r>
          </w:p>
        </w:tc>
      </w:tr>
      <w:tr w:rsidR="002F11C4" w14:paraId="516CD1FA"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1E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89</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1E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1E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33</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1E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1E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1F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Stomach</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F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 Known</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1F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1F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IHC</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1F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"S100, CD1A</w:t>
            </w:r>
          </w:p>
          <w:p w14:paraId="516CD1F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1F6"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Surgical; Resection</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1F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1F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0.9</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1F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0.6</w:t>
            </w:r>
          </w:p>
        </w:tc>
      </w:tr>
      <w:tr w:rsidR="002F11C4" w14:paraId="516CD209"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1F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91</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1F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1F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27</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1F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1F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MRI</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20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Gingival Sulcus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0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0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20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IHC</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20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S100. CD1A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205"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Diagnosed with eosinophilic granuloma in 1997 for which she underwent XRT, prednisone and later left mastoidectomy. She continues on 3 mg of prednisone</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20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20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20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218"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20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93</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20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20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32</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20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20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20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1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1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21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21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214"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Diagnosed following evaluation of chronic abdmoninal pain and subsequent PFTs showing restrictive lung disease. Surgical lung biopsy performed in 2007.</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21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21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21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227"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21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94</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21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21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2</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21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21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21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Bile Duct</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1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2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22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22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N/A </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223"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Diagnosed at age 2 at Texas Children's where he developed PSC in the setting of Langerhan's Cell Histiocytosis. S/p Liver transplant</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22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22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0.9</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22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0.45</w:t>
            </w:r>
          </w:p>
        </w:tc>
      </w:tr>
      <w:tr w:rsidR="002F11C4" w14:paraId="516CD236"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22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95</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22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22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64</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22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22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22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2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Skin. Suspicion for bone (not confirmed)</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2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23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IHC</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23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CD68, CD43, BRAF V600E positive, CD207 (langerin)</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232"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Diagnosed in 2020 where CT showed bilateral lung field involvement. Thoracotomy showed LCH. Pt was treated with prednisone </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23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23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23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245"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23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96</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23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23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32</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23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23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23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3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3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23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IHC</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24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CD1A/S100 positive</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241"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History of Ehlers’s Danlos Syndrome reported unintentional weight loss over course of 6 months and CT showed  opacifications with hilar lymphadenopathy. Underwent treatment with prednisone</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24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24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24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254"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24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lastRenderedPageBreak/>
              <w:t>97</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24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24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44</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24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24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PET/CT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24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4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4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24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24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250"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Dx in 1995 and indicated that she only had pulmonary involvement of disease. Has  only required oxygen. Repeat biopsy of right eye lesion negative for LHX</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25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25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25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263"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25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98</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25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25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47</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25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25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25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Bone (rib)</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5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5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25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IHC</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25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CD1A, CD68</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25F"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Diagnosed in 2018 following initial presentation for chest pain/weight loss however in the setting of lifestyle modification XRT to right 6th rib</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26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26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0.6</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26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0.5</w:t>
            </w:r>
          </w:p>
        </w:tc>
      </w:tr>
      <w:tr w:rsidR="002F11C4" w14:paraId="516CD272"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26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99</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26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26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42</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26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26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26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Bone (6</w:t>
            </w:r>
            <w:r>
              <w:rPr>
                <w:rFonts w:ascii="Times New Roman" w:eastAsia="Times New Roman" w:hAnsi="Times New Roman" w:cs="Times New Roman"/>
                <w:color w:val="000000"/>
                <w:sz w:val="10"/>
                <w:szCs w:val="10"/>
                <w:vertAlign w:val="superscript"/>
              </w:rPr>
              <w:t>th</w:t>
            </w:r>
            <w:r>
              <w:rPr>
                <w:rFonts w:ascii="Times New Roman" w:eastAsia="Times New Roman" w:hAnsi="Times New Roman" w:cs="Times New Roman"/>
                <w:color w:val="000000"/>
                <w:sz w:val="10"/>
                <w:szCs w:val="10"/>
              </w:rPr>
              <w:t xml:space="preserve"> rib)</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6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6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26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26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26E"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Not much information besides patient being diagnosed in 1985 with eosinophilic granuloma of the left rib and that she did not receive/require tx.</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26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Complete Response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27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27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283"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273" w14:textId="77777777" w:rsidR="002F11C4" w:rsidRDefault="002F11C4">
            <w:pPr>
              <w:spacing w:after="0" w:line="240" w:lineRule="auto"/>
              <w:rPr>
                <w:rFonts w:ascii="Times New Roman" w:eastAsia="Times New Roman" w:hAnsi="Times New Roman" w:cs="Times New Roman"/>
                <w:color w:val="000000"/>
                <w:sz w:val="10"/>
                <w:szCs w:val="10"/>
              </w:rPr>
            </w:pPr>
          </w:p>
          <w:p w14:paraId="516CD274" w14:textId="77777777" w:rsidR="002F11C4" w:rsidRDefault="002F11C4">
            <w:pPr>
              <w:rPr>
                <w:rFonts w:ascii="Times New Roman" w:eastAsia="Times New Roman" w:hAnsi="Times New Roman" w:cs="Times New Roman"/>
                <w:color w:val="000000"/>
                <w:sz w:val="10"/>
                <w:szCs w:val="10"/>
              </w:rPr>
            </w:pPr>
          </w:p>
          <w:p w14:paraId="516CD275" w14:textId="77777777" w:rsidR="002F11C4" w:rsidRDefault="007A0B94">
            <w:pPr>
              <w:rPr>
                <w:rFonts w:ascii="Times New Roman" w:eastAsia="Times New Roman" w:hAnsi="Times New Roman" w:cs="Times New Roman"/>
                <w:sz w:val="10"/>
                <w:szCs w:val="10"/>
              </w:rPr>
            </w:pPr>
            <w:r>
              <w:rPr>
                <w:rFonts w:ascii="Times New Roman" w:eastAsia="Times New Roman" w:hAnsi="Times New Roman" w:cs="Times New Roman"/>
                <w:sz w:val="10"/>
                <w:szCs w:val="10"/>
              </w:rPr>
              <w:t>100</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27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27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43</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27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27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27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7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7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27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27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27F"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Initially underwent treatment, unknown which type</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28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28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0.9</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28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0.5</w:t>
            </w:r>
          </w:p>
        </w:tc>
      </w:tr>
      <w:tr w:rsidR="002F11C4" w14:paraId="516CD292"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28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101</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28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28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67</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28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28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PET/CT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28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Bone (rib)</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8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8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28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IHC</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28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CD1a and CD207 Langerin</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28E"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Initially was diagnosed with head/neck cancer,  then noted left rib pain similar to fracture. Biopsy showed LCH. Underwent XRT</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28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29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29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2A2"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29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102</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29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29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45</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29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29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298" w14:textId="77777777" w:rsidR="002F11C4" w:rsidRDefault="002F11C4">
            <w:pPr>
              <w:spacing w:after="0" w:line="240" w:lineRule="auto"/>
              <w:rPr>
                <w:rFonts w:ascii="Times New Roman" w:eastAsia="Times New Roman" w:hAnsi="Times New Roman" w:cs="Times New Roman"/>
                <w:color w:val="000000"/>
                <w:sz w:val="10"/>
                <w:szCs w:val="10"/>
              </w:rPr>
            </w:pPr>
          </w:p>
          <w:p w14:paraId="516CD299" w14:textId="77777777" w:rsidR="002F11C4" w:rsidRDefault="007A0B94">
            <w:pPr>
              <w:rPr>
                <w:rFonts w:ascii="Times New Roman" w:eastAsia="Times New Roman" w:hAnsi="Times New Roman" w:cs="Times New Roman"/>
                <w:sz w:val="10"/>
                <w:szCs w:val="10"/>
              </w:rPr>
            </w:pPr>
            <w:r>
              <w:rPr>
                <w:rFonts w:ascii="Times New Roman" w:eastAsia="Times New Roman" w:hAnsi="Times New Roman" w:cs="Times New Roman"/>
                <w:sz w:val="10"/>
                <w:szCs w:val="10"/>
              </w:rPr>
              <w:t>Skin</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9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Trachea</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9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29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IHC</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29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CD 68/S100 positive</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29E"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6 cycles of 2-CDA therapy</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29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2A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1.8 </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2A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0.7</w:t>
            </w:r>
          </w:p>
        </w:tc>
      </w:tr>
      <w:tr w:rsidR="002F11C4" w14:paraId="516CD2B3"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2A3" w14:textId="77777777" w:rsidR="002F11C4" w:rsidRDefault="002F11C4">
            <w:pPr>
              <w:spacing w:after="0" w:line="240" w:lineRule="auto"/>
              <w:rPr>
                <w:rFonts w:ascii="Times New Roman" w:eastAsia="Times New Roman" w:hAnsi="Times New Roman" w:cs="Times New Roman"/>
                <w:color w:val="000000"/>
                <w:sz w:val="10"/>
                <w:szCs w:val="10"/>
              </w:rPr>
            </w:pPr>
          </w:p>
          <w:p w14:paraId="516CD2A4" w14:textId="77777777" w:rsidR="002F11C4" w:rsidRDefault="002F11C4">
            <w:pPr>
              <w:rPr>
                <w:rFonts w:ascii="Times New Roman" w:eastAsia="Times New Roman" w:hAnsi="Times New Roman" w:cs="Times New Roman"/>
                <w:color w:val="000000"/>
                <w:sz w:val="10"/>
                <w:szCs w:val="10"/>
              </w:rPr>
            </w:pPr>
          </w:p>
          <w:p w14:paraId="516CD2A5" w14:textId="77777777" w:rsidR="002F11C4" w:rsidRDefault="007A0B94">
            <w:pPr>
              <w:rPr>
                <w:rFonts w:ascii="Times New Roman" w:eastAsia="Times New Roman" w:hAnsi="Times New Roman" w:cs="Times New Roman"/>
                <w:sz w:val="10"/>
                <w:szCs w:val="10"/>
              </w:rPr>
            </w:pPr>
            <w:r>
              <w:rPr>
                <w:rFonts w:ascii="Times New Roman" w:eastAsia="Times New Roman" w:hAnsi="Times New Roman" w:cs="Times New Roman"/>
                <w:sz w:val="10"/>
                <w:szCs w:val="10"/>
              </w:rPr>
              <w:t>103</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2A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2A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35</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2A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2A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PET/CT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2A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A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A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2A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2A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2AF"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Prednisone</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2B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2B1" w14:textId="77777777" w:rsidR="002F11C4" w:rsidRDefault="002F11C4">
            <w:pPr>
              <w:spacing w:after="0" w:line="240" w:lineRule="auto"/>
              <w:rPr>
                <w:rFonts w:ascii="Times New Roman" w:eastAsia="Times New Roman" w:hAnsi="Times New Roman" w:cs="Times New Roman"/>
                <w:color w:val="000000"/>
                <w:sz w:val="10"/>
                <w:szCs w:val="10"/>
              </w:rPr>
            </w:pP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2B2" w14:textId="77777777" w:rsidR="002F11C4" w:rsidRDefault="002F11C4">
            <w:pPr>
              <w:spacing w:after="0" w:line="240" w:lineRule="auto"/>
              <w:rPr>
                <w:rFonts w:ascii="Times New Roman" w:eastAsia="Times New Roman" w:hAnsi="Times New Roman" w:cs="Times New Roman"/>
                <w:color w:val="000000"/>
                <w:sz w:val="10"/>
                <w:szCs w:val="10"/>
              </w:rPr>
            </w:pPr>
          </w:p>
        </w:tc>
      </w:tr>
      <w:tr w:rsidR="002F11C4" w14:paraId="516CD2C2"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2B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lastRenderedPageBreak/>
              <w:t>104</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2B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2B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29</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2B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2B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PET/CT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2B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B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B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2B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2B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2BE"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Underwent treatment with prednisone</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2B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2C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2C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2D1"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2C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105</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2C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Male </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2C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84</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2C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2C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2C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Skin</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C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C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2C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IHC, NGS</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2C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S100. CD1A, TREG expressed</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2CD"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Diagnosed by dermatology in 02/2014 which showed positive S100/CD1A. Underwent treatment with prednisone</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2C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2C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2D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2E1"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2D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106</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2D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2D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38</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2D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2D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2D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D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D9" w14:textId="77777777" w:rsidR="002F11C4" w:rsidRDefault="002F11C4">
            <w:pPr>
              <w:spacing w:after="0" w:line="240" w:lineRule="auto"/>
              <w:rPr>
                <w:rFonts w:ascii="Times New Roman" w:eastAsia="Times New Roman" w:hAnsi="Times New Roman" w:cs="Times New Roman"/>
                <w:color w:val="000000"/>
                <w:sz w:val="10"/>
                <w:szCs w:val="10"/>
              </w:rPr>
            </w:pPr>
          </w:p>
          <w:p w14:paraId="516CD2DA" w14:textId="77777777" w:rsidR="002F11C4" w:rsidRDefault="007A0B94">
            <w:pPr>
              <w:rPr>
                <w:rFonts w:ascii="Times New Roman" w:eastAsia="Times New Roman" w:hAnsi="Times New Roman" w:cs="Times New Roman"/>
                <w:sz w:val="10"/>
                <w:szCs w:val="10"/>
              </w:rPr>
            </w:pPr>
            <w:r>
              <w:rPr>
                <w:rFonts w:ascii="Times New Roman" w:eastAsia="Times New Roman" w:hAnsi="Times New Roman" w:cs="Times New Roman"/>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2D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2D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2DD"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Unknown </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2D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2D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2E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0.7</w:t>
            </w:r>
          </w:p>
        </w:tc>
      </w:tr>
      <w:tr w:rsidR="002F11C4" w14:paraId="516CD2F0"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2E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107</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2E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2E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2</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2E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2E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CT </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2E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Bone (temporal) </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E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E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2E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2E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2EC"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Diagnosed in infancy in 1968, underwent left mastoidectomy and continual surveillance with CT head.</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2E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2E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2E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r>
      <w:tr w:rsidR="002F11C4" w14:paraId="516CD2FF"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2F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108</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2F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2F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15</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2F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2F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Skeletal Survey, MRI</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2F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Bone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F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2F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2F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IHC</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2F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CD1A, S100</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2FB"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Vinblastine and prednisone</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2F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2F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0.5</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2F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0.4</w:t>
            </w:r>
          </w:p>
        </w:tc>
      </w:tr>
      <w:tr w:rsidR="002F11C4" w14:paraId="516CD30E"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30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109</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30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30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60</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30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30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30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30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30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30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IHC</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30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CD1A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30A"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Intermittent Prednisone use/lung transplant</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30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Stable Disease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30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0/7</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30D"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0.5</w:t>
            </w:r>
          </w:p>
        </w:tc>
      </w:tr>
      <w:tr w:rsidR="002F11C4" w14:paraId="516CD31D"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30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110</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31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31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66</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31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Yes</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31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CT</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31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31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31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31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318"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319"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Patient was diagnosed in 2010, received prednisone for treatment. Decided to transition to hospice care and passed away comfortably</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31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Progressive Disease</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31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0.7</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31C"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0.5</w:t>
            </w:r>
          </w:p>
        </w:tc>
      </w:tr>
      <w:tr w:rsidR="002F11C4" w14:paraId="516CD32C" w14:textId="77777777">
        <w:trPr>
          <w:trHeight w:val="1815"/>
        </w:trPr>
        <w:tc>
          <w:tcPr>
            <w:tcW w:w="522"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516CD31E"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lastRenderedPageBreak/>
              <w:t>111</w:t>
            </w:r>
          </w:p>
        </w:tc>
        <w:tc>
          <w:tcPr>
            <w:tcW w:w="548" w:type="dxa"/>
            <w:tcBorders>
              <w:top w:val="single" w:sz="4" w:space="0" w:color="000000"/>
              <w:left w:val="nil"/>
              <w:bottom w:val="single" w:sz="4" w:space="0" w:color="000000"/>
              <w:right w:val="single" w:sz="8" w:space="0" w:color="000000"/>
            </w:tcBorders>
            <w:shd w:val="clear" w:color="auto" w:fill="FFFFFF"/>
            <w:vAlign w:val="center"/>
          </w:tcPr>
          <w:p w14:paraId="516CD31F"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Female</w:t>
            </w:r>
          </w:p>
        </w:tc>
        <w:tc>
          <w:tcPr>
            <w:tcW w:w="719" w:type="dxa"/>
            <w:gridSpan w:val="2"/>
            <w:tcBorders>
              <w:top w:val="single" w:sz="4" w:space="0" w:color="000000"/>
              <w:left w:val="nil"/>
              <w:bottom w:val="single" w:sz="4" w:space="0" w:color="000000"/>
              <w:right w:val="single" w:sz="8" w:space="0" w:color="000000"/>
            </w:tcBorders>
            <w:shd w:val="clear" w:color="auto" w:fill="FFFFFF"/>
            <w:vAlign w:val="center"/>
          </w:tcPr>
          <w:p w14:paraId="516CD320"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76</w:t>
            </w:r>
          </w:p>
        </w:tc>
        <w:tc>
          <w:tcPr>
            <w:tcW w:w="611" w:type="dxa"/>
            <w:tcBorders>
              <w:top w:val="single" w:sz="4" w:space="0" w:color="000000"/>
              <w:left w:val="nil"/>
              <w:bottom w:val="single" w:sz="4" w:space="0" w:color="000000"/>
              <w:right w:val="single" w:sz="8" w:space="0" w:color="000000"/>
            </w:tcBorders>
            <w:shd w:val="clear" w:color="auto" w:fill="FFFFFF"/>
            <w:vAlign w:val="center"/>
          </w:tcPr>
          <w:p w14:paraId="516CD321"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650" w:type="dxa"/>
            <w:tcBorders>
              <w:top w:val="single" w:sz="4" w:space="0" w:color="000000"/>
              <w:left w:val="nil"/>
              <w:bottom w:val="single" w:sz="4" w:space="0" w:color="000000"/>
              <w:right w:val="single" w:sz="8" w:space="0" w:color="000000"/>
            </w:tcBorders>
            <w:shd w:val="clear" w:color="auto" w:fill="FFFFFF"/>
            <w:vAlign w:val="center"/>
          </w:tcPr>
          <w:p w14:paraId="516CD322"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630" w:type="dxa"/>
            <w:tcBorders>
              <w:top w:val="single" w:sz="4" w:space="0" w:color="000000"/>
              <w:left w:val="nil"/>
              <w:bottom w:val="single" w:sz="4" w:space="0" w:color="000000"/>
              <w:right w:val="single" w:sz="8" w:space="0" w:color="000000"/>
            </w:tcBorders>
            <w:shd w:val="clear" w:color="auto" w:fill="FFFFFF"/>
            <w:vAlign w:val="center"/>
          </w:tcPr>
          <w:p w14:paraId="516CD323"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Lungs</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324"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720" w:type="dxa"/>
            <w:tcBorders>
              <w:top w:val="single" w:sz="4" w:space="0" w:color="000000"/>
              <w:left w:val="nil"/>
              <w:bottom w:val="single" w:sz="4" w:space="0" w:color="000000"/>
              <w:right w:val="single" w:sz="8" w:space="0" w:color="000000"/>
            </w:tcBorders>
            <w:shd w:val="clear" w:color="auto" w:fill="FFFFFF"/>
            <w:vAlign w:val="center"/>
          </w:tcPr>
          <w:p w14:paraId="516CD325"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None</w:t>
            </w:r>
          </w:p>
        </w:tc>
        <w:tc>
          <w:tcPr>
            <w:tcW w:w="990" w:type="dxa"/>
            <w:tcBorders>
              <w:top w:val="single" w:sz="4" w:space="0" w:color="000000"/>
              <w:left w:val="nil"/>
              <w:bottom w:val="single" w:sz="4" w:space="0" w:color="000000"/>
              <w:right w:val="single" w:sz="8" w:space="0" w:color="000000"/>
            </w:tcBorders>
            <w:shd w:val="clear" w:color="auto" w:fill="FFFFFF"/>
            <w:vAlign w:val="center"/>
          </w:tcPr>
          <w:p w14:paraId="516CD326"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1080" w:type="dxa"/>
            <w:tcBorders>
              <w:top w:val="single" w:sz="4" w:space="0" w:color="000000"/>
              <w:left w:val="nil"/>
              <w:bottom w:val="single" w:sz="4" w:space="0" w:color="000000"/>
              <w:right w:val="single" w:sz="8" w:space="0" w:color="000000"/>
            </w:tcBorders>
            <w:shd w:val="clear" w:color="auto" w:fill="FFFFFF"/>
            <w:vAlign w:val="center"/>
          </w:tcPr>
          <w:p w14:paraId="516CD327"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N/A</w:t>
            </w:r>
          </w:p>
        </w:tc>
        <w:tc>
          <w:tcPr>
            <w:tcW w:w="2160" w:type="dxa"/>
            <w:tcBorders>
              <w:top w:val="single" w:sz="4" w:space="0" w:color="000000"/>
              <w:left w:val="nil"/>
              <w:bottom w:val="single" w:sz="4" w:space="0" w:color="000000"/>
              <w:right w:val="single" w:sz="8" w:space="0" w:color="000000"/>
            </w:tcBorders>
            <w:shd w:val="clear" w:color="auto" w:fill="FFFFFF"/>
            <w:vAlign w:val="center"/>
          </w:tcPr>
          <w:p w14:paraId="516CD328" w14:textId="77777777" w:rsidR="002F11C4" w:rsidRDefault="007A0B94">
            <w:pPr>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Was incidentally noted on HER  however no specific notes dictate how the diagnosis was established</w:t>
            </w:r>
          </w:p>
        </w:tc>
        <w:tc>
          <w:tcPr>
            <w:tcW w:w="641" w:type="dxa"/>
            <w:tcBorders>
              <w:top w:val="single" w:sz="4" w:space="0" w:color="000000"/>
              <w:left w:val="nil"/>
              <w:bottom w:val="single" w:sz="4" w:space="0" w:color="000000"/>
              <w:right w:val="single" w:sz="8" w:space="0" w:color="000000"/>
            </w:tcBorders>
            <w:shd w:val="clear" w:color="auto" w:fill="FFFFFF"/>
            <w:vAlign w:val="center"/>
          </w:tcPr>
          <w:p w14:paraId="516CD329"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Unknown</w:t>
            </w:r>
          </w:p>
        </w:tc>
        <w:tc>
          <w:tcPr>
            <w:tcW w:w="716" w:type="dxa"/>
            <w:tcBorders>
              <w:top w:val="single" w:sz="4" w:space="0" w:color="000000"/>
              <w:left w:val="nil"/>
              <w:bottom w:val="single" w:sz="4" w:space="0" w:color="000000"/>
              <w:right w:val="single" w:sz="8" w:space="0" w:color="000000"/>
            </w:tcBorders>
            <w:shd w:val="clear" w:color="auto" w:fill="FFFFFF"/>
            <w:vAlign w:val="center"/>
          </w:tcPr>
          <w:p w14:paraId="516CD32A"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0.9 </w:t>
            </w:r>
          </w:p>
        </w:tc>
        <w:tc>
          <w:tcPr>
            <w:tcW w:w="750" w:type="dxa"/>
            <w:tcBorders>
              <w:top w:val="single" w:sz="4" w:space="0" w:color="000000"/>
              <w:left w:val="nil"/>
              <w:bottom w:val="single" w:sz="4" w:space="0" w:color="000000"/>
              <w:right w:val="single" w:sz="8" w:space="0" w:color="000000"/>
            </w:tcBorders>
            <w:shd w:val="clear" w:color="auto" w:fill="FFFFFF"/>
            <w:vAlign w:val="center"/>
          </w:tcPr>
          <w:p w14:paraId="516CD32B" w14:textId="77777777" w:rsidR="002F11C4" w:rsidRDefault="007A0B94">
            <w:pPr>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10"/>
                <w:szCs w:val="10"/>
              </w:rPr>
              <w:t xml:space="preserve">N/A </w:t>
            </w:r>
          </w:p>
        </w:tc>
      </w:tr>
    </w:tbl>
    <w:p w14:paraId="516CD32D" w14:textId="77777777" w:rsidR="002F11C4" w:rsidRDefault="002F11C4">
      <w:pPr>
        <w:rPr>
          <w:rFonts w:ascii="Times New Roman" w:eastAsia="Times New Roman" w:hAnsi="Times New Roman" w:cs="Times New Roman"/>
          <w:b/>
          <w:sz w:val="20"/>
          <w:szCs w:val="20"/>
        </w:rPr>
      </w:pPr>
    </w:p>
    <w:p w14:paraId="516CD32E" w14:textId="77777777" w:rsidR="002F11C4" w:rsidRDefault="007A0B94">
      <w:pPr>
        <w:jc w:val="center"/>
        <w:rPr>
          <w:sz w:val="20"/>
          <w:szCs w:val="20"/>
        </w:rPr>
      </w:pPr>
      <w:r>
        <w:rPr>
          <w:b/>
          <w:sz w:val="20"/>
          <w:szCs w:val="20"/>
        </w:rPr>
        <w:t xml:space="preserve">Table 1:  </w:t>
      </w:r>
      <w:r>
        <w:rPr>
          <w:sz w:val="20"/>
          <w:szCs w:val="20"/>
        </w:rPr>
        <w:t>Consolidated demographic, diagnostic, treatment and response assessment data for patients with Langerhans Cell Histiocytosis (LCH) examined and referenced within this study. Please note that, to allow for visibility, not every data point collected was included herein but is referenced in the body of the text.</w:t>
      </w:r>
    </w:p>
    <w:p w14:paraId="516CD353" w14:textId="0A0EB309" w:rsidR="002F11C4" w:rsidRDefault="002F11C4" w:rsidP="00C14295">
      <w:pPr>
        <w:pStyle w:val="Heading1"/>
      </w:pPr>
    </w:p>
    <w:p w14:paraId="516CD354" w14:textId="77777777" w:rsidR="002F11C4" w:rsidRDefault="002F11C4">
      <w:pPr>
        <w:rPr>
          <w:b/>
        </w:rPr>
      </w:pPr>
    </w:p>
    <w:sectPr w:rsidR="002F11C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1C4"/>
    <w:rsid w:val="00013F64"/>
    <w:rsid w:val="00061FD0"/>
    <w:rsid w:val="00075306"/>
    <w:rsid w:val="00082AB8"/>
    <w:rsid w:val="00103F30"/>
    <w:rsid w:val="001516B0"/>
    <w:rsid w:val="001C514A"/>
    <w:rsid w:val="001D2B04"/>
    <w:rsid w:val="00232862"/>
    <w:rsid w:val="00262D6B"/>
    <w:rsid w:val="002907D1"/>
    <w:rsid w:val="002F0013"/>
    <w:rsid w:val="002F11C4"/>
    <w:rsid w:val="0033327F"/>
    <w:rsid w:val="00403C0E"/>
    <w:rsid w:val="00410A83"/>
    <w:rsid w:val="00453301"/>
    <w:rsid w:val="00465506"/>
    <w:rsid w:val="004E3948"/>
    <w:rsid w:val="00600409"/>
    <w:rsid w:val="00657426"/>
    <w:rsid w:val="006D2569"/>
    <w:rsid w:val="00790F75"/>
    <w:rsid w:val="007A0B94"/>
    <w:rsid w:val="007D753A"/>
    <w:rsid w:val="008145C6"/>
    <w:rsid w:val="008150BA"/>
    <w:rsid w:val="008C4EE3"/>
    <w:rsid w:val="008D6C62"/>
    <w:rsid w:val="008D7853"/>
    <w:rsid w:val="008F61E0"/>
    <w:rsid w:val="009134C9"/>
    <w:rsid w:val="00940DC9"/>
    <w:rsid w:val="009C14E0"/>
    <w:rsid w:val="00A0256D"/>
    <w:rsid w:val="00A25A78"/>
    <w:rsid w:val="00A92272"/>
    <w:rsid w:val="00AB6863"/>
    <w:rsid w:val="00B0495F"/>
    <w:rsid w:val="00BB1BD9"/>
    <w:rsid w:val="00BC6626"/>
    <w:rsid w:val="00C14295"/>
    <w:rsid w:val="00C15577"/>
    <w:rsid w:val="00CA6E1A"/>
    <w:rsid w:val="00CD5F94"/>
    <w:rsid w:val="00D42837"/>
    <w:rsid w:val="00D57A14"/>
    <w:rsid w:val="00E3477F"/>
    <w:rsid w:val="00E74EF6"/>
    <w:rsid w:val="00EE6B37"/>
    <w:rsid w:val="00F37B9F"/>
    <w:rsid w:val="00F413D0"/>
    <w:rsid w:val="00F44DBC"/>
    <w:rsid w:val="00F45F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CCE39"/>
  <w15:docId w15:val="{3F105805-4D9B-4921-A52B-215B15E83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8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Revision">
    <w:name w:val="Revision"/>
    <w:hidden/>
    <w:uiPriority w:val="99"/>
    <w:semiHidden/>
    <w:rsid w:val="00C10EB8"/>
    <w:pPr>
      <w:spacing w:after="0" w:line="240" w:lineRule="auto"/>
    </w:pPr>
  </w:style>
  <w:style w:type="character" w:styleId="CommentReference">
    <w:name w:val="annotation reference"/>
    <w:basedOn w:val="DefaultParagraphFont"/>
    <w:uiPriority w:val="99"/>
    <w:semiHidden/>
    <w:unhideWhenUsed/>
    <w:rsid w:val="00644BCC"/>
    <w:rPr>
      <w:sz w:val="16"/>
      <w:szCs w:val="16"/>
    </w:rPr>
  </w:style>
  <w:style w:type="paragraph" w:styleId="CommentText">
    <w:name w:val="annotation text"/>
    <w:basedOn w:val="Normal"/>
    <w:link w:val="CommentTextChar"/>
    <w:uiPriority w:val="99"/>
    <w:unhideWhenUsed/>
    <w:rsid w:val="00644BCC"/>
    <w:pPr>
      <w:spacing w:line="240" w:lineRule="auto"/>
    </w:pPr>
    <w:rPr>
      <w:sz w:val="20"/>
      <w:szCs w:val="20"/>
    </w:rPr>
  </w:style>
  <w:style w:type="character" w:customStyle="1" w:styleId="CommentTextChar">
    <w:name w:val="Comment Text Char"/>
    <w:basedOn w:val="DefaultParagraphFont"/>
    <w:link w:val="CommentText"/>
    <w:uiPriority w:val="99"/>
    <w:rsid w:val="00644BCC"/>
    <w:rPr>
      <w:sz w:val="20"/>
      <w:szCs w:val="20"/>
    </w:rPr>
  </w:style>
  <w:style w:type="paragraph" w:styleId="CommentSubject">
    <w:name w:val="annotation subject"/>
    <w:basedOn w:val="CommentText"/>
    <w:next w:val="CommentText"/>
    <w:link w:val="CommentSubjectChar"/>
    <w:uiPriority w:val="99"/>
    <w:semiHidden/>
    <w:unhideWhenUsed/>
    <w:rsid w:val="00644BCC"/>
    <w:rPr>
      <w:b/>
      <w:bCs/>
    </w:rPr>
  </w:style>
  <w:style w:type="character" w:customStyle="1" w:styleId="CommentSubjectChar">
    <w:name w:val="Comment Subject Char"/>
    <w:basedOn w:val="CommentTextChar"/>
    <w:link w:val="CommentSubject"/>
    <w:uiPriority w:val="99"/>
    <w:semiHidden/>
    <w:rsid w:val="00644BCC"/>
    <w:rPr>
      <w:b/>
      <w:bCs/>
      <w:sz w:val="20"/>
      <w:szCs w:val="20"/>
    </w:rPr>
  </w:style>
  <w:style w:type="paragraph" w:styleId="BalloonText">
    <w:name w:val="Balloon Text"/>
    <w:basedOn w:val="Normal"/>
    <w:link w:val="BalloonTextChar"/>
    <w:uiPriority w:val="99"/>
    <w:semiHidden/>
    <w:unhideWhenUsed/>
    <w:rsid w:val="00D058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8C6"/>
    <w:rPr>
      <w:rFonts w:ascii="Segoe UI" w:hAnsi="Segoe UI" w:cs="Segoe UI"/>
      <w:sz w:val="18"/>
      <w:szCs w:val="18"/>
    </w:rPr>
  </w:style>
  <w:style w:type="paragraph" w:styleId="EndnoteText">
    <w:name w:val="endnote text"/>
    <w:basedOn w:val="Normal"/>
    <w:link w:val="EndnoteTextChar"/>
    <w:uiPriority w:val="99"/>
    <w:semiHidden/>
    <w:unhideWhenUsed/>
    <w:rsid w:val="006448D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448D5"/>
    <w:rPr>
      <w:sz w:val="20"/>
      <w:szCs w:val="20"/>
    </w:rPr>
  </w:style>
  <w:style w:type="character" w:styleId="EndnoteReference">
    <w:name w:val="endnote reference"/>
    <w:basedOn w:val="DefaultParagraphFont"/>
    <w:uiPriority w:val="99"/>
    <w:semiHidden/>
    <w:unhideWhenUsed/>
    <w:rsid w:val="006448D5"/>
    <w:rPr>
      <w:vertAlign w:val="superscript"/>
    </w:rPr>
  </w:style>
  <w:style w:type="character" w:customStyle="1" w:styleId="Heading1Char">
    <w:name w:val="Heading 1 Char"/>
    <w:basedOn w:val="DefaultParagraphFont"/>
    <w:link w:val="Heading1"/>
    <w:uiPriority w:val="9"/>
    <w:rsid w:val="006448D5"/>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448D5"/>
    <w:rPr>
      <w:color w:val="0563C1" w:themeColor="hyperlink"/>
      <w:u w:val="single"/>
    </w:rPr>
  </w:style>
  <w:style w:type="character" w:styleId="UnresolvedMention">
    <w:name w:val="Unresolved Mention"/>
    <w:basedOn w:val="DefaultParagraphFont"/>
    <w:uiPriority w:val="99"/>
    <w:semiHidden/>
    <w:unhideWhenUsed/>
    <w:rsid w:val="006448D5"/>
    <w:rPr>
      <w:color w:val="605E5C"/>
      <w:shd w:val="clear" w:color="auto" w:fill="E1DFDD"/>
    </w:rPr>
  </w:style>
  <w:style w:type="character" w:customStyle="1" w:styleId="al-author-delim">
    <w:name w:val="al-author-delim"/>
    <w:basedOn w:val="DefaultParagraphFont"/>
    <w:rsid w:val="003428C8"/>
  </w:style>
  <w:style w:type="character" w:styleId="Emphasis">
    <w:name w:val="Emphasis"/>
    <w:basedOn w:val="DefaultParagraphFont"/>
    <w:uiPriority w:val="20"/>
    <w:qFormat/>
    <w:rsid w:val="003428C8"/>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26948">
      <w:bodyDiv w:val="1"/>
      <w:marLeft w:val="0"/>
      <w:marRight w:val="0"/>
      <w:marTop w:val="0"/>
      <w:marBottom w:val="0"/>
      <w:divBdr>
        <w:top w:val="none" w:sz="0" w:space="0" w:color="auto"/>
        <w:left w:val="none" w:sz="0" w:space="0" w:color="auto"/>
        <w:bottom w:val="none" w:sz="0" w:space="0" w:color="auto"/>
        <w:right w:val="none" w:sz="0" w:space="0" w:color="auto"/>
      </w:divBdr>
      <w:divsChild>
        <w:div w:id="315308883">
          <w:blockQuote w:val="1"/>
          <w:marLeft w:val="150"/>
          <w:marRight w:val="150"/>
          <w:marTop w:val="0"/>
          <w:marBottom w:val="0"/>
          <w:divBdr>
            <w:top w:val="none" w:sz="0" w:space="0" w:color="auto"/>
            <w:left w:val="none" w:sz="0" w:space="0" w:color="auto"/>
            <w:bottom w:val="none" w:sz="0" w:space="0" w:color="auto"/>
            <w:right w:val="none" w:sz="0" w:space="0" w:color="auto"/>
          </w:divBdr>
          <w:divsChild>
            <w:div w:id="947927194">
              <w:marLeft w:val="0"/>
              <w:marRight w:val="0"/>
              <w:marTop w:val="0"/>
              <w:marBottom w:val="0"/>
              <w:divBdr>
                <w:top w:val="none" w:sz="0" w:space="0" w:color="auto"/>
                <w:left w:val="none" w:sz="0" w:space="0" w:color="auto"/>
                <w:bottom w:val="none" w:sz="0" w:space="0" w:color="auto"/>
                <w:right w:val="none" w:sz="0" w:space="0" w:color="auto"/>
              </w:divBdr>
              <w:divsChild>
                <w:div w:id="1838688654">
                  <w:marLeft w:val="0"/>
                  <w:marRight w:val="0"/>
                  <w:marTop w:val="0"/>
                  <w:marBottom w:val="0"/>
                  <w:divBdr>
                    <w:top w:val="none" w:sz="0" w:space="0" w:color="auto"/>
                    <w:left w:val="none" w:sz="0" w:space="0" w:color="auto"/>
                    <w:bottom w:val="none" w:sz="0" w:space="0" w:color="auto"/>
                    <w:right w:val="none" w:sz="0" w:space="0" w:color="auto"/>
                  </w:divBdr>
                  <w:divsChild>
                    <w:div w:id="1004091562">
                      <w:marLeft w:val="0"/>
                      <w:marRight w:val="0"/>
                      <w:marTop w:val="0"/>
                      <w:marBottom w:val="0"/>
                      <w:divBdr>
                        <w:top w:val="none" w:sz="0" w:space="0" w:color="auto"/>
                        <w:left w:val="none" w:sz="0" w:space="0" w:color="auto"/>
                        <w:bottom w:val="none" w:sz="0" w:space="0" w:color="auto"/>
                        <w:right w:val="none" w:sz="0" w:space="0" w:color="auto"/>
                      </w:divBdr>
                      <w:divsChild>
                        <w:div w:id="45456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pLZBElBLgiXtCEDjJU2VwCglxQ==">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</go:docsCustomData>
</go:gDocsCustomXmlDataStorage>
</file>

<file path=customXml/itemProps1.xml><?xml version="1.0" encoding="utf-8"?>
<ds:datastoreItem xmlns:ds="http://schemas.openxmlformats.org/officeDocument/2006/customXml" ds:itemID="{848BF8B6-4EEA-4CE9-87C2-A75BE728FFE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3366</Words>
  <Characters>19191</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Michigan Medicine</Company>
  <LinksUpToDate>false</LinksUpToDate>
  <CharactersWithSpaces>22512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 Haadi</dc:creator>
  <cp:lastModifiedBy>Poonam Mutha</cp:lastModifiedBy>
  <cp:revision>3</cp:revision>
  <dcterms:created xsi:type="dcterms:W3CDTF">2024-03-25T13:29:00Z</dcterms:created>
  <dcterms:modified xsi:type="dcterms:W3CDTF">2024-04-04T13:19:00Z</dcterms:modified>
</cp:coreProperties>
</file>