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35E6A8" w14:textId="1E5093CD" w:rsidR="0051214C" w:rsidRDefault="0051214C" w:rsidP="0051214C">
      <w:pPr>
        <w:spacing w:line="480" w:lineRule="auto"/>
      </w:pPr>
      <w:r w:rsidRPr="00693373">
        <w:rPr>
          <w:color w:val="000000"/>
          <w:lang w:val="en-US"/>
        </w:rPr>
        <w:t>Table 1. QTL results for each subtrait and whorl. “inner” &amp; “outer” refer to the staminode whorls. Abbreviations: chr, chromosome; 1.5 LOD int, 1.5 LOD interval; PVE, Percent Variance Explained. Additive effects are in terms of the ‘Origami’ allele</w:t>
      </w:r>
      <w:r>
        <w:rPr>
          <w:rFonts w:eastAsia="Times New Roman"/>
          <w:noProof/>
        </w:rPr>
        <w:drawing>
          <wp:inline distT="0" distB="0" distL="0" distR="0" wp14:anchorId="0349B2D8" wp14:editId="3D5EC7DC">
            <wp:extent cx="5943600" cy="3343275"/>
            <wp:effectExtent l="0" t="0" r="0" b="0"/>
            <wp:docPr id="101671293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6712935" name="Picture 101671293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121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14C"/>
    <w:rsid w:val="00512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65581"/>
  <w15:chartTrackingRefBased/>
  <w15:docId w15:val="{D0348B9A-21D7-4948-AEC7-DAF7A2A93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214C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213</Characters>
  <Application>Microsoft Office Word</Application>
  <DocSecurity>0</DocSecurity>
  <Lines>1</Lines>
  <Paragraphs>1</Paragraphs>
  <ScaleCrop>false</ScaleCrop>
  <Company>Springer Nature</Company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2024-03-25T17:55:00Z</dcterms:created>
  <dcterms:modified xsi:type="dcterms:W3CDTF">2024-03-25T17:55:00Z</dcterms:modified>
</cp:coreProperties>
</file>