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70E63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Extended Data</w:t>
      </w:r>
    </w:p>
    <w:p w14:paraId="4A7FABA7" w14:textId="1BE71EA6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185A50AF" wp14:editId="52D25388">
            <wp:extent cx="3044825" cy="3070860"/>
            <wp:effectExtent l="0" t="0" r="3175" b="0"/>
            <wp:docPr id="837224302" name="Picture 4" descr="A close-up of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224302" name="Picture 4" descr="A close-up of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01" t="31979" r="61116" b="446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90EA5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3D6B0F">
        <w:rPr>
          <w:rFonts w:ascii="Arial" w:hAnsi="Arial" w:cs="Arial"/>
          <w:b/>
          <w:bCs/>
        </w:rPr>
        <w:t xml:space="preserve">Extended Data Figure 1: The reaction of NO with TET2 does not form a mononitrosyl. </w:t>
      </w:r>
      <w:r w:rsidRPr="003D6B0F">
        <w:rPr>
          <w:rFonts w:ascii="Arial" w:eastAsia="Calibri" w:hAnsi="Arial" w:cs="Arial"/>
          <w:color w:val="000000"/>
          <w:kern w:val="24"/>
        </w:rPr>
        <w:t xml:space="preserve">Representative X-Band (T = 8K) EPR spectra of full length TET2 protein treated with Sper/NO (100 </w:t>
      </w:r>
      <w:r w:rsidRPr="003D6B0F">
        <w:rPr>
          <w:rFonts w:ascii="Symbol" w:eastAsia="Calibri" w:hAnsi="Symbol" w:cs="Arial"/>
          <w:color w:val="000000"/>
          <w:kern w:val="24"/>
        </w:rPr>
        <w:t></w:t>
      </w:r>
      <w:r w:rsidRPr="003D6B0F">
        <w:rPr>
          <w:rFonts w:ascii="Arial" w:eastAsia="Calibri" w:hAnsi="Arial" w:cs="Arial"/>
          <w:color w:val="000000"/>
          <w:kern w:val="24"/>
        </w:rPr>
        <w:t>M) and all substrates and cofactors for 1 min (red line) and 20 min (black line). Control reaction (blue line) is the complete reaction without TET2 after 20 min,</w:t>
      </w:r>
      <w:r w:rsidRPr="003D6B0F">
        <w:rPr>
          <w:rFonts w:ascii="Arial" w:eastAsia="Arial" w:hAnsi="Arial" w:cs="Arial"/>
          <w:color w:val="000000"/>
          <w:kern w:val="24"/>
        </w:rPr>
        <w:t xml:space="preserve"> n=3</w:t>
      </w:r>
      <w:r w:rsidRPr="003D6B0F">
        <w:rPr>
          <w:rFonts w:ascii="Arial" w:eastAsia="Calibri" w:hAnsi="Arial" w:cs="Arial"/>
          <w:color w:val="000000"/>
          <w:kern w:val="24"/>
        </w:rPr>
        <w:t>. Spectrum is indicative of a non-Heme NO-bound DNIC.</w:t>
      </w:r>
    </w:p>
    <w:p w14:paraId="6DE395C6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EF5B1DC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2B5122C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787063D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2072D59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8638B57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DE58AE8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A0EBB54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2353F35" w14:textId="6ED6F0DB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BD60092" wp14:editId="22272565">
            <wp:extent cx="4252595" cy="4347845"/>
            <wp:effectExtent l="0" t="0" r="0" b="0"/>
            <wp:docPr id="15865469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30" t="16731" r="24907" b="21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2595" cy="434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6CF35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908274F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8D8A957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</w:rPr>
      </w:pPr>
      <w:r w:rsidRPr="003D6B0F">
        <w:rPr>
          <w:rFonts w:ascii="Arial" w:hAnsi="Arial" w:cs="Arial"/>
          <w:b/>
          <w:bCs/>
        </w:rPr>
        <w:t>Extended Data Figure 2: NO-mediated increases in 5mC are negatively associated with gene expression in TNBC cells globally</w:t>
      </w:r>
      <w:r w:rsidRPr="003D6B0F">
        <w:rPr>
          <w:rFonts w:ascii="Arial" w:hAnsi="Arial" w:cs="Arial"/>
        </w:rPr>
        <w:t xml:space="preserve">. For both control and NO treatment groups there was a clear negative correlation between </w:t>
      </w:r>
      <w:r w:rsidRPr="003D6B0F">
        <w:rPr>
          <w:rFonts w:ascii="Symbol" w:hAnsi="Symbol" w:cs="Arial"/>
        </w:rPr>
        <w:t></w:t>
      </w:r>
      <w:r w:rsidRPr="003D6B0F">
        <w:rPr>
          <w:rFonts w:ascii="Arial" w:hAnsi="Arial" w:cs="Arial"/>
        </w:rPr>
        <w:t>-value (5mC) and gene expression (expressed as TMM (trimmed mean of M-values) normalized CPM (counts per million) reads) in both cell types.</w:t>
      </w:r>
    </w:p>
    <w:p w14:paraId="4AE52574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</w:rPr>
      </w:pPr>
    </w:p>
    <w:p w14:paraId="53DAAB7B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6F16D72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7006722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5817072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1C3B13D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B73333F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D81D9AB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988508A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D866253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776D9BA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58B8AA9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5536A49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C2133C8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0CC6184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BC5C0F9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C88D6E4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8A8C43E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D7D4914" w14:textId="1E5854CD" w:rsidR="00AC58D0" w:rsidRDefault="00AC58D0" w:rsidP="00AC58D0">
      <w:pPr>
        <w:tabs>
          <w:tab w:val="left" w:pos="653"/>
        </w:tabs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ab/>
      </w:r>
      <w:r>
        <w:rPr>
          <w:rFonts w:ascii="Arial" w:hAnsi="Arial" w:cs="Arial"/>
          <w:b/>
          <w:bCs/>
          <w:noProof/>
        </w:rPr>
        <w:drawing>
          <wp:inline distT="0" distB="0" distL="0" distR="0" wp14:anchorId="3BE0C751" wp14:editId="4033E6B9">
            <wp:extent cx="5943600" cy="3937635"/>
            <wp:effectExtent l="0" t="0" r="0" b="5715"/>
            <wp:docPr id="1097412325" name="Picture 2" descr="A close-up of a li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412325" name="Picture 2" descr="A close-up of a li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85" t="18938" r="9676" b="25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953D6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5C23532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</w:rPr>
      </w:pPr>
      <w:r w:rsidRPr="003D6B0F">
        <w:rPr>
          <w:rFonts w:ascii="Arial" w:hAnsi="Arial" w:cs="Arial"/>
          <w:b/>
          <w:bCs/>
        </w:rPr>
        <w:t xml:space="preserve">Extended Data Table 1: </w:t>
      </w:r>
      <w:r w:rsidRPr="003D6B0F">
        <w:rPr>
          <w:rFonts w:ascii="Arial" w:hAnsi="Arial" w:cs="Arial"/>
        </w:rPr>
        <w:t>Gene Set Enrichment Analysis (GSEA) of the 90 differentially expressed genes common to both cell types (|log2FC|&gt;1, FDR &lt; 0.05). KEGG pathways with FDR &lt; 0.05 are shown for 231 and 468 cells.</w:t>
      </w:r>
    </w:p>
    <w:p w14:paraId="667FB40D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C2B3E59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203BE31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4A419D1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67F53B9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DBBB028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461C11A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539E2BB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8BBE312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B02F9CA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C358276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BDADF08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6AAFA8A" w14:textId="0C003FD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394B45F1" wp14:editId="4D7C9A2F">
            <wp:extent cx="5934710" cy="7401560"/>
            <wp:effectExtent l="0" t="0" r="8890" b="8890"/>
            <wp:docPr id="1843785422" name="Picture 1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85422" name="Picture 1" descr="A close-up of a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0" t="1973" r="21188" b="7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740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A68A8" w14:textId="77777777" w:rsidR="00AC58D0" w:rsidRDefault="00AC58D0" w:rsidP="00AC58D0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F6DDDC8" w14:textId="77777777" w:rsidR="00AC58D0" w:rsidRPr="003D6B0F" w:rsidRDefault="00AC58D0" w:rsidP="00AC58D0">
      <w:pPr>
        <w:spacing w:after="0" w:line="240" w:lineRule="auto"/>
        <w:jc w:val="both"/>
        <w:rPr>
          <w:rFonts w:ascii="Arial" w:hAnsi="Arial" w:cs="Arial"/>
        </w:rPr>
      </w:pPr>
      <w:r w:rsidRPr="003D6B0F">
        <w:rPr>
          <w:rFonts w:ascii="Arial" w:hAnsi="Arial" w:cs="Arial"/>
          <w:b/>
          <w:bCs/>
        </w:rPr>
        <w:t xml:space="preserve">Extended Table 2 &amp; 3: NO-regulated genes and their association with changes in methylation (5mC/5hmC) at specific genomic loci. </w:t>
      </w:r>
      <w:r w:rsidRPr="003D6B0F">
        <w:rPr>
          <w:rFonts w:ascii="Symbol" w:hAnsi="Symbol" w:cs="Arial"/>
        </w:rPr>
        <w:t>b</w:t>
      </w:r>
      <w:r w:rsidRPr="003D6B0F">
        <w:rPr>
          <w:rFonts w:ascii="Arial" w:hAnsi="Arial" w:cs="Arial"/>
          <w:b/>
          <w:bCs/>
        </w:rPr>
        <w:t>-</w:t>
      </w:r>
      <w:r w:rsidRPr="003D6B0F">
        <w:rPr>
          <w:rFonts w:ascii="Arial" w:hAnsi="Arial" w:cs="Arial"/>
        </w:rPr>
        <w:t xml:space="preserve">values (5mC or 5hmC) at gene-regulatory loci (as determined by RnBeads) are paired with the expression changes in their associated genes in MDA-MB-231 and MDA-MB-468 cells. </w:t>
      </w:r>
    </w:p>
    <w:p w14:paraId="5DB89F4F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D0"/>
    <w:rsid w:val="001C76BA"/>
    <w:rsid w:val="00AC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58924"/>
  <w15:chartTrackingRefBased/>
  <w15:docId w15:val="{A5CD50C4-2B05-4548-8110-19834E8D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8D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200</Words>
  <Characters>1140</Characters>
  <Application>Microsoft Office Word</Application>
  <DocSecurity>0</DocSecurity>
  <Lines>9</Lines>
  <Paragraphs>2</Paragraphs>
  <ScaleCrop>false</ScaleCrop>
  <Company>SpringerNature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2024-04-03T06:05:00Z</dcterms:created>
  <dcterms:modified xsi:type="dcterms:W3CDTF">2024-04-03T06:06:00Z</dcterms:modified>
</cp:coreProperties>
</file>