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D0155" w:rsidRPr="00BC1381" w:rsidRDefault="006D0155" w:rsidP="006D0155">
      <w:pPr>
        <w:pStyle w:val="Corpsdetexte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1381">
        <w:rPr>
          <w:rFonts w:ascii="Times New Roman" w:hAnsi="Times New Roman" w:cs="Times New Roman" w:hint="cs"/>
          <w:b/>
          <w:bCs/>
          <w:color w:val="000000"/>
          <w:sz w:val="28"/>
          <w:szCs w:val="28"/>
        </w:rPr>
        <w:t xml:space="preserve">Figure S1. </w:t>
      </w:r>
      <w:r w:rsidRPr="00BC1381">
        <w:rPr>
          <w:rFonts w:ascii="Times New Roman" w:hAnsi="Times New Roman" w:cs="Times New Roman" w:hint="cs"/>
          <w:b/>
          <w:bCs/>
          <w:i/>
          <w:iCs/>
          <w:color w:val="000000"/>
          <w:sz w:val="28"/>
          <w:szCs w:val="28"/>
        </w:rPr>
        <w:t>RHOH</w:t>
      </w:r>
      <w:r w:rsidRPr="00BC1381">
        <w:rPr>
          <w:rFonts w:ascii="Times New Roman" w:hAnsi="Times New Roman" w:cs="Times New Roman" w:hint="cs"/>
          <w:b/>
          <w:bCs/>
          <w:color w:val="000000"/>
          <w:sz w:val="28"/>
          <w:szCs w:val="28"/>
        </w:rPr>
        <w:t xml:space="preserve"> P1, P2,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and </w:t>
      </w:r>
      <w:r w:rsidRPr="00BC1381">
        <w:rPr>
          <w:rFonts w:ascii="Times New Roman" w:hAnsi="Times New Roman" w:cs="Times New Roman" w:hint="cs"/>
          <w:b/>
          <w:bCs/>
          <w:color w:val="000000"/>
          <w:sz w:val="28"/>
          <w:szCs w:val="28"/>
        </w:rPr>
        <w:t>P3 promoter activities in normal B- and T cells</w:t>
      </w:r>
    </w:p>
    <w:p w:rsidR="006D0155" w:rsidRPr="00BC1381" w:rsidRDefault="006D0155" w:rsidP="006D0155">
      <w:pPr>
        <w:jc w:val="both"/>
        <w:rPr>
          <w:rFonts w:ascii="Times New Roman" w:hAnsi="Times New Roman" w:cs="Times New Roman"/>
          <w:sz w:val="28"/>
          <w:szCs w:val="28"/>
        </w:rPr>
      </w:pPr>
      <w:r w:rsidRPr="00BC1381">
        <w:rPr>
          <w:rFonts w:ascii="Times New Roman" w:hAnsi="Times New Roman" w:cs="Times New Roman" w:hint="cs"/>
          <w:sz w:val="28"/>
          <w:szCs w:val="28"/>
        </w:rPr>
        <w:t xml:space="preserve">Quantitative </w:t>
      </w:r>
      <w:r>
        <w:rPr>
          <w:rFonts w:ascii="Times New Roman" w:eastAsia="Times New Roman" w:hAnsi="Times New Roman" w:cs="Times New Roman"/>
          <w:sz w:val="28"/>
          <w:szCs w:val="28"/>
        </w:rPr>
        <w:t>RT‒PCR</w:t>
      </w:r>
      <w:r w:rsidRPr="00BC1381">
        <w:rPr>
          <w:rFonts w:ascii="Times New Roman" w:hAnsi="Times New Roman" w:cs="Times New Roman" w:hint="cs"/>
          <w:sz w:val="28"/>
          <w:szCs w:val="28"/>
        </w:rPr>
        <w:t xml:space="preserve"> studies using </w:t>
      </w:r>
      <w:r w:rsidRPr="00BC1381">
        <w:rPr>
          <w:rFonts w:ascii="Times New Roman" w:hAnsi="Times New Roman" w:cs="Times New Roman" w:hint="cs"/>
          <w:color w:val="000000"/>
          <w:sz w:val="28"/>
          <w:szCs w:val="28"/>
        </w:rPr>
        <w:t>SYBR Green and real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C1381">
        <w:rPr>
          <w:rFonts w:ascii="Times New Roman" w:hAnsi="Times New Roman" w:cs="Times New Roman" w:hint="cs"/>
          <w:color w:val="000000"/>
          <w:sz w:val="28"/>
          <w:szCs w:val="28"/>
        </w:rPr>
        <w:t xml:space="preserve">time PCR (see 29 for method description and PCR primer sequences) allowed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us </w:t>
      </w:r>
      <w:r w:rsidRPr="00BC1381">
        <w:rPr>
          <w:rFonts w:ascii="Times New Roman" w:hAnsi="Times New Roman" w:cs="Times New Roman" w:hint="cs"/>
          <w:color w:val="000000"/>
          <w:sz w:val="28"/>
          <w:szCs w:val="28"/>
        </w:rPr>
        <w:t xml:space="preserve">to analyze the activity of the 3 </w:t>
      </w:r>
      <w:r w:rsidRPr="00BC1381">
        <w:rPr>
          <w:rFonts w:ascii="Times New Roman" w:hAnsi="Times New Roman" w:cs="Times New Roman" w:hint="cs"/>
          <w:i/>
          <w:iCs/>
          <w:color w:val="000000"/>
          <w:sz w:val="28"/>
          <w:szCs w:val="28"/>
        </w:rPr>
        <w:t>RHOH</w:t>
      </w:r>
      <w:r w:rsidRPr="00BC1381">
        <w:rPr>
          <w:rFonts w:ascii="Times New Roman" w:hAnsi="Times New Roman" w:cs="Times New Roman" w:hint="cs"/>
          <w:color w:val="000000"/>
          <w:sz w:val="28"/>
          <w:szCs w:val="28"/>
        </w:rPr>
        <w:t xml:space="preserve"> gene promoters (P1, P2 and P3, located upstream of exons 1, 2 and 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respectively</w:t>
      </w:r>
      <w:r w:rsidRPr="00BC1381">
        <w:rPr>
          <w:rFonts w:ascii="Times New Roman" w:hAnsi="Times New Roman" w:cs="Times New Roman" w:hint="cs"/>
          <w:color w:val="000000"/>
          <w:sz w:val="28"/>
          <w:szCs w:val="28"/>
        </w:rPr>
        <w:t xml:space="preserve">) in 6 T-cell and 7 B-cell samples derived from normal patients.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Sample</w:t>
      </w:r>
      <w:r w:rsidRPr="00BC1381">
        <w:rPr>
          <w:rFonts w:ascii="Times New Roman" w:hAnsi="Times New Roman" w:cs="Times New Roman" w:hint="cs"/>
          <w:color w:val="000000"/>
          <w:sz w:val="28"/>
          <w:szCs w:val="28"/>
        </w:rPr>
        <w:t xml:space="preserve"> preparation was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performed as </w:t>
      </w:r>
      <w:r w:rsidRPr="00BC1381">
        <w:rPr>
          <w:rFonts w:ascii="Times New Roman" w:hAnsi="Times New Roman" w:cs="Times New Roman" w:hint="cs"/>
          <w:color w:val="000000"/>
          <w:sz w:val="28"/>
          <w:szCs w:val="28"/>
        </w:rPr>
        <w:t>described in (17) for 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C1381">
        <w:rPr>
          <w:rFonts w:ascii="Times New Roman" w:hAnsi="Times New Roman" w:cs="Times New Roman" w:hint="cs"/>
          <w:color w:val="000000"/>
          <w:sz w:val="28"/>
          <w:szCs w:val="28"/>
        </w:rPr>
        <w:t>cells; then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BC1381">
        <w:rPr>
          <w:rFonts w:ascii="Times New Roman" w:hAnsi="Times New Roman" w:cs="Times New Roman" w:hint="cs"/>
          <w:color w:val="000000"/>
          <w:sz w:val="28"/>
          <w:szCs w:val="28"/>
        </w:rPr>
        <w:t xml:space="preserve"> we developed a similar method for 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C1381">
        <w:rPr>
          <w:rFonts w:ascii="Times New Roman" w:hAnsi="Times New Roman" w:cs="Times New Roman" w:hint="cs"/>
          <w:color w:val="000000"/>
          <w:sz w:val="28"/>
          <w:szCs w:val="28"/>
        </w:rPr>
        <w:t>cells using the pan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C1381">
        <w:rPr>
          <w:rFonts w:ascii="Times New Roman" w:hAnsi="Times New Roman" w:cs="Times New Roman" w:hint="cs"/>
          <w:color w:val="000000"/>
          <w:sz w:val="28"/>
          <w:szCs w:val="28"/>
        </w:rPr>
        <w:t xml:space="preserve">T-cell isolation kit from Miltenyi-Biotec (Bergisch Gladbach, Germany). All FACS analyses were performed using a Cyan ADP flow cytometer equipped with Summit 4.3 software (Beckman Coulter France, SAS, Villepinte, France).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The data</w:t>
      </w:r>
      <w:r w:rsidRPr="00BC1381">
        <w:rPr>
          <w:rFonts w:ascii="Times New Roman" w:hAnsi="Times New Roman" w:cs="Times New Roman" w:hint="cs"/>
          <w:color w:val="000000"/>
          <w:sz w:val="28"/>
          <w:szCs w:val="28"/>
        </w:rPr>
        <w:t xml:space="preserve"> are presented as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the </w:t>
      </w:r>
      <w:r w:rsidRPr="00BC1381">
        <w:rPr>
          <w:rFonts w:ascii="Times New Roman" w:hAnsi="Times New Roman" w:cs="Times New Roman" w:hint="cs"/>
          <w:color w:val="000000"/>
          <w:sz w:val="28"/>
          <w:szCs w:val="28"/>
        </w:rPr>
        <w:t xml:space="preserve">means +/-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SDs</w:t>
      </w:r>
      <w:r w:rsidRPr="00BC1381">
        <w:rPr>
          <w:rFonts w:ascii="Times New Roman" w:hAnsi="Times New Roman" w:cs="Times New Roman" w:hint="cs"/>
          <w:color w:val="000000"/>
          <w:sz w:val="28"/>
          <w:szCs w:val="28"/>
        </w:rPr>
        <w:t xml:space="preserve"> for both T and 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C1381">
        <w:rPr>
          <w:rFonts w:ascii="Times New Roman" w:hAnsi="Times New Roman" w:cs="Times New Roman" w:hint="cs"/>
          <w:color w:val="000000"/>
          <w:sz w:val="28"/>
          <w:szCs w:val="28"/>
        </w:rPr>
        <w:t xml:space="preserve">cells.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Student’s t</w:t>
      </w:r>
      <w:r w:rsidRPr="00BC1381">
        <w:rPr>
          <w:rFonts w:ascii="Times New Roman" w:hAnsi="Times New Roman" w:cs="Times New Roman" w:hint="cs"/>
          <w:color w:val="000000"/>
          <w:sz w:val="28"/>
          <w:szCs w:val="28"/>
        </w:rPr>
        <w:t xml:space="preserve"> test was used for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statistical analysis</w:t>
      </w:r>
      <w:r w:rsidRPr="00BC1381">
        <w:rPr>
          <w:rFonts w:ascii="Times New Roman" w:hAnsi="Times New Roman" w:cs="Times New Roman" w:hint="cs"/>
          <w:color w:val="000000"/>
          <w:sz w:val="28"/>
          <w:szCs w:val="28"/>
        </w:rPr>
        <w:t>.</w:t>
      </w:r>
    </w:p>
    <w:p w:rsidR="006D0155" w:rsidRPr="00BC1381" w:rsidRDefault="006D0155" w:rsidP="006D0155">
      <w:pPr>
        <w:pStyle w:val="Corpsdetexte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6D0155" w:rsidRPr="00BC1381" w:rsidRDefault="006D0155" w:rsidP="006D0155">
      <w:pPr>
        <w:pStyle w:val="Corpsdetexte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1381">
        <w:rPr>
          <w:rFonts w:ascii="Times New Roman" w:hAnsi="Times New Roman" w:cs="Times New Roman" w:hint="cs"/>
          <w:b/>
          <w:bCs/>
          <w:color w:val="000000"/>
          <w:sz w:val="28"/>
          <w:szCs w:val="28"/>
        </w:rPr>
        <w:t xml:space="preserve">Figure S2.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The </w:t>
      </w:r>
      <w:r w:rsidRPr="00BC1381">
        <w:rPr>
          <w:rFonts w:ascii="Times New Roman" w:hAnsi="Times New Roman" w:cs="Times New Roman" w:hint="cs"/>
          <w:b/>
          <w:bCs/>
          <w:i/>
          <w:iCs/>
          <w:color w:val="000000"/>
          <w:sz w:val="28"/>
          <w:szCs w:val="28"/>
        </w:rPr>
        <w:t>RHOH</w:t>
      </w:r>
      <w:r w:rsidRPr="00BC1381">
        <w:rPr>
          <w:rFonts w:ascii="Times New Roman" w:hAnsi="Times New Roman" w:cs="Times New Roman" w:hint="cs"/>
          <w:b/>
          <w:bCs/>
          <w:color w:val="000000"/>
          <w:sz w:val="28"/>
          <w:szCs w:val="28"/>
        </w:rPr>
        <w:t xml:space="preserve"> gene locus</w:t>
      </w:r>
    </w:p>
    <w:p w:rsidR="006D0155" w:rsidRPr="00BC1381" w:rsidRDefault="006D0155" w:rsidP="006D0155">
      <w:pPr>
        <w:pStyle w:val="Corpsdetexte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1381">
        <w:rPr>
          <w:rFonts w:ascii="Times New Roman" w:hAnsi="Times New Roman" w:cs="Times New Roman" w:hint="cs"/>
          <w:color w:val="000000"/>
          <w:sz w:val="28"/>
          <w:szCs w:val="28"/>
        </w:rPr>
        <w:t xml:space="preserve">Genomic view of the </w:t>
      </w:r>
      <w:r w:rsidRPr="00BC1381">
        <w:rPr>
          <w:rFonts w:ascii="Times New Roman" w:hAnsi="Times New Roman" w:cs="Times New Roman" w:hint="cs"/>
          <w:i/>
          <w:iCs/>
          <w:color w:val="000000"/>
          <w:sz w:val="28"/>
          <w:szCs w:val="28"/>
        </w:rPr>
        <w:t>RHOH</w:t>
      </w:r>
      <w:r w:rsidRPr="00BC1381">
        <w:rPr>
          <w:rFonts w:ascii="Times New Roman" w:hAnsi="Times New Roman" w:cs="Times New Roman" w:hint="cs"/>
          <w:color w:val="000000"/>
          <w:sz w:val="28"/>
          <w:szCs w:val="28"/>
        </w:rPr>
        <w:t xml:space="preserve"> gene locus showing neighboring genes from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Chr4</w:t>
      </w:r>
      <w:r w:rsidRPr="00BC1381">
        <w:rPr>
          <w:rFonts w:ascii="Times New Roman" w:hAnsi="Times New Roman" w:cs="Times New Roman" w:hint="cs"/>
          <w:color w:val="000000"/>
          <w:sz w:val="28"/>
          <w:szCs w:val="28"/>
        </w:rPr>
        <w:t xml:space="preserve">:39815000 to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Chr4</w:t>
      </w:r>
      <w:r w:rsidRPr="00BC1381">
        <w:rPr>
          <w:rFonts w:ascii="Times New Roman" w:hAnsi="Times New Roman" w:cs="Times New Roman" w:hint="cs"/>
          <w:color w:val="000000"/>
          <w:sz w:val="28"/>
          <w:szCs w:val="28"/>
        </w:rPr>
        <w:t>:40362000 (GRCh37/hg19) extracted from the UCSC genome browser.</w:t>
      </w:r>
    </w:p>
    <w:p w:rsidR="006D0155" w:rsidRPr="00BC1381" w:rsidRDefault="006D0155" w:rsidP="006D0155">
      <w:pPr>
        <w:pStyle w:val="Corpsdetexte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6D0155" w:rsidRPr="00BC1381" w:rsidRDefault="006D0155" w:rsidP="006D0155">
      <w:pPr>
        <w:pStyle w:val="Corpsdetexte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1381">
        <w:rPr>
          <w:rFonts w:ascii="Times New Roman" w:hAnsi="Times New Roman" w:cs="Times New Roman" w:hint="cs"/>
          <w:b/>
          <w:bCs/>
          <w:color w:val="000000"/>
          <w:sz w:val="28"/>
          <w:szCs w:val="28"/>
        </w:rPr>
        <w:t xml:space="preserve">Figure S3. Polyadenylation sites at the </w:t>
      </w:r>
      <w:r w:rsidRPr="00BC1381">
        <w:rPr>
          <w:rFonts w:ascii="Times New Roman" w:hAnsi="Times New Roman" w:cs="Times New Roman" w:hint="cs"/>
          <w:b/>
          <w:bCs/>
          <w:i/>
          <w:iCs/>
          <w:color w:val="000000"/>
          <w:sz w:val="28"/>
          <w:szCs w:val="28"/>
        </w:rPr>
        <w:t>RHOH</w:t>
      </w:r>
      <w:r w:rsidRPr="00BC1381">
        <w:rPr>
          <w:rFonts w:ascii="Times New Roman" w:hAnsi="Times New Roman" w:cs="Times New Roman" w:hint="cs"/>
          <w:b/>
          <w:bCs/>
          <w:color w:val="000000"/>
          <w:sz w:val="28"/>
          <w:szCs w:val="28"/>
        </w:rPr>
        <w:t xml:space="preserve"> gene.</w:t>
      </w:r>
    </w:p>
    <w:p w:rsidR="006D0155" w:rsidRPr="00BC1381" w:rsidRDefault="006D0155" w:rsidP="006D0155">
      <w:pPr>
        <w:pStyle w:val="Corpsdetexte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1381">
        <w:rPr>
          <w:rFonts w:ascii="Times New Roman" w:hAnsi="Times New Roman" w:cs="Times New Roman" w:hint="cs"/>
          <w:color w:val="000000"/>
          <w:sz w:val="28"/>
          <w:szCs w:val="28"/>
        </w:rPr>
        <w:t xml:space="preserve">Genomic view extracted from the UCSC genome browser of the 3’ extremity of the </w:t>
      </w:r>
      <w:r w:rsidRPr="00BC1381">
        <w:rPr>
          <w:rFonts w:ascii="Times New Roman" w:hAnsi="Times New Roman" w:cs="Times New Roman" w:hint="cs"/>
          <w:i/>
          <w:iCs/>
          <w:color w:val="000000"/>
          <w:sz w:val="28"/>
          <w:szCs w:val="28"/>
        </w:rPr>
        <w:t>RHOH</w:t>
      </w:r>
      <w:r w:rsidRPr="00BC1381">
        <w:rPr>
          <w:rFonts w:ascii="Times New Roman" w:hAnsi="Times New Roman" w:cs="Times New Roman" w:hint="cs"/>
          <w:color w:val="000000"/>
          <w:sz w:val="28"/>
          <w:szCs w:val="28"/>
        </w:rPr>
        <w:t xml:space="preserve"> gene showing some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exons of interest, which we identified</w:t>
      </w:r>
      <w:r w:rsidRPr="00BC1381">
        <w:rPr>
          <w:rFonts w:ascii="Times New Roman" w:hAnsi="Times New Roman" w:cs="Times New Roman" w:hint="cs"/>
          <w:color w:val="000000"/>
          <w:sz w:val="28"/>
          <w:szCs w:val="28"/>
        </w:rPr>
        <w:t xml:space="preserve"> and described in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terms of</w:t>
      </w:r>
      <w:r w:rsidRPr="00BC1381">
        <w:rPr>
          <w:rFonts w:ascii="Times New Roman" w:hAnsi="Times New Roman" w:cs="Times New Roman" w:hint="cs"/>
          <w:color w:val="000000"/>
          <w:sz w:val="28"/>
          <w:szCs w:val="28"/>
        </w:rPr>
        <w:t xml:space="preserve"> polyadenylation sites from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the </w:t>
      </w:r>
      <w:r w:rsidRPr="00BC1381">
        <w:rPr>
          <w:rFonts w:ascii="Times New Roman" w:hAnsi="Times New Roman" w:cs="Times New Roman" w:hint="cs"/>
          <w:color w:val="000000"/>
          <w:sz w:val="28"/>
          <w:szCs w:val="28"/>
        </w:rPr>
        <w:t>polyA database (49).</w:t>
      </w:r>
    </w:p>
    <w:p w:rsidR="006D0155" w:rsidRDefault="006D0155"/>
    <w:p w:rsidR="006D0155" w:rsidRPr="00BC1381" w:rsidRDefault="006D0155" w:rsidP="006D0155">
      <w:pPr>
        <w:pStyle w:val="Corpsdetexte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1381">
        <w:rPr>
          <w:rFonts w:ascii="Times New Roman" w:hAnsi="Times New Roman" w:cs="Times New Roman" w:hint="cs"/>
          <w:b/>
          <w:color w:val="000000"/>
          <w:sz w:val="28"/>
          <w:szCs w:val="28"/>
        </w:rPr>
        <w:t>Table S1. Characteristics of probes, primers and sequence findings</w:t>
      </w:r>
    </w:p>
    <w:p w:rsidR="006D0155" w:rsidRPr="00BC1381" w:rsidRDefault="006D0155" w:rsidP="006D0155">
      <w:pPr>
        <w:pStyle w:val="Corpsdetexte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1381">
        <w:rPr>
          <w:rFonts w:ascii="Times New Roman" w:hAnsi="Times New Roman" w:cs="Times New Roman" w:hint="cs"/>
          <w:color w:val="000000"/>
          <w:sz w:val="28"/>
          <w:szCs w:val="28"/>
        </w:rPr>
        <w:t xml:space="preserve">Characteristics are given for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the </w:t>
      </w:r>
      <w:r w:rsidRPr="00BC1381">
        <w:rPr>
          <w:rFonts w:ascii="Times New Roman" w:hAnsi="Times New Roman" w:cs="Times New Roman" w:hint="cs"/>
          <w:color w:val="000000"/>
          <w:sz w:val="28"/>
          <w:szCs w:val="28"/>
        </w:rPr>
        <w:t xml:space="preserve">NanoString probes used for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prediction</w:t>
      </w:r>
      <w:r w:rsidRPr="00BC1381">
        <w:rPr>
          <w:rFonts w:ascii="Times New Roman" w:hAnsi="Times New Roman" w:cs="Times New Roman" w:hint="cs"/>
          <w:color w:val="000000"/>
          <w:sz w:val="28"/>
          <w:szCs w:val="28"/>
        </w:rPr>
        <w:t xml:space="preserve"> confirmation, primers for 3’RACE-PCR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experiments, and</w:t>
      </w:r>
      <w:r w:rsidRPr="00BC1381">
        <w:rPr>
          <w:rFonts w:ascii="Times New Roman" w:hAnsi="Times New Roman" w:cs="Times New Roman" w:hint="cs"/>
          <w:color w:val="000000"/>
          <w:sz w:val="28"/>
          <w:szCs w:val="28"/>
        </w:rPr>
        <w:t xml:space="preserve"> former exons and exons detected during the sequencing analysis.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These included</w:t>
      </w:r>
      <w:r w:rsidRPr="00BC1381">
        <w:rPr>
          <w:rFonts w:ascii="Times New Roman" w:hAnsi="Times New Roman" w:cs="Times New Roman" w:hint="cs"/>
          <w:color w:val="000000"/>
          <w:sz w:val="28"/>
          <w:szCs w:val="28"/>
        </w:rPr>
        <w:t xml:space="preserve"> positions on the GRCh37-hg19 genome assembly, names used in this project, former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knowledge</w:t>
      </w:r>
      <w:r w:rsidRPr="00BC1381">
        <w:rPr>
          <w:rFonts w:ascii="Times New Roman" w:hAnsi="Times New Roman" w:cs="Times New Roman" w:hint="cs"/>
          <w:color w:val="000000"/>
          <w:sz w:val="28"/>
          <w:szCs w:val="28"/>
        </w:rPr>
        <w:t xml:space="preserve"> from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the </w:t>
      </w:r>
      <w:r w:rsidRPr="00BC1381">
        <w:rPr>
          <w:rFonts w:ascii="Times New Roman" w:hAnsi="Times New Roman" w:cs="Times New Roman" w:hint="cs"/>
          <w:color w:val="000000"/>
          <w:sz w:val="28"/>
          <w:szCs w:val="28"/>
        </w:rPr>
        <w:t>literature, and nucleotide sequences.</w:t>
      </w:r>
    </w:p>
    <w:p w:rsidR="006D0155" w:rsidRPr="00BC1381" w:rsidRDefault="006D0155" w:rsidP="006D0155">
      <w:pPr>
        <w:pStyle w:val="Corpsdetexte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D0155" w:rsidRPr="00BC1381" w:rsidRDefault="006D0155" w:rsidP="006D0155">
      <w:pPr>
        <w:pStyle w:val="Corpsdetexte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1381">
        <w:rPr>
          <w:rFonts w:ascii="Times New Roman" w:hAnsi="Times New Roman" w:cs="Times New Roman" w:hint="cs"/>
          <w:b/>
          <w:color w:val="000000"/>
          <w:sz w:val="28"/>
          <w:szCs w:val="28"/>
        </w:rPr>
        <w:t>Table S2.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NanoString-</w:t>
      </w:r>
      <w:r w:rsidRPr="00BC1381">
        <w:rPr>
          <w:rFonts w:ascii="Times New Roman" w:hAnsi="Times New Roman" w:cs="Times New Roman" w:hint="cs"/>
          <w:b/>
          <w:color w:val="000000"/>
          <w:sz w:val="28"/>
          <w:szCs w:val="28"/>
        </w:rPr>
        <w:t xml:space="preserve">normalized counts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of</w:t>
      </w:r>
      <w:r w:rsidRPr="00BC1381">
        <w:rPr>
          <w:rFonts w:ascii="Times New Roman" w:hAnsi="Times New Roman" w:cs="Times New Roman" w:hint="cs"/>
          <w:b/>
          <w:color w:val="000000"/>
          <w:sz w:val="28"/>
          <w:szCs w:val="28"/>
        </w:rPr>
        <w:t xml:space="preserve"> selected probes around the </w:t>
      </w:r>
      <w:r w:rsidRPr="00BC1381">
        <w:rPr>
          <w:rFonts w:ascii="Times New Roman" w:hAnsi="Times New Roman" w:cs="Times New Roman" w:hint="cs"/>
          <w:b/>
          <w:i/>
          <w:color w:val="000000"/>
          <w:sz w:val="28"/>
          <w:szCs w:val="28"/>
        </w:rPr>
        <w:t>RHOH</w:t>
      </w:r>
      <w:r w:rsidRPr="00BC1381">
        <w:rPr>
          <w:rFonts w:ascii="Times New Roman" w:hAnsi="Times New Roman" w:cs="Times New Roman" w:hint="cs"/>
          <w:b/>
          <w:color w:val="000000"/>
          <w:sz w:val="28"/>
          <w:szCs w:val="28"/>
        </w:rPr>
        <w:t xml:space="preserve"> gene</w:t>
      </w:r>
    </w:p>
    <w:p w:rsidR="006D0155" w:rsidRPr="00BC1381" w:rsidRDefault="006D0155" w:rsidP="006D0155">
      <w:pPr>
        <w:pStyle w:val="Corpsdetexte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The counts</w:t>
      </w:r>
      <w:r w:rsidRPr="00BC1381">
        <w:rPr>
          <w:rFonts w:ascii="Times New Roman" w:hAnsi="Times New Roman" w:cs="Times New Roman" w:hint="cs"/>
          <w:color w:val="000000"/>
          <w:sz w:val="28"/>
          <w:szCs w:val="28"/>
        </w:rPr>
        <w:t xml:space="preserve"> were analyzed and normalized against 3 housekeeping genes (</w:t>
      </w:r>
      <w:r w:rsidRPr="00BC1381">
        <w:rPr>
          <w:rFonts w:ascii="Times New Roman" w:hAnsi="Times New Roman" w:cs="Times New Roman" w:hint="cs"/>
          <w:i/>
          <w:iCs/>
          <w:color w:val="000000"/>
          <w:sz w:val="28"/>
          <w:szCs w:val="28"/>
        </w:rPr>
        <w:t>TBP</w:t>
      </w:r>
      <w:r w:rsidRPr="00BC1381">
        <w:rPr>
          <w:rFonts w:ascii="Times New Roman" w:hAnsi="Times New Roman" w:cs="Times New Roman" w:hint="cs"/>
          <w:color w:val="000000"/>
          <w:sz w:val="28"/>
          <w:szCs w:val="28"/>
        </w:rPr>
        <w:t xml:space="preserve">, </w:t>
      </w:r>
      <w:r w:rsidRPr="00BC1381">
        <w:rPr>
          <w:rFonts w:ascii="Times New Roman" w:hAnsi="Times New Roman" w:cs="Times New Roman" w:hint="cs"/>
          <w:i/>
          <w:iCs/>
          <w:color w:val="000000"/>
          <w:sz w:val="28"/>
          <w:szCs w:val="28"/>
        </w:rPr>
        <w:t>ABL1</w:t>
      </w:r>
      <w:r w:rsidRPr="00BC1381">
        <w:rPr>
          <w:rFonts w:ascii="Times New Roman" w:hAnsi="Times New Roman" w:cs="Times New Roman" w:hint="cs"/>
          <w:color w:val="000000"/>
          <w:sz w:val="28"/>
          <w:szCs w:val="28"/>
        </w:rPr>
        <w:t xml:space="preserve"> and </w:t>
      </w:r>
      <w:r w:rsidRPr="00BC1381">
        <w:rPr>
          <w:rFonts w:ascii="Times New Roman" w:hAnsi="Times New Roman" w:cs="Times New Roman" w:hint="cs"/>
          <w:i/>
          <w:iCs/>
          <w:color w:val="000000"/>
          <w:sz w:val="28"/>
          <w:szCs w:val="28"/>
        </w:rPr>
        <w:t>GAPDH</w:t>
      </w:r>
      <w:r w:rsidRPr="00BC1381">
        <w:rPr>
          <w:rFonts w:ascii="Times New Roman" w:hAnsi="Times New Roman" w:cs="Times New Roman" w:hint="cs"/>
          <w:color w:val="000000"/>
          <w:sz w:val="28"/>
          <w:szCs w:val="28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via</w:t>
      </w:r>
      <w:r w:rsidRPr="00BC1381">
        <w:rPr>
          <w:rFonts w:ascii="Times New Roman" w:hAnsi="Times New Roman" w:cs="Times New Roman" w:hint="cs"/>
          <w:color w:val="000000"/>
          <w:sz w:val="28"/>
          <w:szCs w:val="28"/>
        </w:rPr>
        <w:t xml:space="preserve"> nSolver V4.0.70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analysis</w:t>
      </w:r>
      <w:r w:rsidRPr="00BC1381">
        <w:rPr>
          <w:rFonts w:ascii="Times New Roman" w:hAnsi="Times New Roman" w:cs="Times New Roman" w:hint="cs"/>
          <w:color w:val="000000"/>
          <w:sz w:val="28"/>
          <w:szCs w:val="28"/>
        </w:rPr>
        <w:t xml:space="preserve"> software (NanoString Technologies, Seattle, USA).</w:t>
      </w:r>
    </w:p>
    <w:p w:rsidR="006D0155" w:rsidRPr="00BC1381" w:rsidRDefault="006D0155" w:rsidP="006D0155">
      <w:pPr>
        <w:pStyle w:val="Corpsdetexte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6D0155" w:rsidRPr="00BC1381" w:rsidRDefault="006D0155" w:rsidP="006D0155">
      <w:pPr>
        <w:pStyle w:val="Corpsdetexte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1381">
        <w:rPr>
          <w:rFonts w:ascii="Times New Roman" w:hAnsi="Times New Roman" w:cs="Times New Roman" w:hint="cs"/>
          <w:b/>
          <w:sz w:val="28"/>
          <w:szCs w:val="28"/>
        </w:rPr>
        <w:t>Table S3. Sequences of the discovered transcripts</w:t>
      </w:r>
    </w:p>
    <w:p w:rsidR="006D0155" w:rsidRPr="00BC1381" w:rsidRDefault="006D0155" w:rsidP="006D0155">
      <w:pPr>
        <w:pStyle w:val="Corpsdetexte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1381">
        <w:rPr>
          <w:rFonts w:ascii="Times New Roman" w:hAnsi="Times New Roman" w:cs="Times New Roman" w:hint="cs"/>
          <w:sz w:val="28"/>
          <w:szCs w:val="28"/>
        </w:rPr>
        <w:t xml:space="preserve">Transcripts are described by their exon contents and corresponding sequences (exon borders are delimited by alternative highlights). </w:t>
      </w:r>
      <w:r>
        <w:rPr>
          <w:rFonts w:ascii="Times New Roman" w:eastAsia="Times New Roman" w:hAnsi="Times New Roman" w:cs="Times New Roman"/>
          <w:sz w:val="28"/>
          <w:szCs w:val="28"/>
        </w:rPr>
        <w:t>The donor</w:t>
      </w:r>
      <w:r w:rsidRPr="00BC1381">
        <w:rPr>
          <w:rFonts w:ascii="Times New Roman" w:hAnsi="Times New Roman" w:cs="Times New Roman" w:hint="cs"/>
          <w:sz w:val="28"/>
          <w:szCs w:val="28"/>
        </w:rPr>
        <w:t xml:space="preserve"> and acceptor splice sequences are given in bold for classic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patients</w:t>
      </w:r>
      <w:r w:rsidRPr="00BC1381">
        <w:rPr>
          <w:rFonts w:ascii="Times New Roman" w:hAnsi="Times New Roman" w:cs="Times New Roman" w:hint="cs"/>
          <w:sz w:val="28"/>
          <w:szCs w:val="28"/>
        </w:rPr>
        <w:t xml:space="preserve"> and underlined for cryptic </w:t>
      </w:r>
      <w:r>
        <w:rPr>
          <w:rFonts w:ascii="Times New Roman" w:eastAsia="Times New Roman" w:hAnsi="Times New Roman" w:cs="Times New Roman"/>
          <w:sz w:val="28"/>
          <w:szCs w:val="28"/>
        </w:rPr>
        <w:t>patients</w:t>
      </w:r>
      <w:r w:rsidRPr="00BC1381">
        <w:rPr>
          <w:rFonts w:ascii="Times New Roman" w:hAnsi="Times New Roman" w:cs="Times New Roman" w:hint="cs"/>
          <w:sz w:val="28"/>
          <w:szCs w:val="28"/>
        </w:rPr>
        <w:t xml:space="preserve">. Two other sequence motifs are underlined: 2 </w:t>
      </w:r>
      <w:r>
        <w:rPr>
          <w:rFonts w:ascii="Times New Roman" w:eastAsia="Times New Roman" w:hAnsi="Times New Roman" w:cs="Times New Roman"/>
          <w:sz w:val="28"/>
          <w:szCs w:val="28"/>
        </w:rPr>
        <w:t>“GCCGTCA”</w:t>
      </w:r>
      <w:r w:rsidRPr="00BC1381">
        <w:rPr>
          <w:rFonts w:ascii="Times New Roman" w:hAnsi="Times New Roman" w:cs="Times New Roman" w:hint="cs"/>
          <w:sz w:val="28"/>
          <w:szCs w:val="28"/>
        </w:rPr>
        <w:t xml:space="preserve"> sequences in exon 7 and a T</w:t>
      </w: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BC1381">
        <w:rPr>
          <w:rFonts w:ascii="Times New Roman" w:hAnsi="Times New Roman" w:cs="Times New Roman" w:hint="cs"/>
          <w:sz w:val="28"/>
          <w:szCs w:val="28"/>
        </w:rPr>
        <w:t xml:space="preserve">rich motif in </w:t>
      </w:r>
      <w:r>
        <w:rPr>
          <w:rFonts w:ascii="Times New Roman" w:eastAsia="Times New Roman" w:hAnsi="Times New Roman" w:cs="Times New Roman"/>
          <w:sz w:val="28"/>
          <w:szCs w:val="28"/>
        </w:rPr>
        <w:t>the</w:t>
      </w:r>
      <w:r w:rsidRPr="00BC1381">
        <w:rPr>
          <w:rFonts w:ascii="Times New Roman" w:hAnsi="Times New Roman" w:cs="Times New Roman" w:hint="cs"/>
          <w:sz w:val="28"/>
          <w:szCs w:val="28"/>
        </w:rPr>
        <w:t xml:space="preserve"> new exon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of EX4B2-6</w:t>
      </w:r>
      <w:r w:rsidRPr="00BC1381">
        <w:rPr>
          <w:rFonts w:ascii="Times New Roman" w:hAnsi="Times New Roman" w:cs="Times New Roman" w:hint="cs"/>
          <w:sz w:val="28"/>
          <w:szCs w:val="28"/>
        </w:rPr>
        <w:t>.</w:t>
      </w:r>
    </w:p>
    <w:p w:rsidR="006D0155" w:rsidRPr="00BC1381" w:rsidRDefault="006D0155" w:rsidP="006D0155">
      <w:pPr>
        <w:pStyle w:val="Corpsdetexte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D0155" w:rsidRPr="00BC1381" w:rsidRDefault="006D0155" w:rsidP="006D0155">
      <w:pPr>
        <w:pStyle w:val="Corpsdetexte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1381">
        <w:rPr>
          <w:rFonts w:ascii="Times New Roman" w:hAnsi="Times New Roman" w:cs="Times New Roman" w:hint="cs"/>
          <w:b/>
          <w:sz w:val="28"/>
          <w:szCs w:val="28"/>
        </w:rPr>
        <w:lastRenderedPageBreak/>
        <w:t>Table S4. Analysis of potential protein/peptide formation from</w:t>
      </w:r>
      <w:r w:rsidRPr="00BC1381">
        <w:rPr>
          <w:rFonts w:ascii="Times New Roman" w:hAnsi="Times New Roman" w:cs="Times New Roman" w:hint="cs"/>
          <w:b/>
          <w:i/>
          <w:sz w:val="28"/>
          <w:szCs w:val="28"/>
        </w:rPr>
        <w:t xml:space="preserve"> RHOH</w:t>
      </w:r>
      <w:r w:rsidRPr="00BC1381">
        <w:rPr>
          <w:rFonts w:ascii="Times New Roman" w:hAnsi="Times New Roman" w:cs="Times New Roman" w:hint="cs"/>
          <w:b/>
          <w:sz w:val="28"/>
          <w:szCs w:val="28"/>
        </w:rPr>
        <w:t xml:space="preserve"> mRNA molecules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via</w:t>
      </w:r>
      <w:r w:rsidRPr="00BC1381">
        <w:rPr>
          <w:rFonts w:ascii="Times New Roman" w:hAnsi="Times New Roman" w:cs="Times New Roman" w:hint="cs"/>
          <w:b/>
          <w:sz w:val="28"/>
          <w:szCs w:val="28"/>
        </w:rPr>
        <w:t xml:space="preserve"> ORFfinder and Pfam</w:t>
      </w:r>
    </w:p>
    <w:p w:rsidR="006D0155" w:rsidRPr="00BC1381" w:rsidRDefault="006D0155" w:rsidP="006D0155">
      <w:pPr>
        <w:jc w:val="both"/>
        <w:rPr>
          <w:rFonts w:ascii="Times New Roman" w:eastAsia="Times New Roman" w:hAnsi="Times New Roman" w:cs="Times New Roman"/>
          <w:sz w:val="28"/>
          <w:szCs w:val="28"/>
          <w:lang w:val="en-GB"/>
        </w:rPr>
      </w:pPr>
      <w:r w:rsidRPr="00BC1381">
        <w:rPr>
          <w:rFonts w:ascii="Times New Roman" w:eastAsia="Times New Roman" w:hAnsi="Times New Roman" w:cs="Times New Roman" w:hint="cs"/>
          <w:iCs/>
          <w:color w:val="000000" w:themeColor="text1"/>
          <w:sz w:val="28"/>
          <w:szCs w:val="28"/>
        </w:rPr>
        <w:t xml:space="preserve">For complete analysis, we chose to add to each transcript sequence the 49 or 24 bp between transcripts initiation sites and start of sequencing, for exon 2 or 4, respectively. Known canonic and </w:t>
      </w:r>
      <w:proofErr w:type="spellStart"/>
      <w:r w:rsidRPr="00BC1381">
        <w:rPr>
          <w:rFonts w:ascii="Times New Roman" w:eastAsia="Times New Roman" w:hAnsi="Times New Roman" w:cs="Times New Roman" w:hint="cs"/>
          <w:iCs/>
          <w:color w:val="000000" w:themeColor="text1"/>
          <w:sz w:val="28"/>
          <w:szCs w:val="28"/>
        </w:rPr>
        <w:t>noncanonic</w:t>
      </w:r>
      <w:proofErr w:type="spellEnd"/>
      <w:r w:rsidRPr="00BC1381">
        <w:rPr>
          <w:rFonts w:ascii="Times New Roman" w:eastAsia="Times New Roman" w:hAnsi="Times New Roman" w:cs="Times New Roman" w:hint="cs"/>
          <w:iCs/>
          <w:color w:val="000000" w:themeColor="text1"/>
          <w:sz w:val="28"/>
          <w:szCs w:val="28"/>
        </w:rPr>
        <w:t xml:space="preserve"> initiation codons (ATG, TTG, ATC, CTG, ATT, TTT) are presented in blue, and unknown </w:t>
      </w:r>
      <w:proofErr w:type="spellStart"/>
      <w:r w:rsidRPr="00BC1381">
        <w:rPr>
          <w:rFonts w:ascii="Times New Roman" w:eastAsia="Times New Roman" w:hAnsi="Times New Roman" w:cs="Times New Roman" w:hint="cs"/>
          <w:iCs/>
          <w:color w:val="000000" w:themeColor="text1"/>
          <w:sz w:val="28"/>
          <w:szCs w:val="28"/>
        </w:rPr>
        <w:t>noncanonic</w:t>
      </w:r>
      <w:proofErr w:type="spellEnd"/>
      <w:r w:rsidRPr="00BC1381">
        <w:rPr>
          <w:rFonts w:ascii="Times New Roman" w:eastAsia="Times New Roman" w:hAnsi="Times New Roman" w:cs="Times New Roman" w:hint="cs"/>
          <w:sz w:val="28"/>
          <w:szCs w:val="28"/>
        </w:rPr>
        <w:t xml:space="preserve"> ones in black. All predicted ORFs are given with their nucleic acid and corresponding protein sequences.</w:t>
      </w:r>
    </w:p>
    <w:p w:rsidR="006D0155" w:rsidRPr="006D0155" w:rsidRDefault="006D0155">
      <w:pPr>
        <w:rPr>
          <w:lang w:val="en-GB"/>
        </w:rPr>
      </w:pPr>
    </w:p>
    <w:sectPr w:rsidR="006D0155" w:rsidRPr="006D01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0155"/>
    <w:rsid w:val="006D0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3C821AC"/>
  <w15:chartTrackingRefBased/>
  <w15:docId w15:val="{8E573060-1DF3-664D-A083-A3B0C830C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0155"/>
    <w:pPr>
      <w:suppressAutoHyphens/>
    </w:pPr>
    <w:rPr>
      <w:rFonts w:eastAsiaTheme="minorEastAsia"/>
      <w:kern w:val="0"/>
      <w:lang w:val="en-US" w:eastAsia="fr-FR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link w:val="CorpsdetexteCar"/>
    <w:rsid w:val="006D0155"/>
    <w:pPr>
      <w:spacing w:after="140" w:line="276" w:lineRule="auto"/>
    </w:pPr>
  </w:style>
  <w:style w:type="character" w:customStyle="1" w:styleId="CorpsdetexteCar">
    <w:name w:val="Corps de texte Car"/>
    <w:basedOn w:val="Policepardfaut"/>
    <w:link w:val="Corpsdetexte"/>
    <w:rsid w:val="006D0155"/>
    <w:rPr>
      <w:rFonts w:eastAsiaTheme="minorEastAsia"/>
      <w:kern w:val="0"/>
      <w:lang w:val="en-US" w:eastAsia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448</Words>
  <Characters>2464</Characters>
  <Application>Microsoft Office Word</Application>
  <DocSecurity>0</DocSecurity>
  <Lines>20</Lines>
  <Paragraphs>5</Paragraphs>
  <ScaleCrop>false</ScaleCrop>
  <Company/>
  <LinksUpToDate>false</LinksUpToDate>
  <CharactersWithSpaces>2907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</dc:creator>
  <cp:keywords/>
  <dc:description/>
  <cp:lastModifiedBy>fred</cp:lastModifiedBy>
  <cp:revision>1</cp:revision>
  <dcterms:created xsi:type="dcterms:W3CDTF">2024-03-29T06:39:00Z</dcterms:created>
  <dcterms:modified xsi:type="dcterms:W3CDTF">2024-03-29T06:41:00Z</dcterms:modified>
</cp:coreProperties>
</file>