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2F" w:rsidRPr="00152E7A" w:rsidRDefault="00503F2F" w:rsidP="00503F2F">
      <w:pPr>
        <w:widowControl/>
        <w:wordWrap/>
        <w:autoSpaceDE/>
        <w:autoSpaceDN/>
        <w:spacing w:after="0" w:line="480" w:lineRule="auto"/>
        <w:rPr>
          <w:rFonts w:ascii="Times New Roman" w:hAnsi="Times New Roman" w:cs="Times New Roman"/>
          <w:sz w:val="32"/>
          <w:szCs w:val="20"/>
        </w:rPr>
      </w:pPr>
      <w:r w:rsidRPr="002A27F5">
        <w:rPr>
          <w:rFonts w:ascii="Times New Roman" w:hAnsi="Times New Roman" w:cs="Times New Roman"/>
          <w:b/>
          <w:sz w:val="24"/>
          <w:szCs w:val="20"/>
        </w:rPr>
        <w:t>Table 1.</w:t>
      </w:r>
      <w:r w:rsidRPr="002A27F5">
        <w:rPr>
          <w:rFonts w:ascii="Times New Roman" w:hAnsi="Times New Roman" w:cs="Times New Roman"/>
          <w:sz w:val="24"/>
          <w:szCs w:val="20"/>
        </w:rPr>
        <w:t xml:space="preserve"> Clinical </w:t>
      </w:r>
      <w:r>
        <w:rPr>
          <w:rFonts w:ascii="Times New Roman" w:hAnsi="Times New Roman" w:cs="Times New Roman"/>
          <w:sz w:val="24"/>
          <w:szCs w:val="20"/>
        </w:rPr>
        <w:t xml:space="preserve">characteristics of </w:t>
      </w:r>
      <w: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 xml:space="preserve">adult </w:t>
      </w:r>
      <w:r w:rsidRPr="002A27F5"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  <w:t>patients with OHCA</w:t>
      </w:r>
      <w:r>
        <w:rPr>
          <w:rFonts w:ascii="Times New Roman" w:hAnsi="Times New Roman" w:cs="Times New Roman"/>
          <w:sz w:val="24"/>
          <w:szCs w:val="20"/>
        </w:rPr>
        <w:t xml:space="preserve"> according to the instruction method.</w:t>
      </w:r>
    </w:p>
    <w:tbl>
      <w:tblPr>
        <w:tblW w:w="978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86"/>
        <w:gridCol w:w="1843"/>
        <w:gridCol w:w="2409"/>
        <w:gridCol w:w="1843"/>
      </w:tblGrid>
      <w:tr w:rsidR="00503F2F" w:rsidRPr="00CB149B" w:rsidTr="00FE4C41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03F2F" w:rsidRPr="00BB4F00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BB4F00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Variables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03F2F" w:rsidRPr="0079606E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hd w:val="pct15" w:color="auto" w:fill="FFFFFF"/>
              </w:rPr>
            </w:pPr>
            <w:r w:rsidRPr="004F10B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Audio instruction  (n=1722</w:t>
            </w:r>
            <w:r w:rsidRPr="004F10B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hd w:val="pct15" w:color="auto" w:fill="FFFFFF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03F2F" w:rsidRPr="0079606E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hd w:val="pct15" w:color="auto" w:fill="FFFFFF"/>
              </w:rPr>
            </w:pPr>
            <w:bookmarkStart w:id="0" w:name="OLE_LINK1"/>
            <w:r w:rsidRPr="00152E7A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Video</w:t>
            </w:r>
            <w:r w:rsidRPr="00152E7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instruction  </w:t>
            </w:r>
            <w:bookmarkEnd w:id="0"/>
            <w:r w:rsidRPr="00152E7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(n=387)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:rsidR="00503F2F" w:rsidRPr="00BB4F00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BB4F00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p-value</w:t>
            </w:r>
          </w:p>
        </w:tc>
      </w:tr>
      <w:tr w:rsidR="00503F2F" w:rsidRPr="00550A09" w:rsidTr="00FE4C41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b/>
                <w:color w:val="000000"/>
                <w:kern w:val="0"/>
                <w:sz w:val="22"/>
              </w:rPr>
              <w:t>Clinical findings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  <w:shd w:val="pct15" w:color="auto" w:fill="FFFFFF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hd w:val="pct15" w:color="auto" w:fill="FFFFFF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  <w:shd w:val="pct15" w:color="auto" w:fill="FFFFFF"/>
              </w:rPr>
            </w:pPr>
          </w:p>
        </w:tc>
      </w:tr>
      <w:tr w:rsidR="00503F2F" w:rsidRPr="00550A09" w:rsidTr="00FE4C41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635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(36.9%)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124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(32.0%)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0.0734</w:t>
            </w:r>
          </w:p>
        </w:tc>
      </w:tr>
      <w:tr w:rsidR="00503F2F" w:rsidRPr="00550A09" w:rsidTr="00FE4C41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Average age (mean ± SD), years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72.2 ± 14.7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64.9</w:t>
            </w:r>
            <w:r w:rsidRPr="00396453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± 16.2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550A09" w:rsidTr="00FE4C41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Elderly (≥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65yr)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1260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(73.2%)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214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(55.3%)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&lt;0.00</w:t>
            </w: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</w:t>
            </w: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</w:tr>
      <w:tr w:rsidR="00503F2F" w:rsidRPr="007826F0" w:rsidTr="00FE4C41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Hypertension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616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(35.8%)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127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(32.8%)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0.2715</w:t>
            </w:r>
          </w:p>
        </w:tc>
      </w:tr>
      <w:tr w:rsidR="00503F2F" w:rsidRPr="00550A09" w:rsidTr="00FE4C41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Diabetes mellitus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419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(24.3%)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81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(20.9%)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0.</w:t>
            </w: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1551</w:t>
            </w:r>
          </w:p>
        </w:tc>
      </w:tr>
      <w:tr w:rsidR="00503F2F" w:rsidRPr="00550A09" w:rsidTr="00FE4C41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C</w:t>
            </w: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oronary artery disease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328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(19.0%)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71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(18.3%)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0.</w:t>
            </w: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7503</w:t>
            </w:r>
          </w:p>
        </w:tc>
      </w:tr>
      <w:tr w:rsidR="00503F2F" w:rsidRPr="00550A09" w:rsidTr="00FE4C41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Cerebrovascular disease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184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(10.7%)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 xml:space="preserve">33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(8.5%)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0.</w:t>
            </w: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2068</w:t>
            </w:r>
          </w:p>
        </w:tc>
      </w:tr>
      <w:tr w:rsidR="00503F2F" w:rsidRPr="00D92B22" w:rsidTr="00FE4C41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Cancer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(14.2%)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54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(14.0%)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0.8889</w:t>
            </w:r>
          </w:p>
        </w:tc>
      </w:tr>
      <w:tr w:rsidR="00503F2F" w:rsidRPr="00550A09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22"/>
              </w:rPr>
              <w:t>CPR location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&lt;0.00</w:t>
            </w: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</w:t>
            </w: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</w:tr>
      <w:tr w:rsidR="00503F2F" w:rsidRPr="00550A09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hAnsi="Times New Roman" w:hint="eastAsia"/>
                <w:color w:val="000000"/>
                <w:kern w:val="0"/>
                <w:sz w:val="22"/>
              </w:rPr>
              <w:t>Home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1239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(72.0%)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240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(62.0%)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550A09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Medical/n</w:t>
            </w:r>
            <w:r w:rsidRPr="00396453">
              <w:rPr>
                <w:rFonts w:ascii="Times New Roman" w:hAnsi="Times New Roman" w:hint="eastAsia"/>
                <w:color w:val="000000"/>
                <w:kern w:val="0"/>
                <w:sz w:val="22"/>
              </w:rPr>
              <w:t>ursing institution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184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(10.7%)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(5.4%)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550A09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hAnsi="Times New Roman" w:hint="eastAsia"/>
                <w:color w:val="000000"/>
                <w:kern w:val="0"/>
                <w:sz w:val="22"/>
              </w:rPr>
              <w:t xml:space="preserve"> Other places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299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(17.4%)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126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(32.6%)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550A09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2"/>
              </w:rPr>
            </w:pPr>
            <w:r w:rsidRPr="00396453"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Time from collapse to CPR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0.0640</w:t>
            </w:r>
          </w:p>
        </w:tc>
      </w:tr>
      <w:tr w:rsidR="00503F2F" w:rsidRPr="00550A09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2969BD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2969B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&lt; 4 min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80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(4.6%)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(3.6%)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550A09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2969BD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2969B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4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to </w:t>
            </w:r>
            <w:r w:rsidRPr="002969B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&lt; 8 min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473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(27.5%)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122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(31.5%)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550A09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2969BD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2969B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to </w:t>
            </w:r>
            <w:r w:rsidRPr="002969B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&lt; 15 min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845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(49.1%)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197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(50.9%)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550A09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2969BD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2969BD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15 min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152E7A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152E7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324 (18.8%)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152E7A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152E7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54 (14.0%)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256D73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b/>
                <w:color w:val="000000"/>
                <w:kern w:val="0"/>
                <w:sz w:val="22"/>
              </w:rPr>
              <w:t>Outcome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256D73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FF7677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FF7677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First rhythm</w:t>
            </w:r>
            <w:r w:rsidRPr="00FF767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FF7677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of paramedics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&lt;0.00</w:t>
            </w: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</w:t>
            </w: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</w:tr>
      <w:tr w:rsidR="00503F2F" w:rsidRPr="00256D73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Asystole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869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(50.5%)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140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(36.2%)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256D73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PEA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494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(28.7%)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94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(24.3%)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256D73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VT/VF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359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(20.8%)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153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(39.5%)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503F2F" w:rsidRPr="00256D73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Out-of-hospital </w:t>
            </w: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R</w:t>
            </w: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OSC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239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(13.9%)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115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(29.7%)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&lt;0.00</w:t>
            </w: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</w:t>
            </w: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</w:tr>
      <w:tr w:rsidR="00503F2F" w:rsidRPr="00256D73" w:rsidTr="00FE4C41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 xml:space="preserve">Survival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to </w:t>
            </w:r>
            <w:r w:rsidRPr="0039645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2"/>
              </w:rPr>
              <w:t>discharge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211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(12.3%)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ind w:firstLineChars="250" w:firstLine="550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105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(27.1%)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&lt;0.00</w:t>
            </w: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</w:t>
            </w: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</w:tr>
      <w:tr w:rsidR="00503F2F" w:rsidRPr="00256D73" w:rsidTr="00FE4C41">
        <w:trPr>
          <w:trHeight w:val="330"/>
        </w:trPr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2B3E58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E13B5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2"/>
              </w:rPr>
              <w:t>Favorable neurologic outcome</w:t>
            </w:r>
            <w:r w:rsidR="00503F2F" w:rsidRPr="00E13B50"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396453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117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 xml:space="preserve"> (6.8%)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75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(19.4%)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3F2F" w:rsidRPr="00396453" w:rsidRDefault="00503F2F" w:rsidP="00FE4C4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&lt;0.00</w:t>
            </w:r>
            <w:r w:rsidRPr="00396453">
              <w:rPr>
                <w:rFonts w:ascii="Times New Roman" w:hAnsi="Times New Roman" w:cs="Times New Roman" w:hint="eastAsia"/>
                <w:kern w:val="0"/>
                <w:sz w:val="22"/>
              </w:rPr>
              <w:t>0</w:t>
            </w:r>
            <w:r w:rsidRPr="00396453">
              <w:rPr>
                <w:rFonts w:ascii="Times New Roman" w:hAnsi="Times New Roman" w:cs="Times New Roman"/>
                <w:kern w:val="0"/>
                <w:sz w:val="22"/>
              </w:rPr>
              <w:t>1</w:t>
            </w:r>
          </w:p>
        </w:tc>
      </w:tr>
    </w:tbl>
    <w:p w:rsidR="00503F2F" w:rsidRPr="00256D73" w:rsidRDefault="00503F2F" w:rsidP="00503F2F">
      <w:pPr>
        <w:spacing w:line="480" w:lineRule="auto"/>
        <w:contextualSpacing/>
        <w:rPr>
          <w:rFonts w:ascii="Times New Roman" w:hAnsi="Times New Roman" w:cs="Times New Roman"/>
          <w:szCs w:val="16"/>
        </w:rPr>
      </w:pPr>
      <w:r w:rsidRPr="00256D73">
        <w:rPr>
          <w:rFonts w:ascii="Times New Roman" w:hAnsi="Times New Roman" w:cs="Times New Roman" w:hint="eastAsia"/>
          <w:szCs w:val="16"/>
        </w:rPr>
        <w:t xml:space="preserve">PEA, pulseless electrical activity; </w:t>
      </w:r>
      <w:r>
        <w:rPr>
          <w:rFonts w:ascii="Times New Roman" w:hAnsi="Times New Roman" w:cs="Times New Roman"/>
          <w:szCs w:val="16"/>
        </w:rPr>
        <w:t>ROSC, r</w:t>
      </w:r>
      <w:r w:rsidRPr="00256D73">
        <w:rPr>
          <w:rFonts w:ascii="Times New Roman" w:hAnsi="Times New Roman" w:cs="Times New Roman"/>
          <w:szCs w:val="16"/>
        </w:rPr>
        <w:t xml:space="preserve">eturn of spontaneous circulation; </w:t>
      </w:r>
      <w:r>
        <w:rPr>
          <w:rFonts w:ascii="Times New Roman" w:hAnsi="Times New Roman" w:cs="Times New Roman"/>
          <w:szCs w:val="16"/>
        </w:rPr>
        <w:t>SD, s</w:t>
      </w:r>
      <w:r w:rsidRPr="00256D73">
        <w:rPr>
          <w:rFonts w:ascii="Times New Roman" w:hAnsi="Times New Roman" w:cs="Times New Roman"/>
          <w:szCs w:val="16"/>
        </w:rPr>
        <w:t xml:space="preserve">tandard deviation; VF, ventricular fibrillation; VT, ventricular tachycardia </w:t>
      </w:r>
    </w:p>
    <w:p w:rsidR="00503F2F" w:rsidRDefault="00503F2F" w:rsidP="00503F2F">
      <w:pPr>
        <w:spacing w:line="480" w:lineRule="auto"/>
        <w:contextualSpacing/>
        <w:rPr>
          <w:rFonts w:ascii="Times New Roman" w:hAnsi="Times New Roman" w:cs="Times New Roman"/>
          <w:szCs w:val="16"/>
        </w:rPr>
      </w:pPr>
      <w:r w:rsidRPr="007E2CF7">
        <w:rPr>
          <w:rFonts w:ascii="Times New Roman" w:hAnsi="Times New Roman" w:cs="Times New Roman"/>
          <w:szCs w:val="16"/>
          <w:vertAlign w:val="superscript"/>
        </w:rPr>
        <w:t xml:space="preserve">a </w:t>
      </w:r>
      <w:r w:rsidRPr="007E2CF7">
        <w:rPr>
          <w:rFonts w:ascii="Times New Roman" w:hAnsi="Times New Roman" w:cs="Times New Roman"/>
          <w:szCs w:val="16"/>
        </w:rPr>
        <w:t xml:space="preserve">Data are shown as the numbers of subjects (percentage) for discrete and categorical variables and </w:t>
      </w:r>
      <w:r>
        <w:rPr>
          <w:rFonts w:ascii="Times New Roman" w:hAnsi="Times New Roman" w:cs="Times New Roman"/>
          <w:szCs w:val="16"/>
        </w:rPr>
        <w:t xml:space="preserve">the </w:t>
      </w:r>
      <w:r w:rsidRPr="007E2CF7">
        <w:rPr>
          <w:rFonts w:ascii="Times New Roman" w:hAnsi="Times New Roman" w:cs="Times New Roman"/>
          <w:szCs w:val="16"/>
        </w:rPr>
        <w:t xml:space="preserve">mean ± standard </w:t>
      </w:r>
      <w:r>
        <w:rPr>
          <w:rFonts w:ascii="Times New Roman" w:hAnsi="Times New Roman" w:cs="Times New Roman"/>
          <w:szCs w:val="16"/>
        </w:rPr>
        <w:t>deviation</w:t>
      </w:r>
      <w:r w:rsidRPr="007E2CF7">
        <w:rPr>
          <w:rFonts w:ascii="Times New Roman" w:hAnsi="Times New Roman" w:cs="Times New Roman"/>
          <w:szCs w:val="16"/>
        </w:rPr>
        <w:t>.</w:t>
      </w:r>
    </w:p>
    <w:p w:rsidR="00503F2F" w:rsidRDefault="00503F2F" w:rsidP="00503F2F">
      <w:pPr>
        <w:spacing w:line="480" w:lineRule="auto"/>
        <w:contextualSpacing/>
        <w:rPr>
          <w:rFonts w:ascii="Times New Roman" w:hAnsi="Times New Roman" w:cs="Times New Roman"/>
          <w:szCs w:val="16"/>
        </w:rPr>
      </w:pPr>
    </w:p>
    <w:p w:rsidR="00503F2F" w:rsidRDefault="00503F2F" w:rsidP="00503F2F">
      <w:pPr>
        <w:spacing w:line="480" w:lineRule="auto"/>
        <w:contextualSpacing/>
        <w:rPr>
          <w:rFonts w:ascii="함초롬바탕" w:eastAsia="함초롬바탕" w:hAnsi="함초롬바탕" w:cs="함초롬바탕"/>
          <w:szCs w:val="16"/>
        </w:rPr>
      </w:pPr>
    </w:p>
    <w:p w:rsidR="00503F2F" w:rsidRDefault="00503F2F" w:rsidP="00503F2F">
      <w:pPr>
        <w:pStyle w:val="EndNoteBibliography"/>
        <w:spacing w:line="480" w:lineRule="auto"/>
        <w:rPr>
          <w:rFonts w:ascii="Times New Roman" w:hAnsi="Times New Roman" w:cs="Times New Roman"/>
          <w:b/>
          <w:sz w:val="24"/>
          <w:szCs w:val="20"/>
        </w:rPr>
      </w:pPr>
    </w:p>
    <w:p w:rsidR="00503F2F" w:rsidRPr="00E13B50" w:rsidRDefault="00503F2F" w:rsidP="00F45AE9">
      <w:pPr>
        <w:pStyle w:val="EndNoteBibliography"/>
        <w:spacing w:line="480" w:lineRule="auto"/>
        <w:rPr>
          <w:rFonts w:ascii="Times New Roman" w:hAnsi="Times New Roman"/>
          <w:color w:val="000000" w:themeColor="text1"/>
          <w:sz w:val="24"/>
          <w:szCs w:val="20"/>
        </w:rPr>
      </w:pPr>
      <w:r w:rsidRPr="002A27F5">
        <w:rPr>
          <w:rFonts w:ascii="Times New Roman" w:hAnsi="Times New Roman" w:cs="Times New Roman"/>
          <w:b/>
          <w:sz w:val="24"/>
          <w:szCs w:val="20"/>
        </w:rPr>
        <w:lastRenderedPageBreak/>
        <w:t>Table 2.</w:t>
      </w:r>
      <w:r w:rsidRPr="002A27F5">
        <w:rPr>
          <w:rFonts w:ascii="Times New Roman" w:hAnsi="Times New Roman" w:cs="Times New Roman"/>
          <w:sz w:val="24"/>
          <w:szCs w:val="20"/>
        </w:rPr>
        <w:t xml:space="preserve"> </w:t>
      </w:r>
      <w:r w:rsidRPr="002A27F5">
        <w:rPr>
          <w:rFonts w:ascii="Times New Roman" w:hAnsi="Times New Roman"/>
          <w:color w:val="000000"/>
          <w:sz w:val="24"/>
          <w:szCs w:val="20"/>
        </w:rPr>
        <w:t xml:space="preserve">Binary </w:t>
      </w:r>
      <w:r w:rsidRPr="002A27F5">
        <w:rPr>
          <w:rFonts w:ascii="Times New Roman" w:hAnsi="Times New Roman" w:hint="eastAsia"/>
          <w:color w:val="000000"/>
          <w:sz w:val="24"/>
          <w:szCs w:val="20"/>
        </w:rPr>
        <w:t>lo</w:t>
      </w:r>
      <w:r w:rsidRPr="002A27F5">
        <w:rPr>
          <w:rFonts w:ascii="Times New Roman" w:hAnsi="Times New Roman"/>
          <w:color w:val="000000"/>
          <w:sz w:val="24"/>
          <w:szCs w:val="20"/>
        </w:rPr>
        <w:t xml:space="preserve">gistic regression analysis of </w:t>
      </w:r>
      <w:r w:rsidR="00F45AE9">
        <w:rPr>
          <w:rFonts w:ascii="Times New Roman" w:hAnsi="Times New Roman"/>
          <w:color w:val="000000"/>
          <w:sz w:val="24"/>
          <w:szCs w:val="20"/>
        </w:rPr>
        <w:t xml:space="preserve">the </w:t>
      </w:r>
      <w:r w:rsidR="00F45AE9" w:rsidRPr="00F64666">
        <w:rPr>
          <w:rFonts w:ascii="Times New Roman" w:hAnsi="Times New Roman"/>
          <w:color w:val="000000"/>
          <w:sz w:val="24"/>
          <w:szCs w:val="20"/>
        </w:rPr>
        <w:t xml:space="preserve">adjusted odds ratio </w:t>
      </w:r>
      <w:r w:rsidR="00F45AE9">
        <w:rPr>
          <w:rFonts w:ascii="Times New Roman" w:hAnsi="Times New Roman"/>
          <w:color w:val="000000"/>
          <w:sz w:val="24"/>
          <w:szCs w:val="20"/>
        </w:rPr>
        <w:t xml:space="preserve">of </w:t>
      </w:r>
      <w:bookmarkStart w:id="1" w:name="_GoBack"/>
      <w:r w:rsidR="00F45AE9" w:rsidRPr="00E13B50">
        <w:rPr>
          <w:rFonts w:ascii="Times New Roman" w:hAnsi="Times New Roman"/>
          <w:color w:val="000000" w:themeColor="text1"/>
          <w:sz w:val="24"/>
          <w:szCs w:val="20"/>
        </w:rPr>
        <w:t xml:space="preserve">the </w:t>
      </w:r>
      <w:r w:rsidR="00165009" w:rsidRPr="00E13B50">
        <w:rPr>
          <w:rFonts w:ascii="Times New Roman" w:hAnsi="Times New Roman" w:cs="Times New Roman"/>
          <w:color w:val="000000" w:themeColor="text1"/>
          <w:kern w:val="0"/>
          <w:sz w:val="22"/>
        </w:rPr>
        <w:t>favorable neurologic outcome</w:t>
      </w:r>
      <w:r w:rsidR="00165009" w:rsidRPr="00E13B50">
        <w:rPr>
          <w:rFonts w:ascii="Times New Roman" w:hAnsi="Times New Roman" w:cs="Times New Roman" w:hint="eastAsia"/>
          <w:color w:val="000000" w:themeColor="text1"/>
          <w:kern w:val="0"/>
          <w:sz w:val="22"/>
        </w:rPr>
        <w:t xml:space="preserve"> </w:t>
      </w:r>
      <w:r w:rsidRPr="00E13B50">
        <w:rPr>
          <w:rFonts w:ascii="Times New Roman" w:hAnsi="Times New Roman"/>
          <w:color w:val="000000" w:themeColor="text1"/>
          <w:sz w:val="24"/>
          <w:szCs w:val="20"/>
        </w:rPr>
        <w:t xml:space="preserve">in </w:t>
      </w:r>
      <w:r w:rsidRPr="00E13B50">
        <w:rPr>
          <w:rFonts w:ascii="Times New Roman" w:hAnsi="Times New Roman" w:cs="Times New Roman"/>
          <w:bCs/>
          <w:color w:val="000000" w:themeColor="text1"/>
          <w:kern w:val="0"/>
          <w:sz w:val="24"/>
          <w:szCs w:val="24"/>
        </w:rPr>
        <w:t>adult patients with OHCA</w:t>
      </w:r>
      <w:r w:rsidRPr="00E13B50">
        <w:rPr>
          <w:rFonts w:ascii="Times New Roman" w:hAnsi="Times New Roman"/>
          <w:color w:val="000000" w:themeColor="text1"/>
          <w:sz w:val="24"/>
          <w:szCs w:val="20"/>
        </w:rPr>
        <w:t>.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830"/>
        <w:gridCol w:w="1843"/>
        <w:gridCol w:w="1134"/>
        <w:gridCol w:w="1843"/>
        <w:gridCol w:w="1134"/>
      </w:tblGrid>
      <w:tr w:rsidR="00F45AE9" w:rsidRPr="00F80FF4" w:rsidTr="00F45AE9">
        <w:trPr>
          <w:trHeight w:val="309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bookmarkEnd w:id="1"/>
          <w:p w:rsidR="00F45AE9" w:rsidRPr="00D27FBF" w:rsidRDefault="00F45AE9" w:rsidP="00F45AE9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Variable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F45AE9" w:rsidRPr="00D27FBF" w:rsidRDefault="00F45AE9" w:rsidP="00F45AE9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Univariable model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F45AE9" w:rsidRPr="00D27FBF" w:rsidRDefault="00F45AE9" w:rsidP="00F45AE9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Multivariable model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OR (95% CI)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p-value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</w:t>
            </w:r>
            <w:r w:rsidRPr="00D27FBF">
              <w:rPr>
                <w:rFonts w:ascii="Times New Roman" w:hAnsi="Times New Roman"/>
                <w:sz w:val="22"/>
              </w:rPr>
              <w:t>OR (95% CI)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p-value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Older age (yes vs. no)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0.13 (0.10-0.19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0.19 (0.13-0.27)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&lt;0.001</w:t>
            </w:r>
          </w:p>
        </w:tc>
      </w:tr>
      <w:tr w:rsidR="00F45AE9" w:rsidRPr="00F80FF4" w:rsidTr="00F45AE9">
        <w:trPr>
          <w:trHeight w:val="27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Gender (male vs. female)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3.05 (2.07-4.51)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1.92 (1.26-2.92)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&lt;0.003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27FBF">
              <w:rPr>
                <w:rFonts w:ascii="Times New Roman" w:hAnsi="Times New Roman"/>
                <w:b/>
                <w:sz w:val="22"/>
              </w:rPr>
              <w:t>Time from collapse to CPR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 4 min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-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color w:val="000000"/>
                <w:kern w:val="0"/>
                <w:sz w:val="22"/>
              </w:rPr>
              <w:t>≥ 4 to &lt; 8 min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1.27 (0.65-2.49)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0.477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1.10 (0.53-2.31)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0.792</w:t>
            </w:r>
          </w:p>
        </w:tc>
      </w:tr>
      <w:tr w:rsidR="00F45AE9" w:rsidRPr="00F80FF4" w:rsidTr="00F45AE9">
        <w:trPr>
          <w:trHeight w:val="27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color w:val="000000"/>
                <w:kern w:val="0"/>
                <w:sz w:val="22"/>
              </w:rPr>
              <w:t>≥ 8 to &lt; 15 min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0.66 (0.34-1.29)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0.225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0.63 (0.30-1.31)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0.213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 xml:space="preserve"> </w:t>
            </w:r>
            <w:r w:rsidRPr="00D27FBF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≥ </w:t>
            </w:r>
            <w:r w:rsidRPr="00D27FBF">
              <w:rPr>
                <w:rFonts w:ascii="Times New Roman" w:hAnsi="Times New Roman"/>
                <w:sz w:val="22"/>
              </w:rPr>
              <w:t>15 min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0.23 (0.10-0.54)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0.26 (0.10-0.67)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0.005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27FBF">
              <w:rPr>
                <w:rFonts w:ascii="Times New Roman" w:hAnsi="Times New Roman"/>
                <w:b/>
                <w:sz w:val="22"/>
              </w:rPr>
              <w:t>Underlying disease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Hypertension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0.72 (0.52-0.99)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0.046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1.36 (0.92-2.01)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0.123</w:t>
            </w:r>
          </w:p>
        </w:tc>
      </w:tr>
      <w:tr w:rsidR="00F45AE9" w:rsidRPr="00F80FF4" w:rsidTr="00F45AE9">
        <w:trPr>
          <w:trHeight w:val="27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color w:val="000000"/>
                <w:kern w:val="0"/>
                <w:sz w:val="22"/>
              </w:rPr>
              <w:t>Diabetes mellitus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0.45 (0.29-0.70)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0.57 (0.35-0.93)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0.025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Coronary artery disease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1.35 (0.95-1.92)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0.095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1.85 (1.23-2.78)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0.003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Cerebrovascular disease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0.36 (0.17-0.73)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0.005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0.65 (0.31-1.39)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0.271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Cancer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0.24 (0.12-0.50)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0.41 (0.19-0.87)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0.020</w:t>
            </w:r>
          </w:p>
        </w:tc>
      </w:tr>
      <w:tr w:rsidR="00F45AE9" w:rsidRPr="00F80FF4" w:rsidTr="00F45AE9">
        <w:trPr>
          <w:trHeight w:val="27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27FBF">
              <w:rPr>
                <w:rFonts w:ascii="Times New Roman" w:hAnsi="Times New Roman"/>
                <w:b/>
                <w:sz w:val="22"/>
              </w:rPr>
              <w:t>CPR location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Home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-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Medical/nursing institution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0.39 (0.15-0.96)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0.041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0.52 (0.20-1.32)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0.169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Others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4.56 (3.34-6.23)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2.33 (1.63-3.32)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&lt;0.001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27FBF">
              <w:rPr>
                <w:rFonts w:ascii="Times New Roman" w:hAnsi="Times New Roman"/>
                <w:b/>
                <w:sz w:val="22"/>
              </w:rPr>
              <w:t xml:space="preserve">Type of DA-CPR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F45AE9" w:rsidRPr="00F80FF4" w:rsidTr="00F45AE9">
        <w:trPr>
          <w:trHeight w:val="27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 xml:space="preserve">Audio instruction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-</w:t>
            </w:r>
          </w:p>
        </w:tc>
      </w:tr>
      <w:tr w:rsidR="00F45AE9" w:rsidRPr="00F80FF4" w:rsidTr="00F45AE9">
        <w:trPr>
          <w:trHeight w:val="309"/>
        </w:trPr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 xml:space="preserve">Video instruction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3.30 (2.41-4.52)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2.11 (1.48-3.01)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AE9" w:rsidRPr="00D27FBF" w:rsidRDefault="00F45AE9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D27FBF">
              <w:rPr>
                <w:rFonts w:ascii="Times New Roman" w:hAnsi="Times New Roman"/>
                <w:sz w:val="22"/>
              </w:rPr>
              <w:t>&lt;0.001</w:t>
            </w:r>
          </w:p>
        </w:tc>
      </w:tr>
    </w:tbl>
    <w:p w:rsidR="00503F2F" w:rsidRPr="005E1D46" w:rsidRDefault="00F45AE9" w:rsidP="00503F2F">
      <w:pPr>
        <w:pStyle w:val="EndNoteBibliography"/>
        <w:spacing w:line="48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Cs w:val="16"/>
        </w:rPr>
        <w:t xml:space="preserve">OR, odd ratio; aOR, adjusted OR; CI, confidence interval </w:t>
      </w:r>
    </w:p>
    <w:p w:rsidR="00503F2F" w:rsidRDefault="00503F2F" w:rsidP="00503F2F">
      <w:pPr>
        <w:pStyle w:val="EndNoteBibliography"/>
        <w:spacing w:line="480" w:lineRule="auto"/>
        <w:rPr>
          <w:rFonts w:ascii="Times New Roman" w:hAnsi="Times New Roman"/>
          <w:color w:val="000000"/>
          <w:sz w:val="24"/>
          <w:szCs w:val="20"/>
        </w:rPr>
      </w:pPr>
    </w:p>
    <w:p w:rsidR="00503F2F" w:rsidRPr="00A600B8" w:rsidRDefault="00503F2F" w:rsidP="00503F2F">
      <w:pPr>
        <w:pStyle w:val="EndNoteBibliography"/>
        <w:spacing w:line="480" w:lineRule="auto"/>
        <w:rPr>
          <w:rFonts w:ascii="Times New Roman" w:eastAsia="굴림" w:hAnsi="Times New Roman"/>
          <w:color w:val="000000" w:themeColor="text1"/>
          <w:kern w:val="0"/>
          <w:sz w:val="24"/>
          <w:szCs w:val="20"/>
        </w:rPr>
      </w:pPr>
      <w:r>
        <w:rPr>
          <w:rFonts w:ascii="Times New Roman" w:eastAsia="굴림" w:hAnsi="Times New Roman"/>
          <w:color w:val="000000" w:themeColor="text1"/>
          <w:kern w:val="0"/>
          <w:sz w:val="24"/>
          <w:szCs w:val="20"/>
        </w:rPr>
        <w:t xml:space="preserve"> </w:t>
      </w:r>
    </w:p>
    <w:p w:rsidR="00503F2F" w:rsidRDefault="00503F2F" w:rsidP="00503F2F">
      <w:pPr>
        <w:widowControl/>
        <w:wordWrap/>
        <w:autoSpaceDE/>
        <w:autoSpaceDN/>
        <w:spacing w:after="0" w:line="480" w:lineRule="auto"/>
        <w:rPr>
          <w:rFonts w:ascii="함초롬바탕" w:eastAsia="함초롬바탕" w:hAnsi="함초롬바탕" w:cs="함초롬바탕"/>
          <w:szCs w:val="16"/>
        </w:rPr>
      </w:pPr>
    </w:p>
    <w:p w:rsidR="00503F2F" w:rsidRDefault="00503F2F" w:rsidP="00503F2F">
      <w:pPr>
        <w:spacing w:line="360" w:lineRule="auto"/>
        <w:rPr>
          <w:rFonts w:ascii="Times New Roman" w:hAnsi="Times New Roman"/>
          <w:color w:val="000000"/>
          <w:szCs w:val="20"/>
        </w:rPr>
      </w:pPr>
    </w:p>
    <w:p w:rsidR="00503F2F" w:rsidRDefault="00503F2F" w:rsidP="00503F2F">
      <w:pPr>
        <w:pStyle w:val="EndNoteBibliography"/>
        <w:spacing w:line="480" w:lineRule="auto"/>
        <w:rPr>
          <w:rFonts w:ascii="Times New Roman" w:hAnsi="Times New Roman" w:cs="Times New Roman"/>
          <w:b/>
          <w:sz w:val="24"/>
          <w:szCs w:val="20"/>
        </w:rPr>
      </w:pPr>
    </w:p>
    <w:p w:rsidR="00503F2F" w:rsidRDefault="00503F2F">
      <w:pPr>
        <w:widowControl/>
        <w:wordWrap/>
        <w:autoSpaceDE/>
        <w:autoSpaceDN/>
        <w:rPr>
          <w:rFonts w:ascii="Times New Roman" w:eastAsia="맑은 고딕" w:hAnsi="Times New Roman" w:cs="Times New Roman"/>
          <w:b/>
          <w:noProof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020D82" w:rsidRDefault="00503F2F" w:rsidP="00020D82">
      <w:pPr>
        <w:pStyle w:val="EndNoteBibliography"/>
        <w:spacing w:line="480" w:lineRule="auto"/>
        <w:rPr>
          <w:rFonts w:ascii="Times New Roman" w:hAnsi="Times New Roman"/>
          <w:color w:val="000000"/>
          <w:sz w:val="24"/>
          <w:szCs w:val="20"/>
        </w:rPr>
      </w:pPr>
      <w:r w:rsidRPr="002A27F5">
        <w:rPr>
          <w:rFonts w:ascii="Times New Roman" w:hAnsi="Times New Roman" w:cs="Times New Roman"/>
          <w:b/>
          <w:sz w:val="24"/>
          <w:szCs w:val="20"/>
        </w:rPr>
        <w:lastRenderedPageBreak/>
        <w:t>Table 3.</w:t>
      </w:r>
      <w:r w:rsidRPr="002A27F5">
        <w:rPr>
          <w:rFonts w:ascii="Times New Roman" w:hAnsi="Times New Roman" w:cs="Times New Roman"/>
          <w:sz w:val="24"/>
          <w:szCs w:val="20"/>
        </w:rPr>
        <w:t xml:space="preserve"> </w:t>
      </w:r>
      <w:r w:rsidR="00020D82" w:rsidRPr="002A27F5">
        <w:rPr>
          <w:rFonts w:ascii="Times New Roman" w:hAnsi="Times New Roman"/>
          <w:color w:val="000000"/>
          <w:sz w:val="24"/>
          <w:szCs w:val="20"/>
        </w:rPr>
        <w:t xml:space="preserve">Binary </w:t>
      </w:r>
      <w:r w:rsidR="00020D82" w:rsidRPr="002A27F5">
        <w:rPr>
          <w:rFonts w:ascii="Times New Roman" w:hAnsi="Times New Roman" w:hint="eastAsia"/>
          <w:color w:val="000000"/>
          <w:sz w:val="24"/>
          <w:szCs w:val="20"/>
        </w:rPr>
        <w:t>lo</w:t>
      </w:r>
      <w:r w:rsidR="00020D82" w:rsidRPr="002A27F5">
        <w:rPr>
          <w:rFonts w:ascii="Times New Roman" w:hAnsi="Times New Roman"/>
          <w:color w:val="000000"/>
          <w:sz w:val="24"/>
          <w:szCs w:val="20"/>
        </w:rPr>
        <w:t xml:space="preserve">gistic regression analysis </w:t>
      </w:r>
      <w:r w:rsidR="00020D82" w:rsidRPr="00F64666">
        <w:rPr>
          <w:rFonts w:ascii="Times New Roman" w:hAnsi="Times New Roman"/>
          <w:color w:val="000000"/>
          <w:sz w:val="24"/>
          <w:szCs w:val="20"/>
        </w:rPr>
        <w:t xml:space="preserve">of </w:t>
      </w:r>
      <w:r w:rsidR="00020D82">
        <w:rPr>
          <w:rFonts w:ascii="Times New Roman" w:hAnsi="Times New Roman"/>
          <w:color w:val="000000"/>
          <w:sz w:val="24"/>
          <w:szCs w:val="20"/>
        </w:rPr>
        <w:t xml:space="preserve">the </w:t>
      </w:r>
      <w:r w:rsidR="00020D82" w:rsidRPr="00F64666">
        <w:rPr>
          <w:rFonts w:ascii="Times New Roman" w:hAnsi="Times New Roman"/>
          <w:color w:val="000000"/>
          <w:sz w:val="24"/>
          <w:szCs w:val="20"/>
        </w:rPr>
        <w:t>adjusted odds ratio of the survival to discharge</w:t>
      </w:r>
      <w:r w:rsidR="00020D82" w:rsidRPr="002A27F5">
        <w:rPr>
          <w:rFonts w:ascii="Times New Roman" w:hAnsi="Times New Roman"/>
          <w:color w:val="000000"/>
          <w:sz w:val="24"/>
          <w:szCs w:val="20"/>
        </w:rPr>
        <w:t xml:space="preserve"> in</w:t>
      </w:r>
      <w:r w:rsidR="00020D82" w:rsidRPr="002D7B9B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 </w:t>
      </w:r>
      <w:r w:rsidR="00020D82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adult </w:t>
      </w:r>
      <w:r w:rsidR="00020D82" w:rsidRPr="002A27F5">
        <w:rPr>
          <w:rFonts w:ascii="Times New Roman" w:hAnsi="Times New Roman"/>
          <w:bCs/>
          <w:color w:val="000000"/>
          <w:kern w:val="0"/>
          <w:sz w:val="24"/>
          <w:szCs w:val="24"/>
        </w:rPr>
        <w:t>patients with OHCA</w:t>
      </w:r>
      <w:r w:rsidR="00020D82">
        <w:rPr>
          <w:rFonts w:ascii="Times New Roman" w:hAnsi="Times New Roman"/>
          <w:bCs/>
          <w:color w:val="000000"/>
          <w:kern w:val="0"/>
          <w:sz w:val="24"/>
          <w:szCs w:val="24"/>
        </w:rPr>
        <w:t xml:space="preserve">. </w:t>
      </w:r>
      <w:r w:rsidR="00020D82" w:rsidRPr="00C72AD7">
        <w:rPr>
          <w:rFonts w:ascii="Times New Roman" w:hAnsi="Times New Roman"/>
          <w:color w:val="000000"/>
          <w:sz w:val="24"/>
          <w:szCs w:val="20"/>
        </w:rPr>
        <w:t xml:space="preserve"> </w:t>
      </w:r>
    </w:p>
    <w:tbl>
      <w:tblPr>
        <w:tblStyle w:val="a3"/>
        <w:tblW w:w="90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985"/>
        <w:gridCol w:w="992"/>
        <w:gridCol w:w="1935"/>
        <w:gridCol w:w="1132"/>
      </w:tblGrid>
      <w:tr w:rsidR="00020D82" w:rsidRPr="00616293" w:rsidTr="00020D82">
        <w:tc>
          <w:tcPr>
            <w:tcW w:w="2972" w:type="dxa"/>
            <w:tcBorders>
              <w:top w:val="single" w:sz="4" w:space="0" w:color="auto"/>
              <w:bottom w:val="nil"/>
            </w:tcBorders>
            <w:shd w:val="clear" w:color="auto" w:fill="D0CECE" w:themeFill="background2" w:themeFillShade="E6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Variable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</w:tcBorders>
            <w:shd w:val="clear" w:color="auto" w:fill="D0CECE" w:themeFill="background2" w:themeFillShade="E6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U</w:t>
            </w:r>
            <w:r>
              <w:rPr>
                <w:rFonts w:ascii="Times New Roman" w:hAnsi="Times New Roman"/>
                <w:sz w:val="22"/>
              </w:rPr>
              <w:t>nivariable model</w:t>
            </w:r>
          </w:p>
        </w:tc>
        <w:tc>
          <w:tcPr>
            <w:tcW w:w="3067" w:type="dxa"/>
            <w:gridSpan w:val="2"/>
            <w:tcBorders>
              <w:top w:val="single" w:sz="4" w:space="0" w:color="auto"/>
              <w:bottom w:val="nil"/>
            </w:tcBorders>
            <w:shd w:val="clear" w:color="auto" w:fill="D0CECE" w:themeFill="background2" w:themeFillShade="E6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Multivariable model</w:t>
            </w:r>
          </w:p>
        </w:tc>
      </w:tr>
      <w:tr w:rsidR="00020D82" w:rsidRPr="00616293" w:rsidTr="00020D82">
        <w:tc>
          <w:tcPr>
            <w:tcW w:w="2972" w:type="dxa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</w:tcPr>
          <w:p w:rsidR="00020D82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O</w:t>
            </w:r>
            <w:r>
              <w:rPr>
                <w:rFonts w:ascii="Times New Roman" w:hAnsi="Times New Roman"/>
                <w:sz w:val="22"/>
              </w:rPr>
              <w:t>R (95% CI)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p</w:t>
            </w:r>
            <w:r>
              <w:rPr>
                <w:rFonts w:ascii="Times New Roman" w:hAnsi="Times New Roman"/>
                <w:sz w:val="22"/>
              </w:rPr>
              <w:t>-value</w:t>
            </w:r>
          </w:p>
        </w:tc>
        <w:tc>
          <w:tcPr>
            <w:tcW w:w="1935" w:type="dxa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</w:t>
            </w:r>
            <w:r>
              <w:rPr>
                <w:rFonts w:ascii="Times New Roman" w:hAnsi="Times New Roman" w:hint="eastAsia"/>
                <w:sz w:val="22"/>
              </w:rPr>
              <w:t>O</w:t>
            </w:r>
            <w:r>
              <w:rPr>
                <w:rFonts w:ascii="Times New Roman" w:hAnsi="Times New Roman"/>
                <w:sz w:val="22"/>
              </w:rPr>
              <w:t>R (95% CI)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D0CECE" w:themeFill="background2" w:themeFillShade="E6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p</w:t>
            </w:r>
            <w:r>
              <w:rPr>
                <w:rFonts w:ascii="Times New Roman" w:hAnsi="Times New Roman"/>
                <w:sz w:val="22"/>
              </w:rPr>
              <w:t>-value</w:t>
            </w:r>
          </w:p>
        </w:tc>
      </w:tr>
      <w:tr w:rsidR="00020D82" w:rsidRPr="00616293" w:rsidTr="00020D82">
        <w:tc>
          <w:tcPr>
            <w:tcW w:w="2972" w:type="dxa"/>
            <w:tcBorders>
              <w:top w:val="single" w:sz="4" w:space="0" w:color="auto"/>
            </w:tcBorders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Older a</w:t>
            </w:r>
            <w:r w:rsidRPr="00616293">
              <w:rPr>
                <w:rFonts w:ascii="Times New Roman" w:hAnsi="Times New Roman"/>
                <w:sz w:val="22"/>
              </w:rPr>
              <w:t>ge (yes vs. no)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.17 (0.13-0.22)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&lt;</w:t>
            </w:r>
            <w:r>
              <w:rPr>
                <w:rFonts w:ascii="Times New Roman" w:hAnsi="Times New Roman"/>
                <w:sz w:val="22"/>
              </w:rPr>
              <w:t>0.001</w:t>
            </w:r>
          </w:p>
        </w:tc>
        <w:tc>
          <w:tcPr>
            <w:tcW w:w="1935" w:type="dxa"/>
            <w:tcBorders>
              <w:top w:val="single" w:sz="4" w:space="0" w:color="auto"/>
            </w:tcBorders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0.22 (0.17-0.30)</w:t>
            </w:r>
          </w:p>
        </w:tc>
        <w:tc>
          <w:tcPr>
            <w:tcW w:w="1132" w:type="dxa"/>
            <w:tcBorders>
              <w:top w:val="single" w:sz="4" w:space="0" w:color="auto"/>
            </w:tcBorders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&lt;0.001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Gender (male vs. f</w:t>
            </w:r>
            <w:r w:rsidRPr="00616293">
              <w:rPr>
                <w:rFonts w:ascii="Times New Roman" w:hAnsi="Times New Roman"/>
                <w:sz w:val="22"/>
              </w:rPr>
              <w:t>emale)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.55 (1.90-3.41)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&lt;</w:t>
            </w:r>
            <w:r>
              <w:rPr>
                <w:rFonts w:ascii="Times New Roman" w:hAnsi="Times New Roman"/>
                <w:sz w:val="22"/>
              </w:rPr>
              <w:t>0.001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1.77 (1.28-2.44)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&lt;0.003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FF7677" w:rsidRDefault="00020D82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F7677">
              <w:rPr>
                <w:rFonts w:ascii="Times New Roman" w:hAnsi="Times New Roman"/>
                <w:b/>
                <w:sz w:val="22"/>
              </w:rPr>
              <w:t>Time from collapse to CPR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5E1D46">
              <w:rPr>
                <w:rFonts w:ascii="Times New Roman" w:hAnsi="Times New Roman"/>
                <w:sz w:val="22"/>
              </w:rPr>
              <w:t>&lt; 4 min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-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-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396453">
              <w:rPr>
                <w:rFonts w:ascii="Times New Roman" w:hAnsi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4 to</w:t>
            </w:r>
            <w:r w:rsidRPr="0039645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&lt; 8 min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.38 (0.79-2.41)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.258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1.31 (0.71-2.43)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0.390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396453">
              <w:rPr>
                <w:rFonts w:ascii="Times New Roman" w:hAnsi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396453"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to</w:t>
            </w:r>
            <w:r w:rsidRPr="00396453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&lt; 15 min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.69 (0.39-1.19)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.183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0.70 (0.38-1.29)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0.255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5E1D46">
              <w:rPr>
                <w:rFonts w:ascii="Times New Roman" w:hAnsi="Times New Roman"/>
                <w:sz w:val="22"/>
              </w:rPr>
              <w:t xml:space="preserve"> </w:t>
            </w:r>
            <w:r w:rsidRPr="00396453">
              <w:rPr>
                <w:rFonts w:ascii="Times New Roman" w:hAnsi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5E1D46">
              <w:rPr>
                <w:rFonts w:ascii="Times New Roman" w:hAnsi="Times New Roman"/>
                <w:sz w:val="22"/>
              </w:rPr>
              <w:t>15 min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.30 (0.15-0.58)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&lt;</w:t>
            </w:r>
            <w:r>
              <w:rPr>
                <w:rFonts w:ascii="Times New Roman" w:hAnsi="Times New Roman"/>
                <w:sz w:val="22"/>
              </w:rPr>
              <w:t>0.001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0.34 (0.17-0.72)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0.005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FF7677" w:rsidRDefault="00020D82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F7677">
              <w:rPr>
                <w:rFonts w:ascii="Times New Roman" w:hAnsi="Times New Roman" w:hint="eastAsia"/>
                <w:b/>
                <w:sz w:val="22"/>
              </w:rPr>
              <w:t>Under</w:t>
            </w:r>
            <w:r w:rsidRPr="00FF7677">
              <w:rPr>
                <w:rFonts w:ascii="Times New Roman" w:hAnsi="Times New Roman"/>
                <w:b/>
                <w:sz w:val="22"/>
              </w:rPr>
              <w:t>lying dis</w:t>
            </w:r>
            <w:r>
              <w:rPr>
                <w:rFonts w:ascii="Times New Roman" w:hAnsi="Times New Roman"/>
                <w:b/>
                <w:sz w:val="22"/>
              </w:rPr>
              <w:t>ease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Hypertension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.65 (0.50-0.84)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.001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1.10 (0.80-1.51)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0.568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396453">
              <w:rPr>
                <w:rFonts w:ascii="Times New Roman" w:hAnsi="Times New Roman"/>
                <w:color w:val="000000"/>
                <w:kern w:val="0"/>
                <w:sz w:val="22"/>
              </w:rPr>
              <w:t>Diabetes mellitus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.47 (0.34-0.66)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&lt;</w:t>
            </w:r>
            <w:r>
              <w:rPr>
                <w:rFonts w:ascii="Times New Roman" w:hAnsi="Times New Roman"/>
                <w:sz w:val="22"/>
              </w:rPr>
              <w:t>0.001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0.60 (0.41-0.88)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0.009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Coronary artery disease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>.41 (1.06-1.88)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.018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1.97 (1.41-2.75)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&lt;0.001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Cerebrovascular disease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.42 (0.25-0.71)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.001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0.69 (0.39-1.20)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0.189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Cancer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.21 (0.11-0.37)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&lt;</w:t>
            </w:r>
            <w:r>
              <w:rPr>
                <w:rFonts w:ascii="Times New Roman" w:hAnsi="Times New Roman"/>
                <w:sz w:val="22"/>
              </w:rPr>
              <w:t>0.001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0.31 (0.17-0.58)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&lt;0.001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FF7677" w:rsidRDefault="00020D82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F7677">
              <w:rPr>
                <w:rFonts w:ascii="Times New Roman" w:hAnsi="Times New Roman"/>
                <w:b/>
                <w:sz w:val="22"/>
              </w:rPr>
              <w:t xml:space="preserve">CPR </w:t>
            </w:r>
            <w:r>
              <w:rPr>
                <w:rFonts w:ascii="Times New Roman" w:hAnsi="Times New Roman"/>
                <w:b/>
                <w:sz w:val="22"/>
              </w:rPr>
              <w:t>location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Home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-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-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Me</w:t>
            </w:r>
            <w:r>
              <w:rPr>
                <w:rFonts w:ascii="Times New Roman" w:hAnsi="Times New Roman"/>
                <w:sz w:val="22"/>
              </w:rPr>
              <w:t>dical/n</w:t>
            </w:r>
            <w:r w:rsidRPr="00616293">
              <w:rPr>
                <w:rFonts w:ascii="Times New Roman" w:hAnsi="Times New Roman"/>
                <w:sz w:val="22"/>
              </w:rPr>
              <w:t>ursing institution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.90 (0.54-1.48)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0</w:t>
            </w:r>
            <w:r>
              <w:rPr>
                <w:rFonts w:ascii="Times New Roman" w:hAnsi="Times New Roman"/>
                <w:sz w:val="22"/>
              </w:rPr>
              <w:t>.675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1.15 (0.67-1.98)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0.603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Others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.60 (3.54-5.98)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&lt;</w:t>
            </w:r>
            <w:r>
              <w:rPr>
                <w:rFonts w:ascii="Times New Roman" w:hAnsi="Times New Roman"/>
                <w:sz w:val="22"/>
              </w:rPr>
              <w:t>0.001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2.50 (1.85-3.38)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&lt;0.001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FF7677" w:rsidRDefault="00020D82" w:rsidP="00AC35E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FF7677">
              <w:rPr>
                <w:rFonts w:ascii="Times New Roman" w:hAnsi="Times New Roman" w:hint="eastAsia"/>
                <w:b/>
                <w:sz w:val="22"/>
              </w:rPr>
              <w:t xml:space="preserve">Type of </w:t>
            </w:r>
            <w:r>
              <w:rPr>
                <w:rFonts w:ascii="Times New Roman" w:hAnsi="Times New Roman"/>
                <w:b/>
                <w:sz w:val="22"/>
              </w:rPr>
              <w:t>DA-</w:t>
            </w:r>
            <w:r w:rsidRPr="00FF7677">
              <w:rPr>
                <w:rFonts w:ascii="Times New Roman" w:hAnsi="Times New Roman" w:hint="eastAsia"/>
                <w:b/>
                <w:sz w:val="22"/>
              </w:rPr>
              <w:t xml:space="preserve">CPR 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Audio instruction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-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1.0 (reference)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-</w:t>
            </w:r>
          </w:p>
        </w:tc>
      </w:tr>
      <w:tr w:rsidR="00020D82" w:rsidRPr="00616293" w:rsidTr="00020D82">
        <w:tc>
          <w:tcPr>
            <w:tcW w:w="297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5E1D46">
              <w:rPr>
                <w:rFonts w:ascii="Times New Roman" w:hAnsi="Times New Roman"/>
                <w:sz w:val="22"/>
              </w:rPr>
              <w:t>Video</w:t>
            </w:r>
            <w:r>
              <w:rPr>
                <w:rFonts w:ascii="Times New Roman" w:hAnsi="Times New Roman"/>
                <w:sz w:val="22"/>
              </w:rPr>
              <w:t xml:space="preserve"> instruction  </w:t>
            </w:r>
          </w:p>
        </w:tc>
        <w:tc>
          <w:tcPr>
            <w:tcW w:w="198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.67 (2.04-3.48)</w:t>
            </w:r>
          </w:p>
        </w:tc>
        <w:tc>
          <w:tcPr>
            <w:tcW w:w="99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&lt;</w:t>
            </w:r>
            <w:r>
              <w:rPr>
                <w:rFonts w:ascii="Times New Roman" w:hAnsi="Times New Roman"/>
                <w:sz w:val="22"/>
              </w:rPr>
              <w:t>0.001</w:t>
            </w:r>
          </w:p>
        </w:tc>
        <w:tc>
          <w:tcPr>
            <w:tcW w:w="1935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1.81 (1.33-2.46)</w:t>
            </w:r>
          </w:p>
        </w:tc>
        <w:tc>
          <w:tcPr>
            <w:tcW w:w="1132" w:type="dxa"/>
          </w:tcPr>
          <w:p w:rsidR="00020D82" w:rsidRPr="00616293" w:rsidRDefault="00020D82" w:rsidP="00AC35E2">
            <w:pPr>
              <w:jc w:val="center"/>
              <w:rPr>
                <w:rFonts w:ascii="Times New Roman" w:hAnsi="Times New Roman"/>
                <w:sz w:val="22"/>
              </w:rPr>
            </w:pPr>
            <w:r w:rsidRPr="00616293">
              <w:rPr>
                <w:rFonts w:ascii="Times New Roman" w:hAnsi="Times New Roman"/>
                <w:sz w:val="22"/>
              </w:rPr>
              <w:t>&lt;0.001</w:t>
            </w:r>
          </w:p>
        </w:tc>
      </w:tr>
    </w:tbl>
    <w:p w:rsidR="00020D82" w:rsidRPr="005E1D46" w:rsidRDefault="00020D82" w:rsidP="00020D82">
      <w:pPr>
        <w:pStyle w:val="EndNoteBibliography"/>
        <w:spacing w:line="480" w:lineRule="auto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Cs w:val="16"/>
        </w:rPr>
        <w:t xml:space="preserve">OR, odd ratio; aOR, adjusted OR; CI, confidence interval </w:t>
      </w:r>
    </w:p>
    <w:p w:rsidR="00C6127F" w:rsidRPr="00020D82" w:rsidRDefault="00C6127F" w:rsidP="00503F2F"/>
    <w:sectPr w:rsidR="00C6127F" w:rsidRPr="00020D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072" w:rsidRDefault="00181072" w:rsidP="00990B98">
      <w:pPr>
        <w:spacing w:after="0" w:line="240" w:lineRule="auto"/>
      </w:pPr>
      <w:r>
        <w:separator/>
      </w:r>
    </w:p>
  </w:endnote>
  <w:endnote w:type="continuationSeparator" w:id="0">
    <w:p w:rsidR="00181072" w:rsidRDefault="00181072" w:rsidP="0099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072" w:rsidRDefault="00181072" w:rsidP="00990B98">
      <w:pPr>
        <w:spacing w:after="0" w:line="240" w:lineRule="auto"/>
      </w:pPr>
      <w:r>
        <w:separator/>
      </w:r>
    </w:p>
  </w:footnote>
  <w:footnote w:type="continuationSeparator" w:id="0">
    <w:p w:rsidR="00181072" w:rsidRDefault="00181072" w:rsidP="00990B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2F"/>
    <w:rsid w:val="00020D82"/>
    <w:rsid w:val="00165009"/>
    <w:rsid w:val="00181072"/>
    <w:rsid w:val="002B3E58"/>
    <w:rsid w:val="005017AB"/>
    <w:rsid w:val="00503F2F"/>
    <w:rsid w:val="0062692B"/>
    <w:rsid w:val="00641519"/>
    <w:rsid w:val="00990B98"/>
    <w:rsid w:val="00C6127F"/>
    <w:rsid w:val="00E13B50"/>
    <w:rsid w:val="00F4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1FACEF-7F1F-4CD4-85EF-BA577591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F2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">
    <w:name w:val="EndNote Bibliography"/>
    <w:basedOn w:val="a"/>
    <w:link w:val="EndNoteBibliographyChar"/>
    <w:rsid w:val="00503F2F"/>
    <w:pPr>
      <w:spacing w:after="0"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503F2F"/>
    <w:rPr>
      <w:rFonts w:ascii="맑은 고딕" w:eastAsia="맑은 고딕" w:hAnsi="맑은 고딕"/>
      <w:noProof/>
    </w:rPr>
  </w:style>
  <w:style w:type="table" w:styleId="a3">
    <w:name w:val="Table Grid"/>
    <w:basedOn w:val="a1"/>
    <w:uiPriority w:val="39"/>
    <w:rsid w:val="0050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90B9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990B98"/>
  </w:style>
  <w:style w:type="paragraph" w:styleId="a5">
    <w:name w:val="footer"/>
    <w:basedOn w:val="a"/>
    <w:link w:val="Char0"/>
    <w:uiPriority w:val="99"/>
    <w:unhideWhenUsed/>
    <w:rsid w:val="00990B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99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3</cp:revision>
  <dcterms:created xsi:type="dcterms:W3CDTF">2021-03-24T23:40:00Z</dcterms:created>
  <dcterms:modified xsi:type="dcterms:W3CDTF">2021-03-24T23:40:00Z</dcterms:modified>
</cp:coreProperties>
</file>