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F64A9" w14:textId="77777777" w:rsidR="00DF4259" w:rsidRPr="00B066D3" w:rsidRDefault="00DF4259" w:rsidP="00DF4259">
      <w:pPr>
        <w:pStyle w:val="c-article-author-listitem"/>
        <w:shd w:val="clear" w:color="auto" w:fill="FFFFFF"/>
        <w:spacing w:line="276" w:lineRule="auto"/>
        <w:jc w:val="both"/>
        <w:outlineLvl w:val="0"/>
        <w:rPr>
          <w:rFonts w:asciiTheme="minorHAnsi" w:hAnsiTheme="minorHAnsi" w:cstheme="minorHAnsi"/>
          <w:b/>
          <w:bCs/>
          <w:color w:val="222222"/>
          <w:kern w:val="36"/>
          <w:sz w:val="44"/>
          <w:szCs w:val="44"/>
          <w:lang w:val="en-GB"/>
        </w:rPr>
      </w:pPr>
      <w:bookmarkStart w:id="0" w:name="_Toc97821946"/>
      <w:bookmarkStart w:id="1" w:name="_Toc97821978"/>
      <w:r w:rsidRPr="00B066D3">
        <w:rPr>
          <w:rFonts w:asciiTheme="minorHAnsi" w:hAnsiTheme="minorHAnsi" w:cstheme="minorHAnsi"/>
          <w:b/>
          <w:bCs/>
          <w:color w:val="222222"/>
          <w:kern w:val="36"/>
          <w:sz w:val="44"/>
          <w:szCs w:val="44"/>
          <w:lang w:val="en-GB"/>
        </w:rPr>
        <w:t>Biomimetic Silk F</w:t>
      </w:r>
      <w:r>
        <w:rPr>
          <w:rFonts w:asciiTheme="minorHAnsi" w:hAnsiTheme="minorHAnsi" w:cstheme="minorHAnsi"/>
          <w:b/>
          <w:bCs/>
          <w:color w:val="222222"/>
          <w:kern w:val="36"/>
          <w:sz w:val="44"/>
          <w:szCs w:val="44"/>
          <w:lang w:val="en-GB"/>
        </w:rPr>
        <w:t>ibre</w:t>
      </w:r>
      <w:r w:rsidRPr="00B066D3">
        <w:rPr>
          <w:rFonts w:asciiTheme="minorHAnsi" w:hAnsiTheme="minorHAnsi" w:cstheme="minorHAnsi"/>
          <w:b/>
          <w:bCs/>
          <w:color w:val="222222"/>
          <w:kern w:val="36"/>
          <w:sz w:val="44"/>
          <w:szCs w:val="44"/>
          <w:lang w:val="en-GB"/>
        </w:rPr>
        <w:t xml:space="preserve"> Assembly: Mimicking Nature's Pultrusion Process</w:t>
      </w:r>
    </w:p>
    <w:p w14:paraId="15C5788B" w14:textId="77777777" w:rsidR="00DF4259" w:rsidRPr="00B066D3" w:rsidRDefault="00DF4259" w:rsidP="00DF4259">
      <w:pPr>
        <w:spacing w:line="276" w:lineRule="auto"/>
        <w:jc w:val="both"/>
        <w:rPr>
          <w:rStyle w:val="Hyperlink"/>
          <w:rFonts w:cstheme="minorHAnsi"/>
          <w:color w:val="auto"/>
          <w:sz w:val="24"/>
          <w:szCs w:val="24"/>
          <w:u w:val="none"/>
          <w:vertAlign w:val="superscript"/>
        </w:rPr>
      </w:pPr>
      <w:r w:rsidRPr="00B066D3">
        <w:rPr>
          <w:rStyle w:val="Hyperlink"/>
          <w:rFonts w:cstheme="minorHAnsi"/>
          <w:color w:val="auto"/>
          <w:sz w:val="24"/>
          <w:szCs w:val="24"/>
          <w:u w:val="none"/>
        </w:rPr>
        <w:t>R.O. Moreno-Tortolero,</w:t>
      </w:r>
      <w:r w:rsidRPr="00B066D3">
        <w:rPr>
          <w:rStyle w:val="Hyperlink"/>
          <w:rFonts w:cstheme="minorHAnsi"/>
          <w:color w:val="auto"/>
          <w:sz w:val="24"/>
          <w:szCs w:val="24"/>
          <w:u w:val="none"/>
          <w:vertAlign w:val="superscript"/>
        </w:rPr>
        <w:t>a,b*</w:t>
      </w:r>
      <w:r w:rsidRPr="00B066D3">
        <w:rPr>
          <w:rStyle w:val="Hyperlink"/>
          <w:rFonts w:cstheme="minorHAnsi"/>
          <w:color w:val="auto"/>
          <w:sz w:val="24"/>
          <w:szCs w:val="24"/>
          <w:u w:val="none"/>
        </w:rPr>
        <w:t xml:space="preserve"> J. Michalski,</w:t>
      </w:r>
      <w:r w:rsidRPr="00B066D3">
        <w:rPr>
          <w:rStyle w:val="Hyperlink"/>
          <w:rFonts w:cstheme="minorHAnsi"/>
          <w:color w:val="auto"/>
          <w:sz w:val="24"/>
          <w:szCs w:val="24"/>
          <w:u w:val="none"/>
          <w:vertAlign w:val="superscript"/>
        </w:rPr>
        <w:t>a</w:t>
      </w:r>
      <w:r w:rsidRPr="00B066D3">
        <w:rPr>
          <w:rStyle w:val="Hyperlink"/>
          <w:rFonts w:cstheme="minorHAnsi"/>
          <w:color w:val="auto"/>
          <w:sz w:val="24"/>
          <w:szCs w:val="24"/>
          <w:u w:val="none"/>
        </w:rPr>
        <w:t xml:space="preserve"> E. Wells,</w:t>
      </w:r>
      <w:r w:rsidRPr="00B066D3">
        <w:rPr>
          <w:rStyle w:val="Hyperlink"/>
          <w:rFonts w:cstheme="minorHAnsi"/>
          <w:color w:val="auto"/>
          <w:sz w:val="24"/>
          <w:szCs w:val="24"/>
          <w:u w:val="none"/>
          <w:vertAlign w:val="superscript"/>
        </w:rPr>
        <w:t>a</w:t>
      </w:r>
      <w:r w:rsidRPr="00B066D3">
        <w:rPr>
          <w:rStyle w:val="Hyperlink"/>
          <w:rFonts w:cstheme="minorHAnsi"/>
          <w:color w:val="auto"/>
          <w:sz w:val="24"/>
          <w:szCs w:val="24"/>
          <w:u w:val="none"/>
        </w:rPr>
        <w:t xml:space="preserve"> F. Gibb,</w:t>
      </w:r>
      <w:r w:rsidRPr="00B066D3">
        <w:rPr>
          <w:rStyle w:val="Hyperlink"/>
          <w:rFonts w:cstheme="minorHAnsi"/>
          <w:color w:val="auto"/>
          <w:sz w:val="24"/>
          <w:szCs w:val="24"/>
          <w:u w:val="none"/>
          <w:vertAlign w:val="superscript"/>
        </w:rPr>
        <w:t>a</w:t>
      </w:r>
      <w:r w:rsidRPr="00B066D3">
        <w:rPr>
          <w:rStyle w:val="Hyperlink"/>
          <w:rFonts w:cstheme="minorHAnsi"/>
          <w:color w:val="auto"/>
          <w:sz w:val="24"/>
          <w:szCs w:val="24"/>
          <w:u w:val="none"/>
        </w:rPr>
        <w:t xml:space="preserve"> N. Skaer,</w:t>
      </w:r>
      <w:r w:rsidRPr="00B066D3">
        <w:rPr>
          <w:rStyle w:val="Hyperlink"/>
          <w:rFonts w:cstheme="minorHAnsi"/>
          <w:color w:val="auto"/>
          <w:sz w:val="24"/>
          <w:szCs w:val="24"/>
          <w:u w:val="none"/>
          <w:vertAlign w:val="superscript"/>
        </w:rPr>
        <w:t>c</w:t>
      </w:r>
      <w:r w:rsidRPr="00B066D3">
        <w:rPr>
          <w:rStyle w:val="Hyperlink"/>
          <w:rFonts w:cstheme="minorHAnsi"/>
          <w:color w:val="auto"/>
          <w:sz w:val="24"/>
          <w:szCs w:val="24"/>
          <w:u w:val="none"/>
        </w:rPr>
        <w:t xml:space="preserve"> R. Walker,</w:t>
      </w:r>
      <w:r w:rsidRPr="00B066D3">
        <w:rPr>
          <w:rStyle w:val="Hyperlink"/>
          <w:rFonts w:cstheme="minorHAnsi"/>
          <w:color w:val="auto"/>
          <w:sz w:val="24"/>
          <w:szCs w:val="24"/>
          <w:u w:val="none"/>
          <w:vertAlign w:val="superscript"/>
        </w:rPr>
        <w:t>c</w:t>
      </w:r>
      <w:r w:rsidRPr="00B066D3">
        <w:rPr>
          <w:rStyle w:val="Hyperlink"/>
          <w:rFonts w:cstheme="minorHAnsi"/>
          <w:color w:val="auto"/>
          <w:sz w:val="24"/>
          <w:szCs w:val="24"/>
          <w:u w:val="none"/>
        </w:rPr>
        <w:t xml:space="preserve"> L. Serpell,</w:t>
      </w:r>
      <w:r w:rsidRPr="00B066D3">
        <w:rPr>
          <w:rStyle w:val="Hyperlink"/>
          <w:rFonts w:cstheme="minorHAnsi"/>
          <w:color w:val="auto"/>
          <w:sz w:val="24"/>
          <w:szCs w:val="24"/>
          <w:u w:val="none"/>
          <w:vertAlign w:val="superscript"/>
        </w:rPr>
        <w:t>d</w:t>
      </w:r>
      <w:r w:rsidRPr="00B066D3">
        <w:rPr>
          <w:rStyle w:val="Hyperlink"/>
          <w:rFonts w:cstheme="minorHAnsi"/>
          <w:color w:val="auto"/>
          <w:sz w:val="24"/>
          <w:szCs w:val="24"/>
          <w:u w:val="none"/>
        </w:rPr>
        <w:t xml:space="preserve"> C. Holland,</w:t>
      </w:r>
      <w:r w:rsidRPr="00B066D3">
        <w:rPr>
          <w:rStyle w:val="Hyperlink"/>
          <w:rFonts w:cstheme="minorHAnsi"/>
          <w:color w:val="auto"/>
          <w:sz w:val="24"/>
          <w:szCs w:val="24"/>
          <w:u w:val="none"/>
          <w:vertAlign w:val="superscript"/>
        </w:rPr>
        <w:t>e</w:t>
      </w:r>
      <w:r w:rsidRPr="00B066D3">
        <w:rPr>
          <w:rStyle w:val="Hyperlink"/>
          <w:rFonts w:cstheme="minorHAnsi"/>
          <w:color w:val="auto"/>
          <w:sz w:val="24"/>
          <w:szCs w:val="24"/>
          <w:u w:val="none"/>
        </w:rPr>
        <w:t xml:space="preserve"> S.A. Davis</w:t>
      </w:r>
      <w:r w:rsidRPr="00B066D3">
        <w:rPr>
          <w:rStyle w:val="Hyperlink"/>
          <w:rFonts w:cstheme="minorHAnsi"/>
          <w:color w:val="auto"/>
          <w:sz w:val="24"/>
          <w:szCs w:val="24"/>
          <w:u w:val="none"/>
          <w:vertAlign w:val="superscript"/>
        </w:rPr>
        <w:t>a*</w:t>
      </w:r>
    </w:p>
    <w:p w14:paraId="53AE3B78" w14:textId="77777777" w:rsidR="00DF4259" w:rsidRPr="00B066D3" w:rsidRDefault="00DF4259" w:rsidP="00DF4259">
      <w:pPr>
        <w:pStyle w:val="c-article-author-listitem"/>
        <w:shd w:val="clear" w:color="auto" w:fill="FFFFFF"/>
        <w:spacing w:line="276" w:lineRule="auto"/>
        <w:jc w:val="center"/>
        <w:outlineLvl w:val="1"/>
        <w:rPr>
          <w:rFonts w:asciiTheme="minorHAnsi" w:eastAsiaTheme="majorEastAsia" w:hAnsiTheme="minorHAnsi" w:cstheme="minorHAnsi"/>
          <w:b/>
          <w:bCs/>
          <w:color w:val="222222"/>
          <w:sz w:val="28"/>
          <w:szCs w:val="28"/>
          <w:lang w:val="en-GB"/>
        </w:rPr>
      </w:pPr>
      <w:r w:rsidRPr="00B066D3">
        <w:rPr>
          <w:rFonts w:asciiTheme="minorHAnsi" w:eastAsiaTheme="majorEastAsia" w:hAnsiTheme="minorHAnsi" w:cstheme="minorHAnsi"/>
          <w:b/>
          <w:bCs/>
          <w:color w:val="222222"/>
          <w:sz w:val="28"/>
          <w:szCs w:val="28"/>
          <w:lang w:val="en-GB"/>
        </w:rPr>
        <w:t xml:space="preserve">Electronic Supplementary </w:t>
      </w:r>
      <w:r w:rsidRPr="00B066D3">
        <w:rPr>
          <w:rFonts w:asciiTheme="minorHAnsi" w:eastAsiaTheme="majorEastAsia" w:hAnsiTheme="minorHAnsi" w:cs="Calibri"/>
          <w:b/>
          <w:bCs/>
          <w:color w:val="222222"/>
          <w:sz w:val="28"/>
          <w:szCs w:val="28"/>
          <w:lang w:val="en-GB"/>
        </w:rPr>
        <w:t>Information</w:t>
      </w:r>
    </w:p>
    <w:p w14:paraId="5E2C55AA" w14:textId="77777777" w:rsidR="00DF4259" w:rsidRPr="00B066D3" w:rsidRDefault="00DF4259" w:rsidP="00DF4259">
      <w:pPr>
        <w:spacing w:line="276" w:lineRule="auto"/>
        <w:outlineLvl w:val="1"/>
        <w:rPr>
          <w:b/>
          <w:bCs/>
          <w:sz w:val="28"/>
          <w:szCs w:val="28"/>
        </w:rPr>
      </w:pPr>
      <w:r w:rsidRPr="00B066D3">
        <w:rPr>
          <w:b/>
          <w:bCs/>
          <w:sz w:val="28"/>
          <w:szCs w:val="28"/>
        </w:rPr>
        <w:t>Materials and Methods</w:t>
      </w:r>
      <w:bookmarkEnd w:id="0"/>
    </w:p>
    <w:p w14:paraId="65DF4A40" w14:textId="77777777" w:rsidR="00DF4259" w:rsidRPr="00B066D3" w:rsidRDefault="00DF4259" w:rsidP="00DF4259">
      <w:pPr>
        <w:pStyle w:val="Textthesis"/>
        <w:spacing w:before="240" w:line="276" w:lineRule="auto"/>
        <w:jc w:val="both"/>
        <w:outlineLvl w:val="3"/>
        <w:rPr>
          <w:b/>
          <w:bCs/>
          <w:lang w:val="en-GB"/>
        </w:rPr>
      </w:pPr>
      <w:bookmarkStart w:id="2" w:name="_Toc97821948"/>
      <w:r w:rsidRPr="00B066D3">
        <w:rPr>
          <w:b/>
          <w:bCs/>
          <w:lang w:val="en-GB"/>
        </w:rPr>
        <w:t>Native-like silk fibroin solution (NL-SF)</w:t>
      </w:r>
      <w:bookmarkEnd w:id="2"/>
    </w:p>
    <w:p w14:paraId="42305DE1" w14:textId="77777777" w:rsidR="00DF4259" w:rsidRPr="00B066D3" w:rsidRDefault="00DF4259" w:rsidP="00DF4259">
      <w:pPr>
        <w:spacing w:line="276" w:lineRule="auto"/>
        <w:jc w:val="both"/>
        <w:rPr>
          <w:rFonts w:cstheme="minorHAnsi"/>
          <w:sz w:val="24"/>
          <w:szCs w:val="24"/>
        </w:rPr>
      </w:pPr>
      <w:r w:rsidRPr="00B066D3">
        <w:rPr>
          <w:rFonts w:cstheme="minorHAnsi"/>
          <w:sz w:val="24"/>
          <w:szCs w:val="24"/>
        </w:rPr>
        <w:t xml:space="preserve">Fibroin solutions of 8.5 M LiBr and 20 wt% protein (proprietary protocol) were kindly provided by Orthox </w:t>
      </w:r>
      <w:r w:rsidRPr="00B066D3">
        <w:rPr>
          <w:rFonts w:cs="Calibri"/>
          <w:sz w:val="24"/>
          <w:szCs w:val="24"/>
        </w:rPr>
        <w:t>Ltd.</w:t>
      </w:r>
      <w:r w:rsidRPr="00B066D3">
        <w:rPr>
          <w:rFonts w:cstheme="minorHAnsi"/>
          <w:sz w:val="24"/>
          <w:szCs w:val="24"/>
        </w:rPr>
        <w:t xml:space="preserve"> in 60 mL syringes and stored at </w:t>
      </w:r>
      <w:r w:rsidRPr="00B066D3">
        <w:rPr>
          <w:rFonts w:cs="Calibri"/>
          <w:sz w:val="24"/>
          <w:szCs w:val="24"/>
        </w:rPr>
        <w:t>4°C</w:t>
      </w:r>
      <w:r w:rsidRPr="00B066D3">
        <w:rPr>
          <w:rFonts w:cstheme="minorHAnsi"/>
          <w:sz w:val="24"/>
          <w:szCs w:val="24"/>
        </w:rPr>
        <w:t xml:space="preserve"> until </w:t>
      </w:r>
      <w:r w:rsidRPr="00B066D3">
        <w:rPr>
          <w:rFonts w:cs="Calibri"/>
          <w:sz w:val="24"/>
          <w:szCs w:val="24"/>
        </w:rPr>
        <w:t>use</w:t>
      </w:r>
      <w:r w:rsidRPr="00B066D3">
        <w:rPr>
          <w:rFonts w:cstheme="minorHAnsi"/>
          <w:sz w:val="24"/>
          <w:szCs w:val="24"/>
        </w:rPr>
        <w:t xml:space="preserve">. A stock solution </w:t>
      </w:r>
      <w:r w:rsidRPr="00B066D3">
        <w:rPr>
          <w:rFonts w:cs="Calibri"/>
          <w:sz w:val="24"/>
          <w:szCs w:val="24"/>
        </w:rPr>
        <w:t>of</w:t>
      </w:r>
      <w:r w:rsidRPr="00B066D3">
        <w:rPr>
          <w:rFonts w:cstheme="minorHAnsi"/>
          <w:sz w:val="24"/>
          <w:szCs w:val="24"/>
        </w:rPr>
        <w:t xml:space="preserve"> 2 wt% was made for studies requiring diluted solutions by diluting the provided solution with 8.3 M LiBr. As a result, the 20 wt% solutions look clear </w:t>
      </w:r>
      <w:r w:rsidRPr="00B066D3">
        <w:rPr>
          <w:rFonts w:cs="Calibri"/>
          <w:sz w:val="24"/>
          <w:szCs w:val="24"/>
        </w:rPr>
        <w:t xml:space="preserve">and </w:t>
      </w:r>
      <w:r w:rsidRPr="00B066D3">
        <w:rPr>
          <w:rFonts w:cstheme="minorHAnsi"/>
          <w:sz w:val="24"/>
          <w:szCs w:val="24"/>
        </w:rPr>
        <w:t>free of precipitates, with a distinctive pale-yellow tint and low</w:t>
      </w:r>
      <w:r w:rsidRPr="00B066D3">
        <w:rPr>
          <w:rFonts w:cs="Calibri"/>
          <w:sz w:val="24"/>
          <w:szCs w:val="24"/>
        </w:rPr>
        <w:t xml:space="preserve"> </w:t>
      </w:r>
      <w:r w:rsidRPr="00B066D3">
        <w:rPr>
          <w:rFonts w:cstheme="minorHAnsi"/>
          <w:sz w:val="24"/>
          <w:szCs w:val="24"/>
        </w:rPr>
        <w:t xml:space="preserve">shear viscosity of 60 ± 3 Pa.s. The stock solutions were dialyzed against Milli-Q water using 12-14 kDa molecular weight </w:t>
      </w:r>
      <w:r w:rsidRPr="00B066D3">
        <w:rPr>
          <w:rFonts w:cs="Calibri"/>
          <w:sz w:val="24"/>
          <w:szCs w:val="24"/>
        </w:rPr>
        <w:t>cutoff</w:t>
      </w:r>
      <w:r w:rsidRPr="00B066D3">
        <w:rPr>
          <w:rFonts w:cstheme="minorHAnsi"/>
          <w:sz w:val="24"/>
          <w:szCs w:val="24"/>
        </w:rPr>
        <w:t xml:space="preserve"> (MWCO) dialysis membranes, with regular medium-to</w:t>
      </w:r>
      <w:r w:rsidRPr="00B066D3">
        <w:rPr>
          <w:rFonts w:cs="Calibri"/>
          <w:sz w:val="24"/>
          <w:szCs w:val="24"/>
        </w:rPr>
        <w:t>-</w:t>
      </w:r>
      <w:r w:rsidRPr="00B066D3">
        <w:rPr>
          <w:rFonts w:cstheme="minorHAnsi"/>
          <w:sz w:val="24"/>
          <w:szCs w:val="24"/>
        </w:rPr>
        <w:t xml:space="preserve">fresh Milli-Q water changes. LiBr removal was followed by conductivity measurements of the dialysate and contrasted against a conductivity calibration curve, often requiring 3-4 days of dialysis to remove 99.9% of </w:t>
      </w:r>
      <w:r w:rsidRPr="00B066D3">
        <w:rPr>
          <w:rFonts w:cs="Calibri"/>
          <w:sz w:val="24"/>
          <w:szCs w:val="24"/>
        </w:rPr>
        <w:t xml:space="preserve">the </w:t>
      </w:r>
      <w:r w:rsidRPr="00B066D3">
        <w:rPr>
          <w:rFonts w:cstheme="minorHAnsi"/>
          <w:sz w:val="24"/>
          <w:szCs w:val="24"/>
        </w:rPr>
        <w:t xml:space="preserve">LiBr salt. After dialysis </w:t>
      </w:r>
      <w:r w:rsidRPr="00B066D3">
        <w:rPr>
          <w:rFonts w:cs="Calibri"/>
          <w:sz w:val="24"/>
          <w:szCs w:val="24"/>
        </w:rPr>
        <w:t>at</w:t>
      </w:r>
      <w:r w:rsidRPr="00B066D3">
        <w:rPr>
          <w:rFonts w:cstheme="minorHAnsi"/>
          <w:sz w:val="24"/>
          <w:szCs w:val="24"/>
        </w:rPr>
        <w:t xml:space="preserve"> 2 wt%</w:t>
      </w:r>
      <w:r w:rsidRPr="00B066D3">
        <w:rPr>
          <w:rFonts w:cs="Calibri"/>
          <w:sz w:val="24"/>
          <w:szCs w:val="24"/>
        </w:rPr>
        <w:t>,</w:t>
      </w:r>
      <w:r w:rsidRPr="00B066D3">
        <w:rPr>
          <w:rFonts w:cstheme="minorHAnsi"/>
          <w:sz w:val="24"/>
          <w:szCs w:val="24"/>
        </w:rPr>
        <w:t xml:space="preserve"> a clear liquid solution with </w:t>
      </w:r>
      <w:r w:rsidRPr="00B066D3">
        <w:rPr>
          <w:rFonts w:cs="Calibri"/>
          <w:sz w:val="24"/>
          <w:szCs w:val="24"/>
        </w:rPr>
        <w:t xml:space="preserve">a </w:t>
      </w:r>
      <w:r w:rsidRPr="00B066D3">
        <w:rPr>
          <w:rFonts w:cstheme="minorHAnsi"/>
          <w:sz w:val="24"/>
          <w:szCs w:val="24"/>
        </w:rPr>
        <w:t xml:space="preserve">viscosity </w:t>
      </w:r>
      <w:r w:rsidRPr="00B066D3">
        <w:rPr>
          <w:rFonts w:cs="Calibri"/>
          <w:sz w:val="24"/>
          <w:szCs w:val="24"/>
        </w:rPr>
        <w:t>similar to that of</w:t>
      </w:r>
      <w:r w:rsidRPr="00B066D3">
        <w:rPr>
          <w:rFonts w:cstheme="minorHAnsi"/>
          <w:sz w:val="24"/>
          <w:szCs w:val="24"/>
        </w:rPr>
        <w:t xml:space="preserve"> pure water </w:t>
      </w:r>
      <w:r w:rsidRPr="00B066D3">
        <w:rPr>
          <w:rFonts w:cs="Calibri"/>
          <w:sz w:val="24"/>
          <w:szCs w:val="24"/>
        </w:rPr>
        <w:t>was</w:t>
      </w:r>
      <w:r w:rsidRPr="00B066D3">
        <w:rPr>
          <w:rFonts w:cstheme="minorHAnsi"/>
          <w:sz w:val="24"/>
          <w:szCs w:val="24"/>
        </w:rPr>
        <w:t xml:space="preserve"> obtained. Concentrations were determined gravimetrically by aliquoting </w:t>
      </w:r>
      <w:r w:rsidRPr="00B066D3">
        <w:rPr>
          <w:rFonts w:cs="Calibri"/>
          <w:sz w:val="24"/>
          <w:szCs w:val="24"/>
        </w:rPr>
        <w:t>approximately</w:t>
      </w:r>
      <w:r w:rsidRPr="00B066D3">
        <w:rPr>
          <w:rFonts w:cstheme="minorHAnsi"/>
          <w:sz w:val="24"/>
          <w:szCs w:val="24"/>
        </w:rPr>
        <w:t xml:space="preserve"> 500 µL of the solution and lyophilizing </w:t>
      </w:r>
      <w:r w:rsidRPr="00B066D3">
        <w:rPr>
          <w:rFonts w:cs="Calibri"/>
          <w:sz w:val="24"/>
          <w:szCs w:val="24"/>
        </w:rPr>
        <w:t>it</w:t>
      </w:r>
      <w:r w:rsidRPr="00B066D3">
        <w:rPr>
          <w:rFonts w:cstheme="minorHAnsi"/>
          <w:sz w:val="24"/>
          <w:szCs w:val="24"/>
        </w:rPr>
        <w:t xml:space="preserve"> overnight in a Labconco Freezone 2.5 L </w:t>
      </w:r>
      <w:r w:rsidRPr="00B066D3">
        <w:rPr>
          <w:rFonts w:cs="Calibri"/>
          <w:sz w:val="24"/>
          <w:szCs w:val="24"/>
        </w:rPr>
        <w:t>freeze</w:t>
      </w:r>
      <w:r w:rsidRPr="00B066D3">
        <w:rPr>
          <w:rFonts w:cstheme="minorHAnsi"/>
          <w:sz w:val="24"/>
          <w:szCs w:val="24"/>
        </w:rPr>
        <w:t>-drier. Typically</w:t>
      </w:r>
      <w:r w:rsidRPr="00B066D3">
        <w:rPr>
          <w:rFonts w:cs="Calibri"/>
          <w:sz w:val="24"/>
          <w:szCs w:val="24"/>
        </w:rPr>
        <w:t>, solutions with concentrations</w:t>
      </w:r>
      <w:r w:rsidRPr="00B066D3">
        <w:rPr>
          <w:rFonts w:cstheme="minorHAnsi"/>
          <w:sz w:val="24"/>
          <w:szCs w:val="24"/>
        </w:rPr>
        <w:t xml:space="preserve"> in the range of 5-7 mg/mL</w:t>
      </w:r>
      <w:r w:rsidRPr="00B066D3">
        <w:rPr>
          <w:rFonts w:cs="Calibri"/>
          <w:sz w:val="24"/>
          <w:szCs w:val="24"/>
        </w:rPr>
        <w:t xml:space="preserve"> were obtained. </w:t>
      </w:r>
      <w:r w:rsidRPr="00B066D3">
        <w:rPr>
          <w:rFonts w:cstheme="minorHAnsi"/>
          <w:sz w:val="24"/>
          <w:szCs w:val="24"/>
        </w:rPr>
        <w:t xml:space="preserve">These concentrations were not arbitrary, as </w:t>
      </w:r>
      <w:r w:rsidRPr="00B066D3">
        <w:rPr>
          <w:rFonts w:cs="Calibri"/>
          <w:sz w:val="24"/>
          <w:szCs w:val="24"/>
        </w:rPr>
        <w:t>they</w:t>
      </w:r>
      <w:r w:rsidRPr="00B066D3">
        <w:rPr>
          <w:rFonts w:cstheme="minorHAnsi"/>
          <w:sz w:val="24"/>
          <w:szCs w:val="24"/>
        </w:rPr>
        <w:t xml:space="preserve"> were chosen after determining the maximum concentration needed from the LiBr solution to generate nonpercolating systems. Serial dilutions of the provided LiBr solution were made, and after dialysis, the physical state was characterized by the eye as liquid-like or gel-like.</w:t>
      </w:r>
    </w:p>
    <w:p w14:paraId="548E5867" w14:textId="77777777" w:rsidR="00DF4259" w:rsidRPr="00B066D3" w:rsidRDefault="00DF4259" w:rsidP="00DF4259">
      <w:pPr>
        <w:pStyle w:val="Textthesis"/>
        <w:spacing w:before="240" w:line="276" w:lineRule="auto"/>
        <w:jc w:val="both"/>
        <w:outlineLvl w:val="3"/>
        <w:rPr>
          <w:b/>
          <w:bCs/>
          <w:lang w:val="en-GB"/>
        </w:rPr>
      </w:pPr>
      <w:bookmarkStart w:id="3" w:name="_Toc515637979"/>
      <w:r w:rsidRPr="00B066D3">
        <w:rPr>
          <w:b/>
          <w:bCs/>
          <w:lang w:val="en-GB"/>
        </w:rPr>
        <w:t>Fourier</w:t>
      </w:r>
      <w:bookmarkEnd w:id="3"/>
      <w:r w:rsidRPr="00B066D3">
        <w:rPr>
          <w:b/>
          <w:bCs/>
          <w:lang w:val="en-GB"/>
        </w:rPr>
        <w:t xml:space="preserve"> </w:t>
      </w:r>
      <w:bookmarkStart w:id="4" w:name="_Toc97821954"/>
      <w:r w:rsidRPr="00B066D3">
        <w:rPr>
          <w:b/>
          <w:bCs/>
          <w:lang w:val="en-GB"/>
        </w:rPr>
        <w:t>Transform Infrared Spectroscopy (FTIR)</w:t>
      </w:r>
      <w:bookmarkEnd w:id="4"/>
    </w:p>
    <w:p w14:paraId="73E2552F" w14:textId="77777777" w:rsidR="00DF4259" w:rsidRPr="00B066D3" w:rsidRDefault="00DF4259" w:rsidP="00DF4259">
      <w:pPr>
        <w:pStyle w:val="Textthesis"/>
        <w:spacing w:line="276" w:lineRule="auto"/>
        <w:jc w:val="both"/>
        <w:rPr>
          <w:lang w:val="en-GB"/>
        </w:rPr>
      </w:pPr>
      <w:r w:rsidRPr="00B066D3">
        <w:rPr>
          <w:lang w:val="en-GB"/>
        </w:rPr>
        <w:t>F</w:t>
      </w:r>
      <w:r>
        <w:rPr>
          <w:lang w:val="en-GB"/>
        </w:rPr>
        <w:t>ibre</w:t>
      </w:r>
      <w:r w:rsidRPr="00B066D3">
        <w:rPr>
          <w:lang w:val="en-GB"/>
        </w:rPr>
        <w:t>s were analyzed directly using a Perkin Elmer Spectrum One FTIR spectrometer with an attenuated total reflectance</w:t>
      </w:r>
      <w:bookmarkStart w:id="5" w:name="_Hlk22126408"/>
      <w:r w:rsidRPr="00B066D3">
        <w:rPr>
          <w:lang w:val="en-GB"/>
        </w:rPr>
        <w:t xml:space="preserve"> (ATR) accessory and supplemented spectrum analyzer software. The analyzed frequency range was from 4000 to 550 cm</w:t>
      </w:r>
      <w:r w:rsidRPr="00B066D3">
        <w:rPr>
          <w:vertAlign w:val="superscript"/>
          <w:lang w:val="en-GB"/>
        </w:rPr>
        <w:t>-1</w:t>
      </w:r>
      <w:r w:rsidRPr="00B066D3">
        <w:rPr>
          <w:lang w:val="en-GB"/>
        </w:rPr>
        <w:t>, with a resolution of 2 cm</w:t>
      </w:r>
      <w:r w:rsidRPr="00B066D3">
        <w:rPr>
          <w:vertAlign w:val="superscript"/>
          <w:lang w:val="en-GB"/>
        </w:rPr>
        <w:t>-1</w:t>
      </w:r>
      <w:r w:rsidRPr="00B066D3">
        <w:rPr>
          <w:lang w:val="en-GB"/>
        </w:rPr>
        <w:t xml:space="preserve"> and 50 accumulations.</w:t>
      </w:r>
      <w:bookmarkEnd w:id="5"/>
    </w:p>
    <w:p w14:paraId="4CEAF03F" w14:textId="77777777" w:rsidR="00DF4259" w:rsidRPr="00B066D3" w:rsidRDefault="00DF4259" w:rsidP="00DF4259">
      <w:pPr>
        <w:pStyle w:val="Textthesis"/>
        <w:spacing w:before="240" w:line="276" w:lineRule="auto"/>
        <w:jc w:val="both"/>
        <w:outlineLvl w:val="3"/>
        <w:rPr>
          <w:b/>
          <w:bCs/>
          <w:lang w:val="en-GB"/>
        </w:rPr>
      </w:pPr>
      <w:bookmarkStart w:id="6" w:name="_Toc97821960"/>
      <w:r w:rsidRPr="00B066D3">
        <w:rPr>
          <w:b/>
          <w:bCs/>
          <w:lang w:val="en-GB"/>
        </w:rPr>
        <w:t>Optical microscopy</w:t>
      </w:r>
      <w:bookmarkEnd w:id="6"/>
    </w:p>
    <w:p w14:paraId="6C0F8A9C" w14:textId="77777777" w:rsidR="00DF4259" w:rsidRPr="00B066D3" w:rsidRDefault="00DF4259" w:rsidP="00DF4259">
      <w:pPr>
        <w:pStyle w:val="Textthesis"/>
        <w:spacing w:line="276" w:lineRule="auto"/>
        <w:jc w:val="both"/>
        <w:rPr>
          <w:lang w:val="en-GB"/>
        </w:rPr>
      </w:pPr>
      <w:r w:rsidRPr="00B066D3">
        <w:rPr>
          <w:lang w:val="en-GB"/>
        </w:rPr>
        <w:t>Optical microscopy experiments were conducted using an Olympus BX53 with an SC50 camera attached and a Leica DMI 3000B Fluorescence Optical microscope equipped with a Leica DFC7000 T CCD camera. Dark field and fluorescence experiments were conducted using standard filters within each system.</w:t>
      </w:r>
    </w:p>
    <w:p w14:paraId="2B4567D4" w14:textId="77777777" w:rsidR="00DF4259" w:rsidRPr="00B066D3" w:rsidRDefault="00DF4259" w:rsidP="00DF4259">
      <w:pPr>
        <w:pStyle w:val="Textthesis"/>
        <w:spacing w:before="240" w:line="276" w:lineRule="auto"/>
        <w:jc w:val="both"/>
        <w:outlineLvl w:val="3"/>
        <w:rPr>
          <w:b/>
          <w:bCs/>
          <w:lang w:val="en-GB"/>
        </w:rPr>
      </w:pPr>
      <w:r w:rsidRPr="00B066D3">
        <w:rPr>
          <w:b/>
          <w:bCs/>
          <w:lang w:val="en-GB"/>
        </w:rPr>
        <w:lastRenderedPageBreak/>
        <w:t>Confocal laser scanning fluorescence microscopy</w:t>
      </w:r>
      <w:bookmarkStart w:id="7" w:name="_Toc97821961"/>
      <w:r w:rsidRPr="00B066D3">
        <w:rPr>
          <w:b/>
          <w:bCs/>
          <w:lang w:val="en-GB"/>
        </w:rPr>
        <w:t xml:space="preserve"> (CLSFM)</w:t>
      </w:r>
      <w:bookmarkEnd w:id="7"/>
    </w:p>
    <w:p w14:paraId="20ACEBE3" w14:textId="77777777" w:rsidR="00DF4259" w:rsidRPr="00B066D3" w:rsidRDefault="00DF4259" w:rsidP="00DF4259">
      <w:pPr>
        <w:pStyle w:val="Textthesis"/>
        <w:spacing w:line="276" w:lineRule="auto"/>
        <w:jc w:val="both"/>
        <w:rPr>
          <w:lang w:val="en-GB"/>
        </w:rPr>
      </w:pPr>
      <w:r w:rsidRPr="00B066D3">
        <w:rPr>
          <w:lang w:val="en-GB"/>
        </w:rPr>
        <w:t>CLSFM characterization was conducted using a Leica SP5-II confocal laser scanning microscope attached to a Leica DMI 6000 inverted epifluorescence microscope. A 5x HCX PL Fluotar lens was used for long working distances.</w:t>
      </w:r>
    </w:p>
    <w:p w14:paraId="24E21BF6" w14:textId="77777777" w:rsidR="00DF4259" w:rsidRPr="00B066D3" w:rsidRDefault="00DF4259" w:rsidP="00DF4259">
      <w:pPr>
        <w:pStyle w:val="Textthesis"/>
        <w:spacing w:before="240" w:line="276" w:lineRule="auto"/>
        <w:jc w:val="both"/>
        <w:outlineLvl w:val="3"/>
        <w:rPr>
          <w:b/>
          <w:bCs/>
          <w:lang w:val="en-GB"/>
        </w:rPr>
      </w:pPr>
      <w:r w:rsidRPr="00B066D3">
        <w:rPr>
          <w:b/>
          <w:bCs/>
          <w:lang w:val="en-GB"/>
        </w:rPr>
        <w:t>Scanning electron microscopy</w:t>
      </w:r>
      <w:bookmarkStart w:id="8" w:name="_Toc97821962"/>
      <w:r w:rsidRPr="00B066D3">
        <w:rPr>
          <w:b/>
          <w:bCs/>
          <w:lang w:val="en-GB"/>
        </w:rPr>
        <w:t xml:space="preserve"> (SEM) and energy dispersive X-ray spectroscopy (EDS)</w:t>
      </w:r>
      <w:bookmarkEnd w:id="8"/>
    </w:p>
    <w:p w14:paraId="11578490" w14:textId="77777777" w:rsidR="00DF4259" w:rsidRPr="00B066D3" w:rsidRDefault="00DF4259" w:rsidP="00DF4259">
      <w:pPr>
        <w:pStyle w:val="Textthesis"/>
        <w:spacing w:line="276" w:lineRule="auto"/>
        <w:jc w:val="both"/>
        <w:rPr>
          <w:lang w:val="en-GB"/>
        </w:rPr>
      </w:pPr>
      <w:bookmarkStart w:id="9" w:name="_Hlk22126383"/>
      <w:r w:rsidRPr="00B066D3">
        <w:rPr>
          <w:lang w:val="en-GB"/>
        </w:rPr>
        <w:t>The specimens or samples were placed on aluminum specimen stubs with a conductive carbon sticky tab and then sputter-coated with silver (15 nm thick). The samples were then imaged using a JEOL JSM-IT300 at an acceleration voltage of 15 kV in high current mode for general images and an acceleration voltage of 5 kV in standard current mode for higher resolution images.</w:t>
      </w:r>
    </w:p>
    <w:p w14:paraId="658533C5" w14:textId="77777777" w:rsidR="00DF4259" w:rsidRPr="00B066D3" w:rsidRDefault="00DF4259" w:rsidP="00DF4259">
      <w:pPr>
        <w:pStyle w:val="Textthesis"/>
        <w:spacing w:line="276" w:lineRule="auto"/>
        <w:jc w:val="both"/>
        <w:rPr>
          <w:lang w:val="en-GB"/>
        </w:rPr>
      </w:pPr>
      <w:r w:rsidRPr="00B066D3">
        <w:rPr>
          <w:lang w:val="en-GB"/>
        </w:rPr>
        <w:t xml:space="preserve">For the EDX characterization, an Oxford </w:t>
      </w:r>
      <w:bookmarkEnd w:id="9"/>
      <w:r w:rsidRPr="00B066D3">
        <w:rPr>
          <w:lang w:val="en-GB"/>
        </w:rPr>
        <w:t>Instruments X-Max 80 energy dispersive spectrometer was used for scanning electron microscopy (SEM) with a voltage acceleration of 30 kV.</w:t>
      </w:r>
    </w:p>
    <w:p w14:paraId="421FF3E5" w14:textId="77777777" w:rsidR="00DF4259" w:rsidRPr="00B066D3" w:rsidRDefault="00DF4259" w:rsidP="00DF4259">
      <w:pPr>
        <w:pStyle w:val="Textthesis"/>
        <w:spacing w:before="240" w:line="276" w:lineRule="auto"/>
        <w:jc w:val="both"/>
        <w:outlineLvl w:val="3"/>
        <w:rPr>
          <w:b/>
          <w:bCs/>
          <w:lang w:val="en-GB"/>
        </w:rPr>
      </w:pPr>
      <w:r w:rsidRPr="00B066D3">
        <w:rPr>
          <w:b/>
          <w:bCs/>
          <w:lang w:val="en-GB"/>
        </w:rPr>
        <w:t>F</w:t>
      </w:r>
      <w:r>
        <w:rPr>
          <w:b/>
          <w:bCs/>
          <w:lang w:val="en-GB"/>
        </w:rPr>
        <w:t>ibre</w:t>
      </w:r>
      <w:r w:rsidRPr="00B066D3">
        <w:rPr>
          <w:b/>
          <w:bCs/>
          <w:lang w:val="en-GB"/>
        </w:rPr>
        <w:t xml:space="preserve"> X-ray diffraction</w:t>
      </w:r>
    </w:p>
    <w:p w14:paraId="5EDC5E2C" w14:textId="77777777" w:rsidR="00DF4259" w:rsidRPr="00B066D3" w:rsidRDefault="00DF4259" w:rsidP="00DF4259">
      <w:pPr>
        <w:pStyle w:val="Textthesis"/>
        <w:spacing w:line="276" w:lineRule="auto"/>
        <w:jc w:val="both"/>
        <w:rPr>
          <w:lang w:val="en-GB"/>
        </w:rPr>
      </w:pPr>
      <w:r w:rsidRPr="00B066D3">
        <w:rPr>
          <w:lang w:val="en-GB"/>
        </w:rPr>
        <w:t>These experiments were performed using a Rigaku rotating anode (Cu Ka) with a Saturn CCD detector with exposure times of 30–60 s and a specimen-to-detector distance of 50 or 100 mm. Reflections were measured using CLEARER.</w:t>
      </w:r>
    </w:p>
    <w:p w14:paraId="4715B0D9" w14:textId="77777777" w:rsidR="00DF4259" w:rsidRPr="00B066D3" w:rsidRDefault="00DF4259" w:rsidP="00DF4259">
      <w:pPr>
        <w:pStyle w:val="Textthesis"/>
        <w:spacing w:line="276" w:lineRule="auto"/>
        <w:jc w:val="both"/>
        <w:rPr>
          <w:lang w:val="en-GB"/>
        </w:rPr>
      </w:pPr>
      <w:r w:rsidRPr="00B066D3">
        <w:rPr>
          <w:lang w:val="en-GB"/>
        </w:rPr>
        <w:t>Macroscopic f</w:t>
      </w:r>
      <w:r>
        <w:rPr>
          <w:lang w:val="en-GB"/>
        </w:rPr>
        <w:t>ibre</w:t>
      </w:r>
      <w:r w:rsidRPr="00B066D3">
        <w:rPr>
          <w:lang w:val="en-GB"/>
        </w:rPr>
        <w:t>s were used, wherein these refer to either natural f</w:t>
      </w:r>
      <w:r>
        <w:rPr>
          <w:lang w:val="en-GB"/>
        </w:rPr>
        <w:t>ibre</w:t>
      </w:r>
      <w:r w:rsidRPr="00B066D3">
        <w:rPr>
          <w:lang w:val="en-GB"/>
        </w:rPr>
        <w:t>s or freshly fabricated biomimetic f</w:t>
      </w:r>
      <w:r>
        <w:rPr>
          <w:lang w:val="en-GB"/>
        </w:rPr>
        <w:t>ibre</w:t>
      </w:r>
      <w:r w:rsidRPr="00B066D3">
        <w:rPr>
          <w:lang w:val="en-GB"/>
        </w:rPr>
        <w:t>s (within 10 minutes of fabrication). Briefly, approximately 1 cm long f</w:t>
      </w:r>
      <w:r>
        <w:rPr>
          <w:lang w:val="en-GB"/>
        </w:rPr>
        <w:t>ibre</w:t>
      </w:r>
      <w:r w:rsidRPr="00B066D3">
        <w:rPr>
          <w:lang w:val="en-GB"/>
        </w:rPr>
        <w:t xml:space="preserve"> bundles were mounted on glass capillary tubes using epoxy-based glue and then mounted directly onto a goniometer head for alignment. Alignment was ensured by monitoring a microscope camera focused on the beam path, and alignment was adjusted for the nominal 0 and 90° orientations. Spectra were acquired at 50 and 100 mm distances at 0 and 90° orientations, respectively, for 30 and 60 s, respectively.</w:t>
      </w:r>
    </w:p>
    <w:p w14:paraId="262E6022" w14:textId="77777777" w:rsidR="00DF4259" w:rsidRPr="00B066D3" w:rsidRDefault="00DF4259" w:rsidP="00DF4259">
      <w:pPr>
        <w:pStyle w:val="Textthesis"/>
        <w:spacing w:before="240" w:line="276" w:lineRule="auto"/>
        <w:jc w:val="both"/>
        <w:outlineLvl w:val="3"/>
        <w:rPr>
          <w:b/>
          <w:bCs/>
          <w:lang w:val="en-GB"/>
        </w:rPr>
      </w:pPr>
      <w:r w:rsidRPr="00B066D3">
        <w:rPr>
          <w:b/>
          <w:bCs/>
          <w:lang w:val="en-GB"/>
        </w:rPr>
        <w:t>Wilhelmy plate interfacial analysis</w:t>
      </w:r>
    </w:p>
    <w:p w14:paraId="5C2AB006" w14:textId="77777777" w:rsidR="00DF4259" w:rsidRPr="00B066D3" w:rsidRDefault="00DF4259" w:rsidP="00DF4259">
      <w:pPr>
        <w:spacing w:after="0" w:line="276" w:lineRule="auto"/>
        <w:jc w:val="both"/>
        <w:rPr>
          <w:rFonts w:cstheme="minorHAnsi"/>
          <w:sz w:val="24"/>
          <w:szCs w:val="24"/>
        </w:rPr>
      </w:pPr>
      <w:r w:rsidRPr="00B066D3">
        <w:rPr>
          <w:rFonts w:cstheme="minorHAnsi"/>
          <w:sz w:val="24"/>
          <w:szCs w:val="24"/>
        </w:rPr>
        <w:t xml:space="preserve">Experiments were conducted using a </w:t>
      </w:r>
      <w:hyperlink r:id="rId5" w:history="1">
        <w:r w:rsidRPr="00B066D3">
          <w:rPr>
            <w:rFonts w:cstheme="minorHAnsi"/>
            <w:sz w:val="24"/>
            <w:szCs w:val="24"/>
          </w:rPr>
          <w:t>Force Tensiometer (Krüss K100)</w:t>
        </w:r>
      </w:hyperlink>
      <w:r w:rsidRPr="00B066D3">
        <w:rPr>
          <w:rFonts w:cstheme="minorHAnsi"/>
          <w:sz w:val="24"/>
          <w:szCs w:val="24"/>
        </w:rPr>
        <w:t xml:space="preserve"> at room temperature and a flame-treated </w:t>
      </w:r>
      <w:r w:rsidRPr="00B066D3">
        <w:rPr>
          <w:rFonts w:cs="Calibri"/>
          <w:sz w:val="24"/>
          <w:szCs w:val="24"/>
        </w:rPr>
        <w:t>plain</w:t>
      </w:r>
      <w:r w:rsidRPr="00B066D3">
        <w:rPr>
          <w:rFonts w:cstheme="minorHAnsi"/>
          <w:sz w:val="24"/>
          <w:szCs w:val="24"/>
        </w:rPr>
        <w:t xml:space="preserve"> Wilhelmy plate. γ was measured over time to allow for interface equilibration. Each measurement was stopped automatically after the standard deviation of the last 5 points (recorded at 10 s intervals) was &lt; 0.01 mN m-1.</w:t>
      </w:r>
    </w:p>
    <w:p w14:paraId="6CAFAE71" w14:textId="77777777" w:rsidR="00DF4259" w:rsidRPr="00B066D3" w:rsidRDefault="00DF4259" w:rsidP="00DF4259">
      <w:pPr>
        <w:pStyle w:val="Textthesis"/>
        <w:spacing w:before="240" w:line="276" w:lineRule="auto"/>
        <w:jc w:val="both"/>
        <w:outlineLvl w:val="3"/>
        <w:rPr>
          <w:b/>
          <w:bCs/>
          <w:lang w:val="en-GB"/>
        </w:rPr>
      </w:pPr>
      <w:r w:rsidRPr="00B066D3">
        <w:rPr>
          <w:b/>
          <w:bCs/>
          <w:lang w:val="en-GB"/>
        </w:rPr>
        <w:t>Reeling force measurements</w:t>
      </w:r>
    </w:p>
    <w:p w14:paraId="2AC42435" w14:textId="77777777" w:rsidR="00DF4259" w:rsidRPr="00B066D3" w:rsidRDefault="00DF4259" w:rsidP="00DF4259">
      <w:pPr>
        <w:spacing w:line="276" w:lineRule="auto"/>
        <w:jc w:val="both"/>
        <w:rPr>
          <w:color w:val="222222"/>
          <w:sz w:val="24"/>
          <w:szCs w:val="24"/>
          <w:shd w:val="clear" w:color="auto" w:fill="FFFFFF"/>
        </w:rPr>
      </w:pPr>
      <w:r w:rsidRPr="00B066D3">
        <w:rPr>
          <w:color w:val="222222"/>
          <w:sz w:val="24"/>
          <w:szCs w:val="24"/>
          <w:shd w:val="clear" w:color="auto" w:fill="FFFFFF"/>
        </w:rPr>
        <w:t xml:space="preserve">Reeling forces were measured using </w:t>
      </w:r>
      <w:r w:rsidRPr="00B066D3">
        <w:rPr>
          <w:color w:val="222222"/>
          <w:sz w:val="24"/>
          <w:szCs w:val="24"/>
        </w:rPr>
        <w:t>an</w:t>
      </w:r>
      <w:r w:rsidRPr="00B066D3">
        <w:rPr>
          <w:color w:val="222222"/>
          <w:sz w:val="24"/>
          <w:szCs w:val="24"/>
          <w:shd w:val="clear" w:color="auto" w:fill="FFFFFF"/>
        </w:rPr>
        <w:t xml:space="preserve"> analytical microbalance. Briefly, droplets of silk solution were deposited on a </w:t>
      </w:r>
      <w:r w:rsidRPr="00B066D3">
        <w:rPr>
          <w:color w:val="222222"/>
          <w:sz w:val="24"/>
          <w:szCs w:val="24"/>
        </w:rPr>
        <w:t>Petri</w:t>
      </w:r>
      <w:r w:rsidRPr="00B066D3">
        <w:rPr>
          <w:color w:val="222222"/>
          <w:sz w:val="24"/>
          <w:szCs w:val="24"/>
          <w:shd w:val="clear" w:color="auto" w:fill="FFFFFF"/>
        </w:rPr>
        <w:t xml:space="preserve"> dish on the scale</w:t>
      </w:r>
      <w:r w:rsidRPr="00B066D3">
        <w:rPr>
          <w:color w:val="222222"/>
          <w:sz w:val="24"/>
          <w:szCs w:val="24"/>
        </w:rPr>
        <w:t>,</w:t>
      </w:r>
      <w:r w:rsidRPr="00B066D3">
        <w:rPr>
          <w:color w:val="222222"/>
          <w:sz w:val="24"/>
          <w:szCs w:val="24"/>
          <w:shd w:val="clear" w:color="auto" w:fill="FFFFFF"/>
        </w:rPr>
        <w:t xml:space="preserve"> and the instrument was zeroed before pulling the f</w:t>
      </w:r>
      <w:r>
        <w:rPr>
          <w:color w:val="222222"/>
          <w:sz w:val="24"/>
          <w:szCs w:val="24"/>
          <w:shd w:val="clear" w:color="auto" w:fill="FFFFFF"/>
        </w:rPr>
        <w:t>ibre</w:t>
      </w:r>
      <w:r w:rsidRPr="00B066D3">
        <w:rPr>
          <w:color w:val="222222"/>
          <w:sz w:val="24"/>
          <w:szCs w:val="24"/>
          <w:shd w:val="clear" w:color="auto" w:fill="FFFFFF"/>
        </w:rPr>
        <w:t xml:space="preserve">s and waiting for </w:t>
      </w:r>
      <w:r w:rsidRPr="00B066D3">
        <w:rPr>
          <w:color w:val="222222"/>
          <w:sz w:val="24"/>
          <w:szCs w:val="24"/>
        </w:rPr>
        <w:t xml:space="preserve">a </w:t>
      </w:r>
      <w:r w:rsidRPr="00B066D3">
        <w:rPr>
          <w:color w:val="222222"/>
          <w:sz w:val="24"/>
          <w:szCs w:val="24"/>
          <w:shd w:val="clear" w:color="auto" w:fill="FFFFFF"/>
        </w:rPr>
        <w:t xml:space="preserve">steady state (little to no variation </w:t>
      </w:r>
      <w:r w:rsidRPr="00B066D3">
        <w:rPr>
          <w:color w:val="222222"/>
          <w:sz w:val="24"/>
          <w:szCs w:val="24"/>
        </w:rPr>
        <w:t>in</w:t>
      </w:r>
      <w:r w:rsidRPr="00B066D3">
        <w:rPr>
          <w:color w:val="222222"/>
          <w:sz w:val="24"/>
          <w:szCs w:val="24"/>
          <w:shd w:val="clear" w:color="auto" w:fill="FFFFFF"/>
        </w:rPr>
        <w:t xml:space="preserve"> the measured weight was observed, as determined by variations lower than 10%). </w:t>
      </w:r>
      <w:r w:rsidRPr="00B066D3">
        <w:rPr>
          <w:color w:val="222222"/>
          <w:sz w:val="24"/>
          <w:szCs w:val="24"/>
        </w:rPr>
        <w:t>The apparent</w:t>
      </w:r>
      <w:r w:rsidRPr="00B066D3">
        <w:rPr>
          <w:color w:val="222222"/>
          <w:sz w:val="24"/>
          <w:szCs w:val="24"/>
          <w:shd w:val="clear" w:color="auto" w:fill="FFFFFF"/>
        </w:rPr>
        <w:t xml:space="preserve"> measured mass was then annotated</w:t>
      </w:r>
      <w:r w:rsidRPr="00B066D3">
        <w:rPr>
          <w:color w:val="222222"/>
          <w:sz w:val="24"/>
          <w:szCs w:val="24"/>
        </w:rPr>
        <w:t>,</w:t>
      </w:r>
      <w:r w:rsidRPr="00B066D3">
        <w:rPr>
          <w:color w:val="222222"/>
          <w:sz w:val="24"/>
          <w:szCs w:val="24"/>
          <w:shd w:val="clear" w:color="auto" w:fill="FFFFFF"/>
        </w:rPr>
        <w:t xml:space="preserve"> </w:t>
      </w:r>
      <w:r w:rsidRPr="00B066D3">
        <w:rPr>
          <w:color w:val="222222"/>
          <w:sz w:val="24"/>
          <w:szCs w:val="24"/>
        </w:rPr>
        <w:t>the</w:t>
      </w:r>
      <w:r w:rsidRPr="00B066D3">
        <w:rPr>
          <w:color w:val="222222"/>
          <w:sz w:val="24"/>
          <w:szCs w:val="24"/>
          <w:shd w:val="clear" w:color="auto" w:fill="FFFFFF"/>
        </w:rPr>
        <w:t xml:space="preserve"> experiment was stopped</w:t>
      </w:r>
      <w:r w:rsidRPr="00B066D3">
        <w:rPr>
          <w:color w:val="222222"/>
          <w:sz w:val="24"/>
          <w:szCs w:val="24"/>
        </w:rPr>
        <w:t>,</w:t>
      </w:r>
      <w:r w:rsidRPr="00B066D3">
        <w:rPr>
          <w:color w:val="222222"/>
          <w:sz w:val="24"/>
          <w:szCs w:val="24"/>
          <w:shd w:val="clear" w:color="auto" w:fill="FFFFFF"/>
        </w:rPr>
        <w:t xml:space="preserve"> and </w:t>
      </w:r>
      <w:r w:rsidRPr="00B066D3">
        <w:rPr>
          <w:color w:val="222222"/>
          <w:sz w:val="24"/>
          <w:szCs w:val="24"/>
        </w:rPr>
        <w:t>the f</w:t>
      </w:r>
      <w:r>
        <w:rPr>
          <w:color w:val="222222"/>
          <w:sz w:val="24"/>
          <w:szCs w:val="24"/>
        </w:rPr>
        <w:t>ibre</w:t>
      </w:r>
      <w:r w:rsidRPr="00B066D3">
        <w:rPr>
          <w:color w:val="222222"/>
          <w:sz w:val="24"/>
          <w:szCs w:val="24"/>
        </w:rPr>
        <w:t>s were</w:t>
      </w:r>
      <w:r w:rsidRPr="00B066D3">
        <w:rPr>
          <w:color w:val="222222"/>
          <w:sz w:val="24"/>
          <w:szCs w:val="24"/>
          <w:shd w:val="clear" w:color="auto" w:fill="FFFFFF"/>
        </w:rPr>
        <w:t xml:space="preserve"> broken. Before and after spinning</w:t>
      </w:r>
      <w:r w:rsidRPr="00B066D3">
        <w:rPr>
          <w:color w:val="222222"/>
          <w:sz w:val="24"/>
          <w:szCs w:val="24"/>
        </w:rPr>
        <w:t>,</w:t>
      </w:r>
      <w:r w:rsidRPr="00B066D3">
        <w:rPr>
          <w:color w:val="222222"/>
          <w:sz w:val="24"/>
          <w:szCs w:val="24"/>
          <w:shd w:val="clear" w:color="auto" w:fill="FFFFFF"/>
        </w:rPr>
        <w:t xml:space="preserve"> apparent masses were recorded, although no variation was observed. Forces were estimated by calculating the relative force equivalent to </w:t>
      </w:r>
      <w:r w:rsidRPr="00B066D3">
        <w:rPr>
          <w:color w:val="222222"/>
          <w:sz w:val="24"/>
          <w:szCs w:val="24"/>
        </w:rPr>
        <w:t xml:space="preserve">the </w:t>
      </w:r>
      <w:r w:rsidRPr="00B066D3">
        <w:rPr>
          <w:color w:val="222222"/>
          <w:sz w:val="24"/>
          <w:szCs w:val="24"/>
          <w:shd w:val="clear" w:color="auto" w:fill="FFFFFF"/>
        </w:rPr>
        <w:t xml:space="preserve">measured mass by multiplying it by </w:t>
      </w:r>
      <w:r w:rsidRPr="00B066D3">
        <w:rPr>
          <w:color w:val="222222"/>
          <w:sz w:val="24"/>
          <w:szCs w:val="24"/>
        </w:rPr>
        <w:t xml:space="preserve">the </w:t>
      </w:r>
      <w:r w:rsidRPr="00B066D3">
        <w:rPr>
          <w:color w:val="222222"/>
          <w:sz w:val="24"/>
          <w:szCs w:val="24"/>
          <w:shd w:val="clear" w:color="auto" w:fill="FFFFFF"/>
        </w:rPr>
        <w:t xml:space="preserve">acceleration of gravity. </w:t>
      </w:r>
      <w:r w:rsidRPr="00B066D3">
        <w:rPr>
          <w:color w:val="222222"/>
          <w:sz w:val="24"/>
          <w:szCs w:val="24"/>
        </w:rPr>
        <w:t xml:space="preserve">At least 5 </w:t>
      </w:r>
      <w:r w:rsidRPr="00B066D3">
        <w:rPr>
          <w:color w:val="222222"/>
          <w:sz w:val="24"/>
          <w:szCs w:val="24"/>
        </w:rPr>
        <w:lastRenderedPageBreak/>
        <w:t>experiments</w:t>
      </w:r>
      <w:r w:rsidRPr="00B066D3">
        <w:rPr>
          <w:color w:val="222222"/>
          <w:sz w:val="24"/>
          <w:szCs w:val="24"/>
          <w:shd w:val="clear" w:color="auto" w:fill="FFFFFF"/>
        </w:rPr>
        <w:t xml:space="preserve"> were conducted for each reported reeling speed</w:t>
      </w:r>
      <w:r w:rsidRPr="00B066D3">
        <w:rPr>
          <w:color w:val="222222"/>
          <w:sz w:val="24"/>
          <w:szCs w:val="24"/>
        </w:rPr>
        <w:t>,</w:t>
      </w:r>
      <w:r w:rsidRPr="00B066D3">
        <w:rPr>
          <w:color w:val="222222"/>
          <w:sz w:val="24"/>
          <w:szCs w:val="24"/>
          <w:shd w:val="clear" w:color="auto" w:fill="FFFFFF"/>
        </w:rPr>
        <w:t xml:space="preserve"> and </w:t>
      </w:r>
      <w:r w:rsidRPr="00B066D3">
        <w:rPr>
          <w:color w:val="222222"/>
          <w:sz w:val="24"/>
          <w:szCs w:val="24"/>
        </w:rPr>
        <w:t xml:space="preserve">the </w:t>
      </w:r>
      <w:r w:rsidRPr="00B066D3">
        <w:rPr>
          <w:color w:val="222222"/>
          <w:sz w:val="24"/>
          <w:szCs w:val="24"/>
          <w:shd w:val="clear" w:color="auto" w:fill="FFFFFF"/>
        </w:rPr>
        <w:t xml:space="preserve">values are presented as </w:t>
      </w:r>
      <w:r w:rsidRPr="00B066D3">
        <w:rPr>
          <w:color w:val="222222"/>
          <w:sz w:val="24"/>
          <w:szCs w:val="24"/>
        </w:rPr>
        <w:t>the means</w:t>
      </w:r>
      <w:r w:rsidRPr="00B066D3">
        <w:rPr>
          <w:color w:val="222222"/>
          <w:sz w:val="24"/>
          <w:szCs w:val="24"/>
          <w:shd w:val="clear" w:color="auto" w:fill="FFFFFF"/>
        </w:rPr>
        <w:t xml:space="preserve"> with their respective standard </w:t>
      </w:r>
      <w:r w:rsidRPr="00B066D3">
        <w:rPr>
          <w:color w:val="222222"/>
          <w:sz w:val="24"/>
          <w:szCs w:val="24"/>
        </w:rPr>
        <w:t>errors</w:t>
      </w:r>
      <w:r w:rsidRPr="00B066D3">
        <w:rPr>
          <w:color w:val="222222"/>
          <w:sz w:val="24"/>
          <w:szCs w:val="24"/>
          <w:shd w:val="clear" w:color="auto" w:fill="FFFFFF"/>
        </w:rPr>
        <w:t xml:space="preserve"> (1.5x).</w:t>
      </w:r>
    </w:p>
    <w:p w14:paraId="41ADC22C" w14:textId="77777777" w:rsidR="00DF4259" w:rsidRPr="00B066D3" w:rsidRDefault="00DF4259" w:rsidP="00DF4259">
      <w:pPr>
        <w:pStyle w:val="Textthesis"/>
        <w:spacing w:before="240" w:line="276" w:lineRule="auto"/>
        <w:jc w:val="both"/>
        <w:outlineLvl w:val="3"/>
        <w:rPr>
          <w:b/>
          <w:bCs/>
          <w:lang w:val="en-GB"/>
        </w:rPr>
      </w:pPr>
      <w:r w:rsidRPr="00B066D3">
        <w:rPr>
          <w:b/>
          <w:bCs/>
          <w:lang w:val="en-GB"/>
        </w:rPr>
        <w:t>Dynamic microindentation</w:t>
      </w:r>
    </w:p>
    <w:p w14:paraId="41FEDF50" w14:textId="77777777" w:rsidR="00DF4259" w:rsidRPr="00B066D3" w:rsidRDefault="00DF4259" w:rsidP="00DF4259">
      <w:pPr>
        <w:pStyle w:val="Textthesis"/>
        <w:spacing w:line="276" w:lineRule="auto"/>
        <w:jc w:val="both"/>
        <w:rPr>
          <w:lang w:val="en-GB"/>
        </w:rPr>
      </w:pPr>
      <w:r w:rsidRPr="00B066D3">
        <w:rPr>
          <w:lang w:val="en-GB"/>
        </w:rPr>
        <w:t>The elastic properties of the protein films at the water‒air interface were measured via dynamic microindentation using an FT-MTA03 Micromechanical Testing and Assembly System (FemtoTools AG). Briefly, a standard indentation probe was used to approach the film under microscopic observation at a step size of 5 µm until proximity was observed, but there was no evidence of contact. After this step, the step size was reduced to 1 µm, and the probe was displaced until contact was observed, at which point the probe was moved up by 0.5 µm. The probe then oscillated in a frequency range from 0.1 to 10 Hz and with an amplitude of 1 µm, obtaining the measurements of the elastic (k’) and viscous (k’’) components of the stiffness directly from the instrument without further processing.</w:t>
      </w:r>
    </w:p>
    <w:p w14:paraId="69C9C4EB" w14:textId="77777777" w:rsidR="00DF4259" w:rsidRPr="00B066D3" w:rsidRDefault="00DF4259" w:rsidP="00DF4259">
      <w:pPr>
        <w:pStyle w:val="Textthesis"/>
        <w:spacing w:before="240" w:line="276" w:lineRule="auto"/>
        <w:jc w:val="both"/>
        <w:outlineLvl w:val="3"/>
        <w:rPr>
          <w:b/>
          <w:bCs/>
          <w:lang w:val="en-GB"/>
        </w:rPr>
      </w:pPr>
      <w:r w:rsidRPr="00B066D3">
        <w:rPr>
          <w:b/>
          <w:bCs/>
          <w:lang w:val="en-GB"/>
        </w:rPr>
        <w:t>Single-f</w:t>
      </w:r>
      <w:r>
        <w:rPr>
          <w:b/>
          <w:bCs/>
          <w:lang w:val="en-GB"/>
        </w:rPr>
        <w:t>ibre</w:t>
      </w:r>
      <w:r w:rsidRPr="00B066D3">
        <w:rPr>
          <w:b/>
          <w:bCs/>
          <w:lang w:val="en-GB"/>
        </w:rPr>
        <w:t xml:space="preserve"> tensile testing</w:t>
      </w:r>
    </w:p>
    <w:p w14:paraId="7C9468CC" w14:textId="77777777" w:rsidR="00DF4259" w:rsidRPr="00B066D3" w:rsidRDefault="00DF4259" w:rsidP="00DF4259">
      <w:pPr>
        <w:spacing w:line="276" w:lineRule="auto"/>
        <w:jc w:val="both"/>
        <w:rPr>
          <w:color w:val="222222"/>
          <w:sz w:val="24"/>
          <w:szCs w:val="24"/>
          <w:shd w:val="clear" w:color="auto" w:fill="FFFFFF"/>
        </w:rPr>
      </w:pPr>
      <w:r w:rsidRPr="00B066D3">
        <w:rPr>
          <w:rFonts w:cstheme="minorHAnsi"/>
          <w:sz w:val="24"/>
          <w:szCs w:val="24"/>
        </w:rPr>
        <w:t>Single f</w:t>
      </w:r>
      <w:r>
        <w:rPr>
          <w:rFonts w:cstheme="minorHAnsi"/>
          <w:sz w:val="24"/>
          <w:szCs w:val="24"/>
        </w:rPr>
        <w:t>ibre</w:t>
      </w:r>
      <w:r w:rsidRPr="00B066D3">
        <w:rPr>
          <w:rFonts w:cstheme="minorHAnsi"/>
          <w:sz w:val="24"/>
          <w:szCs w:val="24"/>
        </w:rPr>
        <w:t xml:space="preserve">s were collected on lasercut cardboard frames with inner window </w:t>
      </w:r>
      <w:r w:rsidRPr="00B066D3">
        <w:rPr>
          <w:rFonts w:cs="Calibri"/>
          <w:sz w:val="24"/>
          <w:szCs w:val="24"/>
        </w:rPr>
        <w:t>dimensions</w:t>
      </w:r>
      <w:r w:rsidRPr="00B066D3">
        <w:rPr>
          <w:rFonts w:cstheme="minorHAnsi"/>
          <w:sz w:val="24"/>
          <w:szCs w:val="24"/>
        </w:rPr>
        <w:t xml:space="preserve"> of 20 x 10 mm along the longest axis by using double-sided tape. Single f</w:t>
      </w:r>
      <w:r>
        <w:rPr>
          <w:rFonts w:cstheme="minorHAnsi"/>
          <w:sz w:val="24"/>
          <w:szCs w:val="24"/>
        </w:rPr>
        <w:t>ibre</w:t>
      </w:r>
      <w:r w:rsidRPr="00B066D3">
        <w:rPr>
          <w:rFonts w:cstheme="minorHAnsi"/>
          <w:sz w:val="24"/>
          <w:szCs w:val="24"/>
        </w:rPr>
        <w:t>s were produced by pulling f</w:t>
      </w:r>
      <w:r>
        <w:rPr>
          <w:rFonts w:cstheme="minorHAnsi"/>
          <w:sz w:val="24"/>
          <w:szCs w:val="24"/>
        </w:rPr>
        <w:t>ibre</w:t>
      </w:r>
      <w:r w:rsidRPr="00B066D3">
        <w:rPr>
          <w:rFonts w:cstheme="minorHAnsi"/>
          <w:sz w:val="24"/>
          <w:szCs w:val="24"/>
        </w:rPr>
        <w:t>s at the given reeling speeds, waiting for steady state of the system, and then</w:t>
      </w:r>
      <w:r w:rsidRPr="00B066D3">
        <w:rPr>
          <w:rFonts w:cs="Calibri"/>
          <w:sz w:val="24"/>
          <w:szCs w:val="24"/>
        </w:rPr>
        <w:t>,</w:t>
      </w:r>
      <w:r w:rsidRPr="00B066D3">
        <w:rPr>
          <w:rFonts w:cstheme="minorHAnsi"/>
          <w:sz w:val="24"/>
          <w:szCs w:val="24"/>
        </w:rPr>
        <w:t xml:space="preserve"> </w:t>
      </w:r>
      <w:r w:rsidRPr="00B066D3">
        <w:rPr>
          <w:rFonts w:cs="Calibri"/>
          <w:sz w:val="24"/>
          <w:szCs w:val="24"/>
        </w:rPr>
        <w:t xml:space="preserve">the </w:t>
      </w:r>
      <w:r w:rsidRPr="00B066D3">
        <w:rPr>
          <w:rFonts w:cstheme="minorHAnsi"/>
          <w:sz w:val="24"/>
          <w:szCs w:val="24"/>
        </w:rPr>
        <w:t>f</w:t>
      </w:r>
      <w:r>
        <w:rPr>
          <w:rFonts w:cstheme="minorHAnsi"/>
          <w:sz w:val="24"/>
          <w:szCs w:val="24"/>
        </w:rPr>
        <w:t>ibre</w:t>
      </w:r>
      <w:r w:rsidRPr="00B066D3">
        <w:rPr>
          <w:rFonts w:cstheme="minorHAnsi"/>
          <w:sz w:val="24"/>
          <w:szCs w:val="24"/>
        </w:rPr>
        <w:t>s were collected from the filament connecting the droplet and the collector. F</w:t>
      </w:r>
      <w:r>
        <w:rPr>
          <w:rFonts w:cstheme="minorHAnsi"/>
          <w:sz w:val="24"/>
          <w:szCs w:val="24"/>
        </w:rPr>
        <w:t>ibre</w:t>
      </w:r>
      <w:r w:rsidRPr="00B066D3">
        <w:rPr>
          <w:rFonts w:cstheme="minorHAnsi"/>
          <w:sz w:val="24"/>
          <w:szCs w:val="24"/>
        </w:rPr>
        <w:t xml:space="preserve"> dimaeters were </w:t>
      </w:r>
      <w:r w:rsidRPr="00B066D3">
        <w:rPr>
          <w:rFonts w:cs="Calibri"/>
          <w:sz w:val="24"/>
          <w:szCs w:val="24"/>
        </w:rPr>
        <w:t>subsequently</w:t>
      </w:r>
      <w:r w:rsidRPr="00B066D3">
        <w:rPr>
          <w:rFonts w:cstheme="minorHAnsi"/>
          <w:sz w:val="24"/>
          <w:szCs w:val="24"/>
        </w:rPr>
        <w:t xml:space="preserve"> measured </w:t>
      </w:r>
      <w:r w:rsidRPr="00B066D3">
        <w:rPr>
          <w:rFonts w:cs="Calibri"/>
          <w:sz w:val="24"/>
          <w:szCs w:val="24"/>
        </w:rPr>
        <w:t>via</w:t>
      </w:r>
      <w:r w:rsidRPr="00B066D3">
        <w:rPr>
          <w:rFonts w:cstheme="minorHAnsi"/>
          <w:sz w:val="24"/>
          <w:szCs w:val="24"/>
        </w:rPr>
        <w:t xml:space="preserve"> optical microscopy (Leica DFC7000 T) by taking three randon measurements of each individual f</w:t>
      </w:r>
      <w:r>
        <w:rPr>
          <w:rFonts w:cstheme="minorHAnsi"/>
          <w:sz w:val="24"/>
          <w:szCs w:val="24"/>
        </w:rPr>
        <w:t>ibre</w:t>
      </w:r>
      <w:r w:rsidRPr="00B066D3">
        <w:rPr>
          <w:rFonts w:cstheme="minorHAnsi"/>
          <w:sz w:val="24"/>
          <w:szCs w:val="24"/>
        </w:rPr>
        <w:t xml:space="preserve"> and averaging them</w:t>
      </w:r>
      <w:r w:rsidRPr="00B066D3">
        <w:rPr>
          <w:rFonts w:cs="Calibri"/>
          <w:sz w:val="24"/>
          <w:szCs w:val="24"/>
        </w:rPr>
        <w:t>;</w:t>
      </w:r>
      <w:r w:rsidRPr="00B066D3">
        <w:rPr>
          <w:rFonts w:cstheme="minorHAnsi"/>
          <w:sz w:val="24"/>
          <w:szCs w:val="24"/>
        </w:rPr>
        <w:t xml:space="preserve"> </w:t>
      </w:r>
      <w:r w:rsidRPr="00B066D3">
        <w:rPr>
          <w:rFonts w:cs="Calibri"/>
          <w:sz w:val="24"/>
          <w:szCs w:val="24"/>
        </w:rPr>
        <w:t xml:space="preserve">the </w:t>
      </w:r>
      <w:r w:rsidRPr="00B066D3">
        <w:rPr>
          <w:rFonts w:cstheme="minorHAnsi"/>
          <w:sz w:val="24"/>
          <w:szCs w:val="24"/>
        </w:rPr>
        <w:t>average of each individual f</w:t>
      </w:r>
      <w:r>
        <w:rPr>
          <w:rFonts w:cstheme="minorHAnsi"/>
          <w:sz w:val="24"/>
          <w:szCs w:val="24"/>
        </w:rPr>
        <w:t>ibre</w:t>
      </w:r>
      <w:r w:rsidRPr="00B066D3">
        <w:rPr>
          <w:rFonts w:cstheme="minorHAnsi"/>
          <w:sz w:val="24"/>
          <w:szCs w:val="24"/>
        </w:rPr>
        <w:t xml:space="preserve"> was used for </w:t>
      </w:r>
      <w:r w:rsidRPr="00B066D3">
        <w:rPr>
          <w:rFonts w:cs="Calibri"/>
          <w:sz w:val="24"/>
          <w:szCs w:val="24"/>
        </w:rPr>
        <w:t xml:space="preserve">calculations of </w:t>
      </w:r>
      <w:r w:rsidRPr="00B066D3">
        <w:rPr>
          <w:rFonts w:cstheme="minorHAnsi"/>
          <w:sz w:val="24"/>
          <w:szCs w:val="24"/>
        </w:rPr>
        <w:t xml:space="preserve">their individual tensile data. Tensile testing was </w:t>
      </w:r>
      <w:r w:rsidRPr="00B066D3">
        <w:rPr>
          <w:rFonts w:cs="Calibri"/>
          <w:sz w:val="24"/>
          <w:szCs w:val="24"/>
        </w:rPr>
        <w:t>performed</w:t>
      </w:r>
      <w:r w:rsidRPr="00B066D3">
        <w:rPr>
          <w:rFonts w:cstheme="minorHAnsi"/>
          <w:sz w:val="24"/>
          <w:szCs w:val="24"/>
        </w:rPr>
        <w:t xml:space="preserve"> using </w:t>
      </w:r>
      <w:r w:rsidRPr="00B066D3">
        <w:rPr>
          <w:rFonts w:cs="Calibri"/>
          <w:sz w:val="24"/>
          <w:szCs w:val="24"/>
        </w:rPr>
        <w:t>an</w:t>
      </w:r>
      <w:r w:rsidRPr="00B066D3">
        <w:rPr>
          <w:rFonts w:cstheme="minorHAnsi"/>
          <w:sz w:val="24"/>
          <w:szCs w:val="24"/>
        </w:rPr>
        <w:t xml:space="preserve"> Autograph universal tester (Shimadzu, Japan) equipped with a 5 N load cell</w:t>
      </w:r>
      <w:r w:rsidRPr="00B066D3">
        <w:rPr>
          <w:rFonts w:cs="Calibri"/>
          <w:sz w:val="24"/>
          <w:szCs w:val="24"/>
        </w:rPr>
        <w:t>,</w:t>
      </w:r>
      <w:r w:rsidRPr="00B066D3">
        <w:rPr>
          <w:rFonts w:cstheme="minorHAnsi"/>
          <w:sz w:val="24"/>
          <w:szCs w:val="24"/>
        </w:rPr>
        <w:t xml:space="preserve"> and </w:t>
      </w:r>
      <w:r w:rsidRPr="00B066D3">
        <w:rPr>
          <w:rFonts w:cs="Calibri"/>
          <w:sz w:val="24"/>
          <w:szCs w:val="24"/>
        </w:rPr>
        <w:t xml:space="preserve">the samples were </w:t>
      </w:r>
      <w:r w:rsidRPr="00B066D3">
        <w:rPr>
          <w:rFonts w:cstheme="minorHAnsi"/>
          <w:sz w:val="24"/>
          <w:szCs w:val="24"/>
        </w:rPr>
        <w:t xml:space="preserve">subjected to </w:t>
      </w:r>
      <w:r w:rsidRPr="00B066D3">
        <w:rPr>
          <w:rFonts w:cs="Calibri"/>
          <w:sz w:val="24"/>
          <w:szCs w:val="24"/>
        </w:rPr>
        <w:t xml:space="preserve">a </w:t>
      </w:r>
      <w:r w:rsidRPr="00B066D3">
        <w:rPr>
          <w:rFonts w:cstheme="minorHAnsi"/>
          <w:sz w:val="24"/>
          <w:szCs w:val="24"/>
        </w:rPr>
        <w:t>drawing speed of 2 mm/min</w:t>
      </w:r>
      <w:r w:rsidRPr="00B066D3">
        <w:rPr>
          <w:color w:val="222222"/>
          <w:sz w:val="24"/>
          <w:szCs w:val="24"/>
          <w:shd w:val="clear" w:color="auto" w:fill="FFFFFF"/>
        </w:rPr>
        <w:t xml:space="preserve"> until f</w:t>
      </w:r>
      <w:r>
        <w:rPr>
          <w:color w:val="222222"/>
          <w:sz w:val="24"/>
          <w:szCs w:val="24"/>
          <w:shd w:val="clear" w:color="auto" w:fill="FFFFFF"/>
        </w:rPr>
        <w:t>ibre</w:t>
      </w:r>
      <w:r w:rsidRPr="00B066D3">
        <w:rPr>
          <w:color w:val="222222"/>
          <w:sz w:val="24"/>
          <w:szCs w:val="24"/>
          <w:shd w:val="clear" w:color="auto" w:fill="FFFFFF"/>
        </w:rPr>
        <w:t xml:space="preserve"> </w:t>
      </w:r>
      <w:r w:rsidRPr="00B066D3">
        <w:rPr>
          <w:color w:val="222222"/>
          <w:sz w:val="24"/>
          <w:szCs w:val="24"/>
        </w:rPr>
        <w:t>breakage</w:t>
      </w:r>
      <w:r w:rsidRPr="00B066D3">
        <w:rPr>
          <w:color w:val="222222"/>
          <w:sz w:val="24"/>
          <w:szCs w:val="24"/>
          <w:shd w:val="clear" w:color="auto" w:fill="FFFFFF"/>
        </w:rPr>
        <w:t xml:space="preserve"> was observed. </w:t>
      </w:r>
      <w:r w:rsidRPr="00B066D3">
        <w:rPr>
          <w:color w:val="222222"/>
          <w:sz w:val="24"/>
          <w:szCs w:val="24"/>
        </w:rPr>
        <w:t>The data were</w:t>
      </w:r>
      <w:r w:rsidRPr="00B066D3">
        <w:rPr>
          <w:color w:val="222222"/>
          <w:sz w:val="24"/>
          <w:szCs w:val="24"/>
          <w:shd w:val="clear" w:color="auto" w:fill="FFFFFF"/>
        </w:rPr>
        <w:t xml:space="preserve"> calculated as the engineering stress and starins; </w:t>
      </w:r>
      <w:r w:rsidRPr="00B066D3">
        <w:rPr>
          <w:color w:val="222222"/>
          <w:sz w:val="24"/>
          <w:szCs w:val="24"/>
        </w:rPr>
        <w:t xml:space="preserve">the </w:t>
      </w:r>
      <w:r w:rsidRPr="00B066D3">
        <w:rPr>
          <w:color w:val="222222"/>
          <w:sz w:val="24"/>
          <w:szCs w:val="24"/>
          <w:shd w:val="clear" w:color="auto" w:fill="FFFFFF"/>
        </w:rPr>
        <w:t xml:space="preserve">force divided by </w:t>
      </w:r>
      <w:r w:rsidRPr="00B066D3">
        <w:rPr>
          <w:color w:val="222222"/>
          <w:sz w:val="24"/>
          <w:szCs w:val="24"/>
        </w:rPr>
        <w:t xml:space="preserve">the </w:t>
      </w:r>
      <w:r w:rsidRPr="00B066D3">
        <w:rPr>
          <w:color w:val="222222"/>
          <w:sz w:val="24"/>
          <w:szCs w:val="24"/>
          <w:shd w:val="clear" w:color="auto" w:fill="FFFFFF"/>
        </w:rPr>
        <w:t xml:space="preserve">cross-sectional area and </w:t>
      </w:r>
      <w:r w:rsidRPr="00B066D3">
        <w:rPr>
          <w:color w:val="222222"/>
          <w:sz w:val="24"/>
          <w:szCs w:val="24"/>
        </w:rPr>
        <w:t xml:space="preserve">the </w:t>
      </w:r>
      <w:r w:rsidRPr="00B066D3">
        <w:rPr>
          <w:color w:val="222222"/>
          <w:sz w:val="24"/>
          <w:szCs w:val="24"/>
          <w:shd w:val="clear" w:color="auto" w:fill="FFFFFF"/>
        </w:rPr>
        <w:t xml:space="preserve">displacement divided by </w:t>
      </w:r>
      <w:r w:rsidRPr="00B066D3">
        <w:rPr>
          <w:color w:val="222222"/>
          <w:sz w:val="24"/>
          <w:szCs w:val="24"/>
        </w:rPr>
        <w:t xml:space="preserve">the </w:t>
      </w:r>
      <w:r w:rsidRPr="00B066D3">
        <w:rPr>
          <w:color w:val="222222"/>
          <w:sz w:val="24"/>
          <w:szCs w:val="24"/>
          <w:shd w:val="clear" w:color="auto" w:fill="FFFFFF"/>
        </w:rPr>
        <w:t>f</w:t>
      </w:r>
      <w:r>
        <w:rPr>
          <w:color w:val="222222"/>
          <w:sz w:val="24"/>
          <w:szCs w:val="24"/>
          <w:shd w:val="clear" w:color="auto" w:fill="FFFFFF"/>
        </w:rPr>
        <w:t>ibre</w:t>
      </w:r>
      <w:r w:rsidRPr="00B066D3">
        <w:rPr>
          <w:color w:val="222222"/>
          <w:sz w:val="24"/>
          <w:szCs w:val="24"/>
          <w:shd w:val="clear" w:color="auto" w:fill="FFFFFF"/>
        </w:rPr>
        <w:t xml:space="preserve"> length </w:t>
      </w:r>
      <w:r w:rsidRPr="00B066D3">
        <w:rPr>
          <w:color w:val="222222"/>
          <w:sz w:val="24"/>
          <w:szCs w:val="24"/>
        </w:rPr>
        <w:t xml:space="preserve">were </w:t>
      </w:r>
      <w:r w:rsidRPr="00B066D3">
        <w:rPr>
          <w:color w:val="222222"/>
          <w:sz w:val="24"/>
          <w:szCs w:val="24"/>
          <w:shd w:val="clear" w:color="auto" w:fill="FFFFFF"/>
        </w:rPr>
        <w:t>assumed to be 20 mm. At least three f</w:t>
      </w:r>
      <w:r>
        <w:rPr>
          <w:color w:val="222222"/>
          <w:sz w:val="24"/>
          <w:szCs w:val="24"/>
          <w:shd w:val="clear" w:color="auto" w:fill="FFFFFF"/>
        </w:rPr>
        <w:t>ibre</w:t>
      </w:r>
      <w:r w:rsidRPr="00B066D3">
        <w:rPr>
          <w:color w:val="222222"/>
          <w:sz w:val="24"/>
          <w:szCs w:val="24"/>
          <w:shd w:val="clear" w:color="auto" w:fill="FFFFFF"/>
        </w:rPr>
        <w:t xml:space="preserve">s were </w:t>
      </w:r>
      <w:r w:rsidRPr="00B066D3">
        <w:rPr>
          <w:color w:val="222222"/>
          <w:sz w:val="24"/>
          <w:szCs w:val="24"/>
        </w:rPr>
        <w:t>used</w:t>
      </w:r>
      <w:r w:rsidRPr="00B066D3">
        <w:rPr>
          <w:color w:val="222222"/>
          <w:sz w:val="24"/>
          <w:szCs w:val="24"/>
          <w:shd w:val="clear" w:color="auto" w:fill="FFFFFF"/>
        </w:rPr>
        <w:t xml:space="preserve"> for each reeling speed</w:t>
      </w:r>
      <w:r w:rsidRPr="00B066D3">
        <w:rPr>
          <w:color w:val="222222"/>
          <w:sz w:val="24"/>
          <w:szCs w:val="24"/>
        </w:rPr>
        <w:t>,</w:t>
      </w:r>
      <w:r w:rsidRPr="00B066D3">
        <w:rPr>
          <w:color w:val="222222"/>
          <w:sz w:val="24"/>
          <w:szCs w:val="24"/>
          <w:shd w:val="clear" w:color="auto" w:fill="FFFFFF"/>
        </w:rPr>
        <w:t xml:space="preserve"> and </w:t>
      </w:r>
      <w:r w:rsidRPr="00B066D3">
        <w:rPr>
          <w:color w:val="222222"/>
          <w:sz w:val="24"/>
          <w:szCs w:val="24"/>
        </w:rPr>
        <w:t xml:space="preserve">the </w:t>
      </w:r>
      <w:r w:rsidRPr="00B066D3">
        <w:rPr>
          <w:color w:val="222222"/>
          <w:sz w:val="24"/>
          <w:szCs w:val="24"/>
          <w:shd w:val="clear" w:color="auto" w:fill="FFFFFF"/>
        </w:rPr>
        <w:t>reported values correspond to the mean accompanied by the 1.5x standard error.</w:t>
      </w:r>
    </w:p>
    <w:p w14:paraId="64855CDB" w14:textId="77777777" w:rsidR="00DF4259" w:rsidRPr="00B066D3" w:rsidRDefault="00DF4259" w:rsidP="00DF4259">
      <w:pPr>
        <w:pStyle w:val="Textthesis"/>
        <w:spacing w:before="240" w:line="276" w:lineRule="auto"/>
        <w:jc w:val="both"/>
        <w:outlineLvl w:val="3"/>
        <w:rPr>
          <w:b/>
          <w:bCs/>
          <w:lang w:val="en-GB"/>
        </w:rPr>
      </w:pPr>
      <w:r w:rsidRPr="00B066D3">
        <w:rPr>
          <w:b/>
          <w:bCs/>
          <w:lang w:val="en-GB"/>
        </w:rPr>
        <w:t>F</w:t>
      </w:r>
      <w:r>
        <w:rPr>
          <w:b/>
          <w:bCs/>
          <w:lang w:val="en-GB"/>
        </w:rPr>
        <w:t>ibre</w:t>
      </w:r>
      <w:r w:rsidRPr="00B066D3">
        <w:rPr>
          <w:b/>
          <w:bCs/>
          <w:lang w:val="en-GB"/>
        </w:rPr>
        <w:t xml:space="preserve"> composites</w:t>
      </w:r>
    </w:p>
    <w:p w14:paraId="6B483C69" w14:textId="77777777" w:rsidR="00DF4259" w:rsidRPr="00B066D3" w:rsidRDefault="00DF4259" w:rsidP="00DF4259">
      <w:pPr>
        <w:spacing w:line="276" w:lineRule="auto"/>
        <w:ind w:firstLine="180"/>
        <w:jc w:val="both"/>
        <w:outlineLvl w:val="4"/>
        <w:rPr>
          <w:b/>
          <w:bCs/>
          <w:sz w:val="24"/>
          <w:szCs w:val="24"/>
        </w:rPr>
      </w:pPr>
      <w:r w:rsidRPr="00B066D3">
        <w:rPr>
          <w:b/>
          <w:bCs/>
          <w:sz w:val="24"/>
          <w:szCs w:val="24"/>
        </w:rPr>
        <w:t>Magnetic f</w:t>
      </w:r>
      <w:r>
        <w:rPr>
          <w:b/>
          <w:bCs/>
          <w:sz w:val="24"/>
          <w:szCs w:val="24"/>
        </w:rPr>
        <w:t>ibre</w:t>
      </w:r>
      <w:r w:rsidRPr="00B066D3">
        <w:rPr>
          <w:b/>
          <w:bCs/>
          <w:sz w:val="24"/>
          <w:szCs w:val="24"/>
        </w:rPr>
        <w:t>s.</w:t>
      </w:r>
    </w:p>
    <w:p w14:paraId="4D4275D7" w14:textId="77777777" w:rsidR="00DF4259" w:rsidRPr="00B066D3" w:rsidRDefault="00DF4259" w:rsidP="00DF4259">
      <w:pPr>
        <w:spacing w:line="276" w:lineRule="auto"/>
        <w:ind w:firstLine="450"/>
        <w:jc w:val="both"/>
        <w:outlineLvl w:val="5"/>
        <w:rPr>
          <w:b/>
          <w:bCs/>
          <w:i/>
          <w:iCs/>
          <w:sz w:val="24"/>
          <w:szCs w:val="24"/>
        </w:rPr>
      </w:pPr>
      <w:r w:rsidRPr="00B066D3">
        <w:rPr>
          <w:b/>
          <w:bCs/>
          <w:i/>
          <w:iCs/>
          <w:sz w:val="24"/>
          <w:szCs w:val="24"/>
        </w:rPr>
        <w:t>Doping NLSF Feedstocks</w:t>
      </w:r>
    </w:p>
    <w:p w14:paraId="09AF8FF3" w14:textId="77777777" w:rsidR="00DF4259" w:rsidRPr="00B066D3" w:rsidRDefault="00DF4259" w:rsidP="00DF4259">
      <w:pPr>
        <w:spacing w:line="276" w:lineRule="auto"/>
        <w:rPr>
          <w:rFonts w:cstheme="minorHAnsi"/>
          <w:sz w:val="24"/>
          <w:szCs w:val="24"/>
        </w:rPr>
      </w:pPr>
      <w:r w:rsidRPr="00B066D3">
        <w:rPr>
          <w:rFonts w:cstheme="minorHAnsi"/>
          <w:sz w:val="24"/>
          <w:szCs w:val="24"/>
        </w:rPr>
        <w:t xml:space="preserve">For the bottom-up </w:t>
      </w:r>
      <w:r w:rsidRPr="00B066D3">
        <w:rPr>
          <w:rFonts w:cs="Calibri"/>
          <w:sz w:val="24"/>
          <w:szCs w:val="24"/>
        </w:rPr>
        <w:t>functionalization</w:t>
      </w:r>
      <w:r w:rsidRPr="00B066D3">
        <w:rPr>
          <w:rFonts w:cstheme="minorHAnsi"/>
          <w:sz w:val="24"/>
          <w:szCs w:val="24"/>
        </w:rPr>
        <w:t xml:space="preserve"> of the biomimetic self-assembly process</w:t>
      </w:r>
      <w:r w:rsidRPr="00B066D3">
        <w:rPr>
          <w:rFonts w:cs="Calibri"/>
          <w:sz w:val="24"/>
          <w:szCs w:val="24"/>
        </w:rPr>
        <w:t>,</w:t>
      </w:r>
      <w:r w:rsidRPr="00B066D3">
        <w:rPr>
          <w:rFonts w:cstheme="minorHAnsi"/>
          <w:sz w:val="24"/>
          <w:szCs w:val="24"/>
        </w:rPr>
        <w:t xml:space="preserve"> 1 mL of NLSF and the desired dopant were </w:t>
      </w:r>
      <w:r w:rsidRPr="00B066D3">
        <w:rPr>
          <w:rFonts w:cs="Calibri"/>
          <w:sz w:val="24"/>
          <w:szCs w:val="24"/>
        </w:rPr>
        <w:t>added</w:t>
      </w:r>
      <w:r w:rsidRPr="00B066D3">
        <w:rPr>
          <w:rFonts w:cstheme="minorHAnsi"/>
          <w:sz w:val="24"/>
          <w:szCs w:val="24"/>
        </w:rPr>
        <w:t xml:space="preserve"> in </w:t>
      </w:r>
      <w:r w:rsidRPr="00B066D3">
        <w:rPr>
          <w:rFonts w:cs="Calibri"/>
          <w:sz w:val="24"/>
          <w:szCs w:val="24"/>
        </w:rPr>
        <w:t>the</w:t>
      </w:r>
      <w:r w:rsidRPr="00B066D3">
        <w:rPr>
          <w:rFonts w:cstheme="minorHAnsi"/>
          <w:sz w:val="24"/>
          <w:szCs w:val="24"/>
        </w:rPr>
        <w:t xml:space="preserve"> desired ratio (e.g.</w:t>
      </w:r>
      <w:r w:rsidRPr="00B066D3">
        <w:rPr>
          <w:rFonts w:cs="Calibri"/>
          <w:sz w:val="24"/>
          <w:szCs w:val="24"/>
        </w:rPr>
        <w:t>,</w:t>
      </w:r>
      <w:r w:rsidRPr="00B066D3">
        <w:rPr>
          <w:rFonts w:cstheme="minorHAnsi"/>
          <w:sz w:val="24"/>
          <w:szCs w:val="24"/>
        </w:rPr>
        <w:t xml:space="preserve"> 0.8 mL </w:t>
      </w:r>
      <w:r w:rsidRPr="00B066D3">
        <w:rPr>
          <w:rFonts w:cs="Calibri"/>
          <w:sz w:val="24"/>
          <w:szCs w:val="24"/>
        </w:rPr>
        <w:t xml:space="preserve">of </w:t>
      </w:r>
      <w:r w:rsidRPr="00B066D3">
        <w:rPr>
          <w:rFonts w:cstheme="minorHAnsi"/>
          <w:sz w:val="24"/>
          <w:szCs w:val="24"/>
        </w:rPr>
        <w:t>NLSF and 0.2 mL of 2 mg/ml magnetite nanocrystals).</w:t>
      </w:r>
    </w:p>
    <w:p w14:paraId="2F3224C3" w14:textId="77777777" w:rsidR="00DF4259" w:rsidRPr="00B066D3" w:rsidRDefault="00DF4259" w:rsidP="00DF4259">
      <w:pPr>
        <w:spacing w:line="276" w:lineRule="auto"/>
        <w:ind w:firstLine="450"/>
        <w:jc w:val="both"/>
        <w:outlineLvl w:val="5"/>
        <w:rPr>
          <w:b/>
          <w:bCs/>
          <w:i/>
          <w:iCs/>
          <w:sz w:val="24"/>
          <w:szCs w:val="24"/>
        </w:rPr>
      </w:pPr>
      <w:r w:rsidRPr="00B066D3">
        <w:rPr>
          <w:b/>
          <w:bCs/>
          <w:i/>
          <w:iCs/>
          <w:sz w:val="24"/>
          <w:szCs w:val="24"/>
        </w:rPr>
        <w:t>Synthesis of Magnetite Nanocrystals</w:t>
      </w:r>
    </w:p>
    <w:p w14:paraId="31B90B42" w14:textId="77777777" w:rsidR="00DF4259" w:rsidRPr="00B066D3" w:rsidRDefault="00DF4259" w:rsidP="00DF4259">
      <w:pPr>
        <w:spacing w:line="276" w:lineRule="auto"/>
        <w:rPr>
          <w:rFonts w:cstheme="minorHAnsi"/>
          <w:sz w:val="24"/>
          <w:szCs w:val="24"/>
        </w:rPr>
      </w:pPr>
      <w:r w:rsidRPr="00B066D3">
        <w:rPr>
          <w:rFonts w:cs="Calibri"/>
          <w:sz w:val="24"/>
          <w:szCs w:val="24"/>
        </w:rPr>
        <w:t>One hundred milliliters</w:t>
      </w:r>
      <w:r w:rsidRPr="00B066D3">
        <w:rPr>
          <w:rFonts w:cstheme="minorHAnsi"/>
          <w:sz w:val="24"/>
          <w:szCs w:val="24"/>
        </w:rPr>
        <w:t xml:space="preserve"> of ultrapure water was degassed and put under a nitrogen atmosphere; it was heated to 90°C and stirred vigorously. FeCl</w:t>
      </w:r>
      <w:r w:rsidRPr="00B066D3">
        <w:rPr>
          <w:rFonts w:cstheme="minorHAnsi"/>
          <w:sz w:val="24"/>
          <w:szCs w:val="24"/>
          <w:vertAlign w:val="subscript"/>
        </w:rPr>
        <w:t>2</w:t>
      </w:r>
      <w:r w:rsidRPr="00B066D3">
        <w:rPr>
          <w:rFonts w:cstheme="minorHAnsi"/>
          <w:sz w:val="24"/>
          <w:szCs w:val="24"/>
        </w:rPr>
        <w:t>•4H</w:t>
      </w:r>
      <w:r w:rsidRPr="00B066D3">
        <w:rPr>
          <w:rFonts w:cstheme="minorHAnsi"/>
          <w:sz w:val="24"/>
          <w:szCs w:val="24"/>
          <w:vertAlign w:val="subscript"/>
        </w:rPr>
        <w:t>2</w:t>
      </w:r>
      <w:r w:rsidRPr="00B066D3">
        <w:rPr>
          <w:rFonts w:cstheme="minorHAnsi"/>
          <w:sz w:val="24"/>
          <w:szCs w:val="24"/>
        </w:rPr>
        <w:t>O (1.5 g, 7.5 mmol) and FeCl</w:t>
      </w:r>
      <w:r w:rsidRPr="00B066D3">
        <w:rPr>
          <w:rFonts w:cstheme="minorHAnsi"/>
          <w:sz w:val="24"/>
          <w:szCs w:val="24"/>
        </w:rPr>
        <w:softHyphen/>
      </w:r>
      <w:r w:rsidRPr="00B066D3">
        <w:rPr>
          <w:rFonts w:cstheme="minorHAnsi"/>
          <w:sz w:val="24"/>
          <w:szCs w:val="24"/>
          <w:vertAlign w:val="subscript"/>
        </w:rPr>
        <w:t>3</w:t>
      </w:r>
      <w:r w:rsidRPr="00B066D3">
        <w:rPr>
          <w:rFonts w:cstheme="minorHAnsi"/>
          <w:sz w:val="24"/>
          <w:szCs w:val="24"/>
        </w:rPr>
        <w:t xml:space="preserve"> (3.0 g, 18.5 mmol) were added to the water under a positive nitrogen gas flow to yield a red/brown solution. </w:t>
      </w:r>
      <w:r w:rsidRPr="00B066D3">
        <w:rPr>
          <w:rFonts w:cstheme="minorHAnsi"/>
          <w:sz w:val="24"/>
          <w:szCs w:val="24"/>
        </w:rPr>
        <w:lastRenderedPageBreak/>
        <w:t>Upon complete dissolution, 10 mL of 25 wt% NH</w:t>
      </w:r>
      <w:r w:rsidRPr="00B066D3">
        <w:rPr>
          <w:rFonts w:cstheme="minorHAnsi"/>
          <w:sz w:val="24"/>
          <w:szCs w:val="24"/>
          <w:vertAlign w:val="subscript"/>
        </w:rPr>
        <w:t>4</w:t>
      </w:r>
      <w:r w:rsidRPr="00B066D3">
        <w:rPr>
          <w:rFonts w:cstheme="minorHAnsi"/>
          <w:sz w:val="24"/>
          <w:szCs w:val="24"/>
        </w:rPr>
        <w:t xml:space="preserve">OH was added gradually with a syringe. This caused the solution to precipitate and turn black. The solution was left to react further for 30 minutes. The resultant solution was cooled, and the magnetite was isolated through magnetic decantation. The crystals were washed with </w:t>
      </w:r>
      <w:r w:rsidRPr="00B066D3">
        <w:rPr>
          <w:rFonts w:cs="Calibri"/>
          <w:sz w:val="24"/>
          <w:szCs w:val="24"/>
        </w:rPr>
        <w:t>deionized</w:t>
      </w:r>
      <w:r w:rsidRPr="00B066D3">
        <w:rPr>
          <w:rFonts w:cstheme="minorHAnsi"/>
          <w:sz w:val="24"/>
          <w:szCs w:val="24"/>
        </w:rPr>
        <w:t xml:space="preserve"> water several times to remove any remaining chloride ions. The crystals were dried in </w:t>
      </w:r>
      <w:r w:rsidRPr="00B066D3">
        <w:rPr>
          <w:rFonts w:cs="Calibri"/>
          <w:sz w:val="24"/>
          <w:szCs w:val="24"/>
        </w:rPr>
        <w:t xml:space="preserve">a </w:t>
      </w:r>
      <w:r w:rsidRPr="00B066D3">
        <w:rPr>
          <w:rFonts w:cstheme="minorHAnsi"/>
          <w:sz w:val="24"/>
          <w:szCs w:val="24"/>
        </w:rPr>
        <w:t>vacuum oven at 80°C for 24 hours.</w:t>
      </w:r>
    </w:p>
    <w:p w14:paraId="22F1A238" w14:textId="77777777" w:rsidR="00DF4259" w:rsidRPr="00B066D3" w:rsidRDefault="00DF4259" w:rsidP="00DF4259">
      <w:pPr>
        <w:spacing w:line="276" w:lineRule="auto"/>
        <w:ind w:firstLine="180"/>
        <w:jc w:val="both"/>
        <w:outlineLvl w:val="4"/>
        <w:rPr>
          <w:b/>
          <w:bCs/>
          <w:sz w:val="24"/>
          <w:szCs w:val="24"/>
        </w:rPr>
      </w:pPr>
      <w:r w:rsidRPr="00B066D3">
        <w:rPr>
          <w:rFonts w:cs="Calibri"/>
          <w:sz w:val="24"/>
          <w:szCs w:val="24"/>
        </w:rPr>
        <w:t xml:space="preserve">Living </w:t>
      </w:r>
      <w:r w:rsidRPr="00B066D3">
        <w:rPr>
          <w:b/>
          <w:bCs/>
          <w:i/>
          <w:iCs/>
          <w:sz w:val="24"/>
          <w:szCs w:val="24"/>
        </w:rPr>
        <w:t>E. coli</w:t>
      </w:r>
      <w:r w:rsidRPr="00B066D3">
        <w:rPr>
          <w:b/>
          <w:bCs/>
          <w:sz w:val="24"/>
          <w:szCs w:val="24"/>
        </w:rPr>
        <w:t xml:space="preserve"> f</w:t>
      </w:r>
      <w:r>
        <w:rPr>
          <w:b/>
          <w:bCs/>
          <w:sz w:val="24"/>
          <w:szCs w:val="24"/>
        </w:rPr>
        <w:t>ibre</w:t>
      </w:r>
      <w:r w:rsidRPr="00B066D3">
        <w:rPr>
          <w:b/>
          <w:bCs/>
          <w:sz w:val="24"/>
          <w:szCs w:val="24"/>
        </w:rPr>
        <w:t>s.</w:t>
      </w:r>
    </w:p>
    <w:p w14:paraId="2AE8FD83" w14:textId="77777777" w:rsidR="00DF4259" w:rsidRPr="00B066D3" w:rsidRDefault="00DF4259" w:rsidP="00DF4259">
      <w:pPr>
        <w:spacing w:line="276" w:lineRule="auto"/>
        <w:jc w:val="both"/>
        <w:rPr>
          <w:sz w:val="24"/>
          <w:szCs w:val="24"/>
        </w:rPr>
      </w:pPr>
      <w:r w:rsidRPr="00B066D3">
        <w:rPr>
          <w:sz w:val="24"/>
          <w:szCs w:val="24"/>
        </w:rPr>
        <w:t>BL21 (DE3) cells were obtained from the group of Prof. Imre Berger, and the emerald plasmid Emerald (a version of GFP) was kindly donated by a member of the group. The plasmid architecture is provided in Figure X. Briefly, standard chemically competent BL21 cells were incubated for 10 min with 200 ng of plasmid before being subjected to 45 s at 42°C followed by 2 min at 4°C (water/ice) before being reconstituted using room temperature Luria broth (LB) and cultured in suspension for 2 hours before being plated on standard LB agar supplemented with antibiotics (ampicillin). A primary culture was then made by inoculating 5 ml of LB supplemented with antibiotics; single colonies were removed from the LB-gar plate and cultured overnight. First, primary culture was used to produce f</w:t>
      </w:r>
      <w:r>
        <w:rPr>
          <w:sz w:val="24"/>
          <w:szCs w:val="24"/>
        </w:rPr>
        <w:t>ibre</w:t>
      </w:r>
      <w:r w:rsidRPr="00B066D3">
        <w:rPr>
          <w:sz w:val="24"/>
          <w:szCs w:val="24"/>
        </w:rPr>
        <w:t>s by centrifuging the cell suspension at 2000 RCF and resuspending the mixture in auclaved phosphate saline buffer (PBS). Briefly, primary cultures in auclaved PBS were mixed with silk solution at a 1:10 to 1:500 ratio before the f</w:t>
      </w:r>
      <w:r>
        <w:rPr>
          <w:sz w:val="24"/>
          <w:szCs w:val="24"/>
        </w:rPr>
        <w:t>ibre</w:t>
      </w:r>
      <w:r w:rsidRPr="00B066D3">
        <w:rPr>
          <w:sz w:val="24"/>
          <w:szCs w:val="24"/>
        </w:rPr>
        <w:t>s were readily removed from the droplets, after which the samples were cultured in LB supplemented with antibiotics and 0.5 mM isopropyl β-d-1-thiogalactopyranoside (IPTG) overnight. The next day, the f</w:t>
      </w:r>
      <w:r>
        <w:rPr>
          <w:sz w:val="24"/>
          <w:szCs w:val="24"/>
        </w:rPr>
        <w:t>ibre</w:t>
      </w:r>
      <w:r w:rsidRPr="00B066D3">
        <w:rPr>
          <w:sz w:val="24"/>
          <w:szCs w:val="24"/>
        </w:rPr>
        <w:t>s were briefly washed with PBS, fixed with 10% formaldehyde for 15 min, washed again in PBS and stored in PBS before observation. In the second instance, a secondary culture was used, where 100 mL of LB supplemented with antibiotics was inoculated with 1 mL of primary culture mixture, cultured under shaking until the optical density reached 0.6 (at 600 nm), supplemented with 0.5 mM IPTG and cultured for 2 h before centrifuging the cells and transferring them to PBS to proceed with the method described above and fix the silk-cell composite immediately after production.</w:t>
      </w:r>
    </w:p>
    <w:p w14:paraId="475242C9" w14:textId="77777777" w:rsidR="00DF4259" w:rsidRPr="00B066D3" w:rsidRDefault="00DF4259" w:rsidP="00DF4259">
      <w:pPr>
        <w:spacing w:line="276" w:lineRule="auto"/>
        <w:jc w:val="both"/>
        <w:rPr>
          <w:sz w:val="24"/>
          <w:szCs w:val="24"/>
        </w:rPr>
        <w:sectPr w:rsidR="00DF4259" w:rsidRPr="00B066D3" w:rsidSect="00DF4259">
          <w:pgSz w:w="11906" w:h="16838"/>
          <w:pgMar w:top="1440" w:right="1080" w:bottom="1440" w:left="1080" w:header="708" w:footer="708" w:gutter="0"/>
          <w:lnNumType w:countBy="1" w:restart="continuous"/>
          <w:cols w:space="708"/>
          <w:docGrid w:linePitch="360"/>
        </w:sectPr>
      </w:pPr>
    </w:p>
    <w:p w14:paraId="39D8FBB3" w14:textId="77777777" w:rsidR="00DF4259" w:rsidRPr="00B066D3" w:rsidRDefault="00DF4259" w:rsidP="00DF4259">
      <w:pPr>
        <w:spacing w:line="276" w:lineRule="auto"/>
        <w:jc w:val="both"/>
        <w:outlineLvl w:val="2"/>
        <w:rPr>
          <w:b/>
          <w:bCs/>
          <w:sz w:val="24"/>
          <w:szCs w:val="24"/>
        </w:rPr>
      </w:pPr>
      <w:r w:rsidRPr="00B066D3">
        <w:rPr>
          <w:b/>
          <w:bCs/>
          <w:sz w:val="24"/>
          <w:szCs w:val="24"/>
        </w:rPr>
        <w:lastRenderedPageBreak/>
        <w:t>Supplementary text</w:t>
      </w:r>
    </w:p>
    <w:p w14:paraId="543CE455" w14:textId="77777777" w:rsidR="00DF4259" w:rsidRPr="00B066D3" w:rsidRDefault="00DF4259" w:rsidP="00DF4259">
      <w:pPr>
        <w:pStyle w:val="ListParagraph"/>
        <w:numPr>
          <w:ilvl w:val="0"/>
          <w:numId w:val="1"/>
        </w:numPr>
        <w:spacing w:line="276" w:lineRule="auto"/>
        <w:ind w:left="0" w:firstLine="0"/>
        <w:outlineLvl w:val="3"/>
        <w:rPr>
          <w:b/>
          <w:bCs/>
          <w:szCs w:val="24"/>
          <w:lang w:val="en-GB"/>
        </w:rPr>
      </w:pPr>
      <w:r w:rsidRPr="00B066D3">
        <w:rPr>
          <w:b/>
          <w:bCs/>
          <w:szCs w:val="24"/>
          <w:lang w:val="en-GB"/>
        </w:rPr>
        <w:t>Description of the new phenomena</w:t>
      </w:r>
      <w:bookmarkEnd w:id="1"/>
    </w:p>
    <w:p w14:paraId="3F1076B5" w14:textId="77777777" w:rsidR="00DF4259" w:rsidRPr="00B066D3" w:rsidRDefault="00DF4259" w:rsidP="00DF4259">
      <w:pPr>
        <w:pStyle w:val="Textthesis"/>
        <w:spacing w:before="240" w:line="276" w:lineRule="auto"/>
        <w:jc w:val="both"/>
        <w:rPr>
          <w:lang w:val="en-GB"/>
        </w:rPr>
      </w:pPr>
      <w:r w:rsidRPr="00B066D3">
        <w:rPr>
          <w:lang w:val="en-GB"/>
        </w:rPr>
        <w:t xml:space="preserve">These results led to the fortuitous observation of an unreported phenomenon in NLSF systems. When pipetting the diluted samples, independent of pH, it was often possible to observe the formation of solid fibrillar aggregates, which are a few millimeters long. </w:t>
      </w:r>
      <w:r w:rsidRPr="00B066D3">
        <w:rPr>
          <w:lang w:val="en-GB"/>
        </w:rPr>
        <w:fldChar w:fldCharType="begin"/>
      </w:r>
      <w:r w:rsidRPr="00B066D3">
        <w:rPr>
          <w:lang w:val="en-GB"/>
        </w:rPr>
        <w:instrText xml:space="preserve"> REF _Ref95928448 \h  \* MERGEFORMAT </w:instrText>
      </w:r>
      <w:r w:rsidRPr="00B066D3">
        <w:rPr>
          <w:lang w:val="en-GB"/>
        </w:rPr>
      </w:r>
      <w:r w:rsidRPr="00B066D3">
        <w:rPr>
          <w:lang w:val="en-GB"/>
        </w:rPr>
        <w:fldChar w:fldCharType="separate"/>
      </w:r>
      <w:r w:rsidRPr="00B066D3">
        <w:rPr>
          <w:lang w:val="en-GB"/>
        </w:rPr>
        <w:t>Figure S 1</w:t>
      </w:r>
      <w:r w:rsidRPr="00B066D3">
        <w:rPr>
          <w:lang w:val="en-GB"/>
        </w:rPr>
        <w:fldChar w:fldCharType="end"/>
      </w:r>
      <w:r w:rsidRPr="00B066D3">
        <w:rPr>
          <w:lang w:val="en-GB"/>
        </w:rPr>
        <w:t xml:space="preserve"> shows snapshots of the described event captured via dark-field microscopy. These are frames taken from a video recorded while manipulating the solution with a 100 µL pipette tip. Time zero was taken as the moment of touch, and negative time means the time before contact, indicating a clear solution. Upon touching, the solution seems nonwetting and being pushed down (toward the lens), with a deformation similar to indentation (t:0 s). Immediately after pulling the pipette, the solution is drawn, forming a conical shape at which point the collapse of the formed filament, a highly refractive and solid f</w:t>
      </w:r>
      <w:r>
        <w:rPr>
          <w:lang w:val="en-GB"/>
        </w:rPr>
        <w:t>ibre</w:t>
      </w:r>
      <w:r w:rsidRPr="00B066D3">
        <w:rPr>
          <w:lang w:val="en-GB"/>
        </w:rPr>
        <w:t>, is observed. This f</w:t>
      </w:r>
      <w:r>
        <w:rPr>
          <w:lang w:val="en-GB"/>
        </w:rPr>
        <w:t>ibre</w:t>
      </w:r>
      <w:r w:rsidRPr="00B066D3">
        <w:rPr>
          <w:lang w:val="en-GB"/>
        </w:rPr>
        <w:t xml:space="preserve"> can be continuously pulled, and even a second contact point and nucleation event can occur until the pull force is sufficient to break or detach the origin of the f</w:t>
      </w:r>
      <w:r>
        <w:rPr>
          <w:lang w:val="en-GB"/>
        </w:rPr>
        <w:t>ibre</w:t>
      </w:r>
      <w:r w:rsidRPr="00B066D3">
        <w:rPr>
          <w:lang w:val="en-GB"/>
        </w:rPr>
        <w:t xml:space="preserve"> from the pipette tip.</w:t>
      </w:r>
    </w:p>
    <w:p w14:paraId="75A6D1D2" w14:textId="77777777" w:rsidR="00DF4259" w:rsidRPr="00B066D3" w:rsidRDefault="00DF4259" w:rsidP="00DF4259">
      <w:pPr>
        <w:pStyle w:val="Textthesis"/>
        <w:keepNext/>
        <w:spacing w:line="276" w:lineRule="auto"/>
        <w:jc w:val="center"/>
        <w:rPr>
          <w:lang w:val="en-GB"/>
        </w:rPr>
      </w:pPr>
      <w:r w:rsidRPr="00B066D3">
        <w:rPr>
          <w:noProof/>
          <w:lang w:val="en-GB"/>
        </w:rPr>
        <w:drawing>
          <wp:inline distT="0" distB="0" distL="0" distR="0" wp14:anchorId="5F1283B8" wp14:editId="64541643">
            <wp:extent cx="5673403" cy="3803904"/>
            <wp:effectExtent l="0" t="0" r="3810" b="6350"/>
            <wp:docPr id="7"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695788" cy="3818913"/>
                    </a:xfrm>
                    <a:prstGeom prst="rect">
                      <a:avLst/>
                    </a:prstGeom>
                    <a:noFill/>
                  </pic:spPr>
                </pic:pic>
              </a:graphicData>
            </a:graphic>
          </wp:inline>
        </w:drawing>
      </w:r>
    </w:p>
    <w:p w14:paraId="1BCC5DDA" w14:textId="77777777" w:rsidR="00DF4259" w:rsidRPr="00B066D3" w:rsidRDefault="00DF4259" w:rsidP="00DF4259">
      <w:pPr>
        <w:pStyle w:val="Captionthesis"/>
        <w:spacing w:line="276" w:lineRule="auto"/>
        <w:jc w:val="both"/>
        <w:rPr>
          <w:sz w:val="20"/>
          <w:szCs w:val="20"/>
          <w:lang w:val="en-GB"/>
        </w:rPr>
      </w:pPr>
      <w:bookmarkStart w:id="10" w:name="_Ref95928448"/>
      <w:bookmarkStart w:id="11" w:name="_Ref95928051"/>
      <w:bookmarkStart w:id="12" w:name="_Toc97662641"/>
      <w:r w:rsidRPr="00B066D3">
        <w:rPr>
          <w:sz w:val="20"/>
          <w:szCs w:val="20"/>
          <w:lang w:val="en-GB"/>
        </w:rPr>
        <w:t>Figure S</w:t>
      </w:r>
      <w:r w:rsidRPr="00B066D3">
        <w:rPr>
          <w:sz w:val="20"/>
          <w:szCs w:val="20"/>
          <w:lang w:val="en-GB"/>
        </w:rPr>
        <w:fldChar w:fldCharType="begin"/>
      </w:r>
      <w:r w:rsidRPr="00B066D3">
        <w:rPr>
          <w:sz w:val="20"/>
          <w:szCs w:val="20"/>
          <w:lang w:val="en-GB"/>
        </w:rPr>
        <w:instrText xml:space="preserve"> SEQ Figure_S \* ARABIC </w:instrText>
      </w:r>
      <w:r w:rsidRPr="00B066D3">
        <w:rPr>
          <w:sz w:val="20"/>
          <w:szCs w:val="20"/>
          <w:lang w:val="en-GB"/>
        </w:rPr>
        <w:fldChar w:fldCharType="separate"/>
      </w:r>
      <w:r w:rsidRPr="00B066D3">
        <w:rPr>
          <w:sz w:val="20"/>
          <w:szCs w:val="20"/>
          <w:lang w:val="en-GB"/>
        </w:rPr>
        <w:t>1</w:t>
      </w:r>
      <w:r w:rsidRPr="00B066D3">
        <w:rPr>
          <w:sz w:val="20"/>
          <w:szCs w:val="20"/>
          <w:lang w:val="en-GB"/>
        </w:rPr>
        <w:fldChar w:fldCharType="end"/>
      </w:r>
      <w:bookmarkEnd w:id="10"/>
      <w:r w:rsidRPr="00B066D3">
        <w:rPr>
          <w:sz w:val="20"/>
          <w:szCs w:val="20"/>
          <w:lang w:val="en-GB"/>
        </w:rPr>
        <w:t>. Snapshots obtained from a video taken under optical microscopy using a darkfield filter show the spontaneous formation of a silk-like f</w:t>
      </w:r>
      <w:r>
        <w:rPr>
          <w:sz w:val="20"/>
          <w:szCs w:val="20"/>
          <w:lang w:val="en-GB"/>
        </w:rPr>
        <w:t>ibre</w:t>
      </w:r>
      <w:r w:rsidRPr="00B066D3">
        <w:rPr>
          <w:sz w:val="20"/>
          <w:szCs w:val="20"/>
          <w:lang w:val="en-GB"/>
        </w:rPr>
        <w:t xml:space="preserve"> upon </w:t>
      </w:r>
      <w:bookmarkEnd w:id="11"/>
      <w:bookmarkEnd w:id="12"/>
      <w:r w:rsidRPr="00B066D3">
        <w:rPr>
          <w:sz w:val="20"/>
          <w:szCs w:val="20"/>
          <w:lang w:val="en-GB"/>
        </w:rPr>
        <w:t>contact of a 100 µl pipette tip with the water/air interface.</w:t>
      </w:r>
    </w:p>
    <w:p w14:paraId="0A3931B7" w14:textId="77777777" w:rsidR="00DF4259" w:rsidRPr="00B066D3" w:rsidRDefault="00DF4259" w:rsidP="00DF4259">
      <w:pPr>
        <w:pStyle w:val="Textthesis"/>
        <w:spacing w:line="276" w:lineRule="auto"/>
        <w:jc w:val="both"/>
        <w:rPr>
          <w:lang w:val="en-GB"/>
        </w:rPr>
      </w:pPr>
      <w:r w:rsidRPr="00B066D3">
        <w:rPr>
          <w:lang w:val="en-GB"/>
        </w:rPr>
        <w:t>Moreover, beyond the formation of a solid, insoluble f</w:t>
      </w:r>
      <w:r>
        <w:rPr>
          <w:lang w:val="en-GB"/>
        </w:rPr>
        <w:t>ibre</w:t>
      </w:r>
      <w:r w:rsidRPr="00B066D3">
        <w:rPr>
          <w:lang w:val="en-GB"/>
        </w:rPr>
        <w:t>, the morphology of the formed f</w:t>
      </w:r>
      <w:r>
        <w:rPr>
          <w:lang w:val="en-GB"/>
        </w:rPr>
        <w:t>ibre</w:t>
      </w:r>
      <w:r w:rsidRPr="00B066D3">
        <w:rPr>
          <w:lang w:val="en-GB"/>
        </w:rPr>
        <w:t xml:space="preserve"> pointed to a very complex, hierarchical assembly. Clear evidence of hierarchical fibrillar structures was observed, wherein the macroscopic f</w:t>
      </w:r>
      <w:r>
        <w:rPr>
          <w:lang w:val="en-GB"/>
        </w:rPr>
        <w:t>ibre</w:t>
      </w:r>
      <w:r w:rsidRPr="00B066D3">
        <w:rPr>
          <w:lang w:val="en-GB"/>
        </w:rPr>
        <w:t xml:space="preserve"> was itself composed of bundles of microscopic f</w:t>
      </w:r>
      <w:r>
        <w:rPr>
          <w:lang w:val="en-GB"/>
        </w:rPr>
        <w:t>ibre</w:t>
      </w:r>
      <w:r w:rsidRPr="00B066D3">
        <w:rPr>
          <w:lang w:val="en-GB"/>
        </w:rPr>
        <w:t xml:space="preserve">s, which themselves were composed of bundles of even smaller submicron fibrillar structures (see </w:t>
      </w:r>
      <w:r w:rsidRPr="00B066D3">
        <w:rPr>
          <w:lang w:val="en-GB"/>
        </w:rPr>
        <w:fldChar w:fldCharType="begin"/>
      </w:r>
      <w:r w:rsidRPr="00B066D3">
        <w:rPr>
          <w:lang w:val="en-GB"/>
        </w:rPr>
        <w:instrText xml:space="preserve"> REF _Ref133326212 \h  \* MERGEFORMAT </w:instrText>
      </w:r>
      <w:r w:rsidRPr="00B066D3">
        <w:rPr>
          <w:lang w:val="en-GB"/>
        </w:rPr>
      </w:r>
      <w:r w:rsidRPr="00B066D3">
        <w:rPr>
          <w:lang w:val="en-GB"/>
        </w:rPr>
        <w:fldChar w:fldCharType="separate"/>
      </w:r>
      <w:r w:rsidRPr="00B066D3">
        <w:rPr>
          <w:lang w:val="en-GB"/>
        </w:rPr>
        <w:t>Figure S 2</w:t>
      </w:r>
      <w:r w:rsidRPr="00B066D3">
        <w:rPr>
          <w:lang w:val="en-GB"/>
        </w:rPr>
        <w:fldChar w:fldCharType="end"/>
      </w:r>
      <w:r w:rsidRPr="00B066D3">
        <w:rPr>
          <w:lang w:val="en-GB"/>
        </w:rPr>
        <w:t>, A, B and D). Notably, the protein f</w:t>
      </w:r>
      <w:r>
        <w:rPr>
          <w:lang w:val="en-GB"/>
        </w:rPr>
        <w:t>ibre</w:t>
      </w:r>
      <w:r w:rsidRPr="00B066D3">
        <w:rPr>
          <w:lang w:val="en-GB"/>
        </w:rPr>
        <w:t xml:space="preserve">s were easily observable through fluorescence </w:t>
      </w:r>
      <w:r w:rsidRPr="00B066D3">
        <w:rPr>
          <w:lang w:val="en-GB"/>
        </w:rPr>
        <w:lastRenderedPageBreak/>
        <w:t>microscopy, as they exhibited intrinsic fluorescence in the green, red and blue channels (</w:t>
      </w:r>
      <w:r w:rsidRPr="00B066D3">
        <w:rPr>
          <w:lang w:val="en-GB"/>
        </w:rPr>
        <w:fldChar w:fldCharType="begin"/>
      </w:r>
      <w:r w:rsidRPr="00B066D3">
        <w:rPr>
          <w:lang w:val="en-GB"/>
        </w:rPr>
        <w:instrText xml:space="preserve"> REF _Ref133326212 \h  \* MERGEFORMAT </w:instrText>
      </w:r>
      <w:r w:rsidRPr="00B066D3">
        <w:rPr>
          <w:lang w:val="en-GB"/>
        </w:rPr>
      </w:r>
      <w:r w:rsidRPr="00B066D3">
        <w:rPr>
          <w:lang w:val="en-GB"/>
        </w:rPr>
        <w:fldChar w:fldCharType="separate"/>
      </w:r>
      <w:r w:rsidRPr="00B066D3">
        <w:rPr>
          <w:lang w:val="en-GB"/>
        </w:rPr>
        <w:t>Figure S 2</w:t>
      </w:r>
      <w:r w:rsidRPr="00B066D3">
        <w:rPr>
          <w:lang w:val="en-GB"/>
        </w:rPr>
        <w:fldChar w:fldCharType="end"/>
      </w:r>
      <w:r w:rsidRPr="00B066D3">
        <w:rPr>
          <w:lang w:val="en-GB"/>
        </w:rPr>
        <w:t>, C, for fluorescence in green). It is important to note that the submicron fibrils that formed are reminiscent of those observed by us and others.</w:t>
      </w:r>
    </w:p>
    <w:p w14:paraId="4F34F1D3" w14:textId="77777777" w:rsidR="00DF4259" w:rsidRPr="00B066D3" w:rsidRDefault="00DF4259" w:rsidP="00DF4259">
      <w:pPr>
        <w:pStyle w:val="Textthesis"/>
        <w:keepNext/>
        <w:spacing w:line="276" w:lineRule="auto"/>
        <w:jc w:val="center"/>
        <w:rPr>
          <w:lang w:val="en-GB"/>
        </w:rPr>
      </w:pPr>
      <w:r w:rsidRPr="00B066D3">
        <w:rPr>
          <w:noProof/>
          <w:lang w:val="en-GB"/>
        </w:rPr>
        <w:drawing>
          <wp:inline distT="0" distB="0" distL="0" distR="0" wp14:anchorId="08E7022D" wp14:editId="214B392A">
            <wp:extent cx="5368413" cy="5329270"/>
            <wp:effectExtent l="0" t="0" r="3810" b="5080"/>
            <wp:docPr id="51" name="Picture 5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picture containing 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393532" cy="5354206"/>
                    </a:xfrm>
                    <a:prstGeom prst="rect">
                      <a:avLst/>
                    </a:prstGeom>
                    <a:noFill/>
                  </pic:spPr>
                </pic:pic>
              </a:graphicData>
            </a:graphic>
          </wp:inline>
        </w:drawing>
      </w:r>
    </w:p>
    <w:p w14:paraId="3D2E1C45" w14:textId="77777777" w:rsidR="00DF4259" w:rsidRPr="00B066D3" w:rsidRDefault="00DF4259" w:rsidP="00DF4259">
      <w:pPr>
        <w:pStyle w:val="Captionthesis"/>
        <w:spacing w:line="276" w:lineRule="auto"/>
        <w:jc w:val="both"/>
        <w:rPr>
          <w:sz w:val="20"/>
          <w:szCs w:val="20"/>
          <w:lang w:val="en-GB"/>
        </w:rPr>
      </w:pPr>
      <w:bookmarkStart w:id="13" w:name="_Ref133326212"/>
      <w:bookmarkStart w:id="14" w:name="_Ref95928069"/>
      <w:bookmarkStart w:id="15" w:name="_Ref95928084"/>
      <w:bookmarkStart w:id="16" w:name="_Toc97662642"/>
      <w:bookmarkStart w:id="17" w:name="_Ref94096825"/>
      <w:r w:rsidRPr="00B066D3">
        <w:rPr>
          <w:sz w:val="20"/>
          <w:szCs w:val="20"/>
          <w:lang w:val="en-GB"/>
        </w:rPr>
        <w:t>Figure S</w:t>
      </w:r>
      <w:r w:rsidRPr="00B066D3">
        <w:rPr>
          <w:sz w:val="20"/>
          <w:szCs w:val="20"/>
          <w:lang w:val="en-GB"/>
        </w:rPr>
        <w:fldChar w:fldCharType="begin"/>
      </w:r>
      <w:r w:rsidRPr="00B066D3">
        <w:rPr>
          <w:sz w:val="20"/>
          <w:szCs w:val="20"/>
          <w:lang w:val="en-GB"/>
        </w:rPr>
        <w:instrText xml:space="preserve"> SEQ Figure_S \* ARABIC </w:instrText>
      </w:r>
      <w:r w:rsidRPr="00B066D3">
        <w:rPr>
          <w:sz w:val="20"/>
          <w:szCs w:val="20"/>
          <w:lang w:val="en-GB"/>
        </w:rPr>
        <w:fldChar w:fldCharType="separate"/>
      </w:r>
      <w:r w:rsidRPr="00B066D3">
        <w:rPr>
          <w:sz w:val="20"/>
          <w:szCs w:val="20"/>
          <w:lang w:val="en-GB"/>
        </w:rPr>
        <w:t>2</w:t>
      </w:r>
      <w:r w:rsidRPr="00B066D3">
        <w:rPr>
          <w:sz w:val="20"/>
          <w:szCs w:val="20"/>
          <w:lang w:val="en-GB"/>
        </w:rPr>
        <w:fldChar w:fldCharType="end"/>
      </w:r>
      <w:bookmarkEnd w:id="13"/>
      <w:r w:rsidRPr="00B066D3">
        <w:rPr>
          <w:sz w:val="20"/>
          <w:szCs w:val="20"/>
          <w:lang w:val="en-GB"/>
        </w:rPr>
        <w:t>. Low</w:t>
      </w:r>
      <w:bookmarkEnd w:id="14"/>
      <w:bookmarkEnd w:id="15"/>
      <w:bookmarkEnd w:id="16"/>
      <w:bookmarkEnd w:id="17"/>
      <w:r w:rsidRPr="00B066D3">
        <w:rPr>
          <w:sz w:val="20"/>
          <w:szCs w:val="20"/>
          <w:lang w:val="en-GB"/>
        </w:rPr>
        <w:t>-magnification microphotograph of a f</w:t>
      </w:r>
      <w:r>
        <w:rPr>
          <w:sz w:val="20"/>
          <w:szCs w:val="20"/>
          <w:lang w:val="en-GB"/>
        </w:rPr>
        <w:t>ibre</w:t>
      </w:r>
      <w:r w:rsidRPr="00B066D3">
        <w:rPr>
          <w:sz w:val="20"/>
          <w:szCs w:val="20"/>
          <w:lang w:val="en-GB"/>
        </w:rPr>
        <w:t xml:space="preserve"> formed after contact with a pipette tip (A), higher magnification image of the same f</w:t>
      </w:r>
      <w:r>
        <w:rPr>
          <w:sz w:val="20"/>
          <w:szCs w:val="20"/>
          <w:lang w:val="en-GB"/>
        </w:rPr>
        <w:t>ibre</w:t>
      </w:r>
      <w:r w:rsidRPr="00B066D3">
        <w:rPr>
          <w:sz w:val="20"/>
          <w:szCs w:val="20"/>
          <w:lang w:val="en-GB"/>
        </w:rPr>
        <w:t xml:space="preserve"> (B) and its fluorescence image of the formed f</w:t>
      </w:r>
      <w:r>
        <w:rPr>
          <w:sz w:val="20"/>
          <w:szCs w:val="20"/>
          <w:lang w:val="en-GB"/>
        </w:rPr>
        <w:t>ibre</w:t>
      </w:r>
      <w:r w:rsidRPr="00B066D3">
        <w:rPr>
          <w:sz w:val="20"/>
          <w:szCs w:val="20"/>
          <w:lang w:val="en-GB"/>
        </w:rPr>
        <w:t xml:space="preserve"> using intrinsic green fluorescence (C). A higher magnification microphotograph was taken under a dark field of a different f</w:t>
      </w:r>
      <w:r>
        <w:rPr>
          <w:sz w:val="20"/>
          <w:szCs w:val="20"/>
          <w:lang w:val="en-GB"/>
        </w:rPr>
        <w:t>ibre</w:t>
      </w:r>
      <w:r w:rsidRPr="00B066D3">
        <w:rPr>
          <w:sz w:val="20"/>
          <w:szCs w:val="20"/>
          <w:lang w:val="en-GB"/>
        </w:rPr>
        <w:t>, clearly showing that the fully formed f</w:t>
      </w:r>
      <w:r>
        <w:rPr>
          <w:sz w:val="20"/>
          <w:szCs w:val="20"/>
          <w:lang w:val="en-GB"/>
        </w:rPr>
        <w:t>ibre</w:t>
      </w:r>
      <w:r w:rsidRPr="00B066D3">
        <w:rPr>
          <w:sz w:val="20"/>
          <w:szCs w:val="20"/>
          <w:lang w:val="en-GB"/>
        </w:rPr>
        <w:t xml:space="preserve"> spread into microfibrils at the origin of f</w:t>
      </w:r>
      <w:r>
        <w:rPr>
          <w:sz w:val="20"/>
          <w:szCs w:val="20"/>
          <w:lang w:val="en-GB"/>
        </w:rPr>
        <w:t>ibre</w:t>
      </w:r>
      <w:r w:rsidRPr="00B066D3">
        <w:rPr>
          <w:sz w:val="20"/>
          <w:szCs w:val="20"/>
          <w:lang w:val="en-GB"/>
        </w:rPr>
        <w:t xml:space="preserve"> formation (C). The scale bars are 1 mm for (A) and 50 µm for (B-D).</w:t>
      </w:r>
    </w:p>
    <w:p w14:paraId="2CFF5D22" w14:textId="77777777" w:rsidR="00DF4259" w:rsidRPr="00B066D3" w:rsidRDefault="00DF4259" w:rsidP="00DF4259">
      <w:pPr>
        <w:pStyle w:val="Textthesis"/>
        <w:keepNext/>
        <w:spacing w:after="0" w:line="276" w:lineRule="auto"/>
        <w:rPr>
          <w:lang w:val="en-GB" w:eastAsia="ko-KR"/>
        </w:rPr>
        <w:sectPr w:rsidR="00DF4259" w:rsidRPr="00B066D3" w:rsidSect="00DF4259">
          <w:pgSz w:w="11906" w:h="16838"/>
          <w:pgMar w:top="1440" w:right="1080" w:bottom="1440" w:left="1080" w:header="708" w:footer="708" w:gutter="0"/>
          <w:lnNumType w:countBy="1" w:restart="continuous"/>
          <w:cols w:space="708"/>
          <w:docGrid w:linePitch="360"/>
        </w:sectPr>
      </w:pPr>
    </w:p>
    <w:p w14:paraId="5BA4A190" w14:textId="77777777" w:rsidR="00DF4259" w:rsidRPr="00B066D3" w:rsidRDefault="00DF4259" w:rsidP="00DF4259">
      <w:pPr>
        <w:pStyle w:val="ListParagraph"/>
        <w:numPr>
          <w:ilvl w:val="0"/>
          <w:numId w:val="1"/>
        </w:numPr>
        <w:spacing w:line="276" w:lineRule="auto"/>
        <w:ind w:left="0" w:firstLine="0"/>
        <w:outlineLvl w:val="3"/>
        <w:rPr>
          <w:b/>
          <w:bCs/>
          <w:szCs w:val="24"/>
          <w:lang w:val="en-GB"/>
        </w:rPr>
      </w:pPr>
      <w:r w:rsidRPr="00B066D3">
        <w:rPr>
          <w:b/>
          <w:bCs/>
          <w:szCs w:val="24"/>
          <w:lang w:val="en-GB"/>
        </w:rPr>
        <w:lastRenderedPageBreak/>
        <w:t>Interfacial assembly and observations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3317"/>
      </w:tblGrid>
      <w:tr w:rsidR="00DF4259" w:rsidRPr="00B066D3" w14:paraId="00130637" w14:textId="77777777" w:rsidTr="00E47F5C">
        <w:trPr>
          <w:jc w:val="center"/>
        </w:trPr>
        <w:tc>
          <w:tcPr>
            <w:tcW w:w="4621" w:type="dxa"/>
            <w:vAlign w:val="center"/>
          </w:tcPr>
          <w:p w14:paraId="55D704B3" w14:textId="77777777" w:rsidR="00DF4259" w:rsidRPr="00B066D3" w:rsidRDefault="00DF4259" w:rsidP="00E47F5C">
            <w:pPr>
              <w:pStyle w:val="Textthesis"/>
              <w:spacing w:line="276" w:lineRule="auto"/>
              <w:jc w:val="both"/>
              <w:rPr>
                <w:rFonts w:ascii="Calibri" w:eastAsia="DengXian" w:hAnsi="Calibri" w:cs="Calibri"/>
                <w:lang w:val="en-GB" w:eastAsia="ko-KR"/>
              </w:rPr>
            </w:pPr>
            <m:oMathPara>
              <m:oMath>
                <m:sSub>
                  <m:sSubPr>
                    <m:ctrlPr>
                      <w:rPr>
                        <w:rFonts w:ascii="Cambria Math" w:hAnsi="Cambria Math"/>
                        <w:lang w:val="en-GB"/>
                      </w:rPr>
                    </m:ctrlPr>
                  </m:sSubPr>
                  <m:e>
                    <m:r>
                      <w:rPr>
                        <w:rFonts w:ascii="Cambria Math" w:hAnsi="Cambria Math"/>
                        <w:lang w:val="en-GB" w:eastAsia="ko-KR"/>
                      </w:rPr>
                      <m:t>∆</m:t>
                    </m:r>
                    <m:r>
                      <m:rPr>
                        <m:sty m:val="p"/>
                      </m:rPr>
                      <w:rPr>
                        <w:rFonts w:ascii="Cambria Math" w:hAnsi="Cambria Math"/>
                        <w:lang w:val="en-GB"/>
                      </w:rPr>
                      <m:t>γ</m:t>
                    </m:r>
                  </m:e>
                  <m:sub>
                    <m:r>
                      <w:rPr>
                        <w:rFonts w:ascii="Cambria Math" w:hAnsi="Cambria Math"/>
                        <w:lang w:val="en-GB" w:eastAsia="ko-KR"/>
                      </w:rPr>
                      <m:t>pH2-pH1</m:t>
                    </m:r>
                  </m:sub>
                </m:sSub>
                <m:r>
                  <w:rPr>
                    <w:rFonts w:ascii="Cambria Math" w:hAnsi="Cambria Math"/>
                    <w:lang w:val="en-GB" w:eastAsia="ko-KR"/>
                  </w:rPr>
                  <m:t>= -</m:t>
                </m:r>
                <m:nary>
                  <m:naryPr>
                    <m:limLoc m:val="undOvr"/>
                    <m:ctrlPr>
                      <w:rPr>
                        <w:rFonts w:ascii="Cambria Math" w:hAnsi="Cambria Math"/>
                        <w:i/>
                        <w:lang w:val="en-GB"/>
                      </w:rPr>
                    </m:ctrlPr>
                  </m:naryPr>
                  <m:sub>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eastAsia="ko-KR"/>
                              </w:rPr>
                              <m:t>A</m:t>
                            </m:r>
                          </m:e>
                        </m:acc>
                      </m:e>
                      <m:sub>
                        <m:r>
                          <w:rPr>
                            <w:rFonts w:ascii="Cambria Math" w:hAnsi="Cambria Math"/>
                            <w:lang w:val="en-GB" w:eastAsia="ko-KR"/>
                          </w:rPr>
                          <m:t>pH1</m:t>
                        </m:r>
                      </m:sub>
                    </m:sSub>
                  </m:sub>
                  <m:sup>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eastAsia="ko-KR"/>
                              </w:rPr>
                              <m:t>A</m:t>
                            </m:r>
                          </m:e>
                        </m:acc>
                      </m:e>
                      <m:sub>
                        <m:r>
                          <w:rPr>
                            <w:rFonts w:ascii="Cambria Math" w:hAnsi="Cambria Math"/>
                            <w:lang w:val="en-GB" w:eastAsia="ko-KR"/>
                          </w:rPr>
                          <m:t>pH2</m:t>
                        </m:r>
                      </m:sub>
                    </m:sSub>
                  </m:sup>
                  <m:e>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eastAsia="ko-KR"/>
                              </w:rPr>
                              <m:t>k</m:t>
                            </m:r>
                          </m:e>
                          <m:sub>
                            <m:r>
                              <w:rPr>
                                <w:rFonts w:ascii="Cambria Math" w:hAnsi="Cambria Math"/>
                                <w:lang w:val="en-GB" w:eastAsia="ko-KR"/>
                              </w:rPr>
                              <m:t>B</m:t>
                            </m:r>
                          </m:sub>
                        </m:sSub>
                        <m:r>
                          <w:rPr>
                            <w:rFonts w:ascii="Cambria Math" w:hAnsi="Cambria Math"/>
                            <w:lang w:val="en-GB" w:eastAsia="ko-KR"/>
                          </w:rPr>
                          <m:t>T</m:t>
                        </m:r>
                      </m:num>
                      <m:den>
                        <m:acc>
                          <m:accPr>
                            <m:chr m:val="̅"/>
                            <m:ctrlPr>
                              <w:rPr>
                                <w:rFonts w:ascii="Cambria Math" w:hAnsi="Cambria Math"/>
                                <w:i/>
                                <w:lang w:val="en-GB"/>
                              </w:rPr>
                            </m:ctrlPr>
                          </m:accPr>
                          <m:e>
                            <m:sSup>
                              <m:sSupPr>
                                <m:ctrlPr>
                                  <w:rPr>
                                    <w:rFonts w:ascii="Cambria Math" w:hAnsi="Cambria Math"/>
                                    <w:i/>
                                    <w:lang w:val="en-GB"/>
                                  </w:rPr>
                                </m:ctrlPr>
                              </m:sSupPr>
                              <m:e>
                                <m:r>
                                  <w:rPr>
                                    <w:rFonts w:ascii="Cambria Math" w:hAnsi="Cambria Math"/>
                                    <w:lang w:val="en-GB" w:eastAsia="ko-KR"/>
                                  </w:rPr>
                                  <m:t>A</m:t>
                                </m:r>
                              </m:e>
                              <m:sup>
                                <m:r>
                                  <w:rPr>
                                    <w:rFonts w:ascii="Cambria Math" w:hAnsi="Cambria Math"/>
                                    <w:lang w:val="en-GB" w:eastAsia="ko-KR"/>
                                  </w:rPr>
                                  <m:t>2</m:t>
                                </m:r>
                              </m:sup>
                            </m:sSup>
                          </m:e>
                        </m:acc>
                      </m:den>
                    </m:f>
                  </m:e>
                </m:nary>
                <m:r>
                  <w:rPr>
                    <w:rFonts w:ascii="Cambria Math" w:hAnsi="Cambria Math"/>
                    <w:lang w:val="en-GB" w:eastAsia="ko-KR"/>
                  </w:rPr>
                  <m:t>∂</m:t>
                </m:r>
                <m:acc>
                  <m:accPr>
                    <m:chr m:val="̅"/>
                    <m:ctrlPr>
                      <w:rPr>
                        <w:rFonts w:ascii="Cambria Math" w:hAnsi="Cambria Math"/>
                        <w:i/>
                        <w:lang w:val="en-GB"/>
                      </w:rPr>
                    </m:ctrlPr>
                  </m:accPr>
                  <m:e>
                    <m:r>
                      <w:rPr>
                        <w:rFonts w:ascii="Cambria Math" w:hAnsi="Cambria Math"/>
                        <w:lang w:val="en-GB" w:eastAsia="ko-KR"/>
                      </w:rPr>
                      <m:t>A</m:t>
                    </m:r>
                  </m:e>
                </m:acc>
              </m:oMath>
            </m:oMathPara>
          </w:p>
        </w:tc>
        <w:tc>
          <w:tcPr>
            <w:tcW w:w="3317" w:type="dxa"/>
            <w:vAlign w:val="center"/>
          </w:tcPr>
          <w:p w14:paraId="34DC3CBE" w14:textId="77777777" w:rsidR="00DF4259" w:rsidRPr="00B066D3" w:rsidRDefault="00DF4259" w:rsidP="00E47F5C">
            <w:pPr>
              <w:pStyle w:val="Textthesis"/>
              <w:spacing w:line="276" w:lineRule="auto"/>
              <w:jc w:val="both"/>
              <w:rPr>
                <w:rFonts w:ascii="Calibri" w:eastAsia="DengXian" w:hAnsi="Calibri" w:cs="Calibri"/>
                <w:lang w:val="en-GB" w:eastAsia="ko-KR"/>
              </w:rPr>
            </w:pPr>
            <w:bookmarkStart w:id="18" w:name="_Ref94045474"/>
            <w:r w:rsidRPr="00B066D3">
              <w:rPr>
                <w:lang w:val="en-GB" w:eastAsia="ko-KR"/>
              </w:rPr>
              <w:t xml:space="preserve">Equation </w:t>
            </w:r>
            <w:r w:rsidRPr="00B066D3">
              <w:rPr>
                <w:lang w:val="en-GB"/>
              </w:rPr>
              <w:fldChar w:fldCharType="begin"/>
            </w:r>
            <w:r w:rsidRPr="00B066D3">
              <w:rPr>
                <w:lang w:val="en-GB" w:eastAsia="ko-KR"/>
              </w:rPr>
              <w:instrText xml:space="preserve"> SEQ Equation \* ARABIC </w:instrText>
            </w:r>
            <w:r w:rsidRPr="00B066D3">
              <w:rPr>
                <w:lang w:val="en-GB"/>
              </w:rPr>
              <w:fldChar w:fldCharType="separate"/>
            </w:r>
            <w:r w:rsidRPr="00B066D3">
              <w:rPr>
                <w:lang w:val="en-GB" w:eastAsia="ko-KR"/>
              </w:rPr>
              <w:t>2</w:t>
            </w:r>
            <w:r w:rsidRPr="00B066D3">
              <w:rPr>
                <w:lang w:val="en-GB"/>
              </w:rPr>
              <w:fldChar w:fldCharType="end"/>
            </w:r>
            <w:bookmarkEnd w:id="18"/>
          </w:p>
        </w:tc>
      </w:tr>
    </w:tbl>
    <w:p w14:paraId="74E22081" w14:textId="77777777" w:rsidR="00DF4259" w:rsidRPr="00B066D3" w:rsidRDefault="00DF4259" w:rsidP="00DF4259">
      <w:pPr>
        <w:pStyle w:val="Textthesis"/>
        <w:spacing w:line="276" w:lineRule="auto"/>
        <w:jc w:val="both"/>
        <w:rPr>
          <w:lang w:val="en-GB"/>
        </w:rPr>
      </w:pPr>
      <w:r w:rsidRPr="00B066D3">
        <w:rPr>
          <w:lang w:val="en-GB" w:eastAsia="ko-KR"/>
        </w:rPr>
        <w:t xml:space="preserve">where </w:t>
      </w:r>
      <m:oMath>
        <m:acc>
          <m:accPr>
            <m:chr m:val="̅"/>
            <m:ctrlPr>
              <w:rPr>
                <w:rFonts w:ascii="Cambria Math" w:hAnsi="Cambria Math"/>
                <w:i/>
                <w:lang w:val="en-GB"/>
              </w:rPr>
            </m:ctrlPr>
          </m:accPr>
          <m:e>
            <m:r>
              <w:rPr>
                <w:rFonts w:ascii="Cambria Math" w:hAnsi="Cambria Math"/>
                <w:lang w:val="en-GB" w:eastAsia="ko-KR"/>
              </w:rPr>
              <m:t>A</m:t>
            </m:r>
          </m:e>
        </m:acc>
      </m:oMath>
      <w:r w:rsidRPr="00B066D3">
        <w:rPr>
          <w:lang w:val="en-GB" w:eastAsia="ko-KR"/>
        </w:rPr>
        <w:t xml:space="preserve">, </w:t>
      </w:r>
      <m:oMath>
        <m:sSub>
          <m:sSubPr>
            <m:ctrlPr>
              <w:rPr>
                <w:rFonts w:ascii="Cambria Math" w:eastAsiaTheme="minorHAnsi" w:hAnsi="Cambria Math"/>
                <w:i/>
                <w:lang w:val="en-GB" w:eastAsia="en-US"/>
              </w:rPr>
            </m:ctrlPr>
          </m:sSubPr>
          <m:e>
            <m:r>
              <w:rPr>
                <w:rFonts w:ascii="Cambria Math" w:hAnsi="Cambria Math"/>
                <w:lang w:val="en-GB" w:eastAsia="ko-KR"/>
              </w:rPr>
              <m:t>k</m:t>
            </m:r>
          </m:e>
          <m:sub>
            <m:r>
              <w:rPr>
                <w:rFonts w:ascii="Cambria Math" w:hAnsi="Cambria Math"/>
                <w:lang w:val="en-GB" w:eastAsia="ko-KR"/>
              </w:rPr>
              <m:t>B</m:t>
            </m:r>
          </m:sub>
        </m:sSub>
      </m:oMath>
      <w:r w:rsidRPr="00B066D3">
        <w:rPr>
          <w:lang w:val="en-GB" w:eastAsia="ko-KR"/>
        </w:rPr>
        <w:t xml:space="preserve">, and </w:t>
      </w:r>
      <m:oMath>
        <m:r>
          <w:rPr>
            <w:rFonts w:ascii="Cambria Math" w:hAnsi="Cambria Math"/>
            <w:lang w:val="en-GB" w:eastAsia="ko-KR"/>
          </w:rPr>
          <m:t>T</m:t>
        </m:r>
      </m:oMath>
      <w:r w:rsidRPr="00B066D3">
        <w:rPr>
          <w:lang w:val="en-GB" w:eastAsia="ko-KR"/>
        </w:rPr>
        <w:t xml:space="preserve"> represent the average solvent accessible surface area (SASA), variance, Boltzman constant and absolute temperature, respectively. From there, one can then deduce that because </w:t>
      </w:r>
      <m:oMath>
        <m:sSub>
          <m:sSubPr>
            <m:ctrlPr>
              <w:rPr>
                <w:rFonts w:ascii="Cambria Math" w:hAnsi="Cambria Math"/>
                <w:i/>
                <w:lang w:val="en-GB"/>
              </w:rPr>
            </m:ctrlPr>
          </m:sSubPr>
          <m:e>
            <m:r>
              <w:rPr>
                <w:rFonts w:ascii="Cambria Math" w:hAnsi="Cambria Math"/>
                <w:lang w:val="en-GB" w:eastAsia="ko-KR"/>
              </w:rPr>
              <m:t>γ</m:t>
            </m:r>
          </m:e>
          <m:sub>
            <m:r>
              <w:rPr>
                <w:rFonts w:ascii="Cambria Math" w:hAnsi="Cambria Math"/>
                <w:lang w:val="en-GB" w:eastAsia="ko-KR"/>
              </w:rPr>
              <m:t>pH8</m:t>
            </m:r>
          </m:sub>
        </m:sSub>
        <m:r>
          <w:rPr>
            <w:rFonts w:ascii="Cambria Math" w:hAnsi="Cambria Math"/>
            <w:lang w:val="en-GB" w:eastAsia="ko-KR"/>
          </w:rPr>
          <m:t>&lt;</m:t>
        </m:r>
        <m:sSub>
          <m:sSubPr>
            <m:ctrlPr>
              <w:rPr>
                <w:rFonts w:ascii="Cambria Math" w:hAnsi="Cambria Math"/>
                <w:i/>
                <w:lang w:val="en-GB"/>
              </w:rPr>
            </m:ctrlPr>
          </m:sSubPr>
          <m:e>
            <m:r>
              <w:rPr>
                <w:rFonts w:ascii="Cambria Math" w:hAnsi="Cambria Math"/>
                <w:lang w:val="en-GB" w:eastAsia="ko-KR"/>
              </w:rPr>
              <m:t>γ</m:t>
            </m:r>
          </m:e>
          <m:sub>
            <m:r>
              <w:rPr>
                <w:rFonts w:ascii="Cambria Math" w:hAnsi="Cambria Math"/>
                <w:lang w:val="en-GB" w:eastAsia="ko-KR"/>
              </w:rPr>
              <m:t>pH6</m:t>
            </m:r>
          </m:sub>
        </m:sSub>
      </m:oMath>
      <w:r w:rsidRPr="00B066D3">
        <w:rPr>
          <w:lang w:val="en-GB" w:eastAsia="ko-KR"/>
        </w:rPr>
        <w:t xml:space="preserve">, </w:t>
      </w:r>
      <m:oMath>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eastAsia="ko-KR"/>
                  </w:rPr>
                  <m:t>A</m:t>
                </m:r>
              </m:e>
            </m:acc>
          </m:e>
          <m:sub>
            <m:r>
              <w:rPr>
                <w:rFonts w:ascii="Cambria Math" w:hAnsi="Cambria Math"/>
                <w:lang w:val="en-GB" w:eastAsia="ko-KR"/>
              </w:rPr>
              <m:t>pH8</m:t>
            </m:r>
          </m:sub>
        </m:sSub>
        <m:r>
          <w:rPr>
            <w:rFonts w:ascii="Cambria Math" w:hAnsi="Cambria Math"/>
            <w:lang w:val="en-GB" w:eastAsia="ko-KR"/>
          </w:rPr>
          <m:t>&gt;</m:t>
        </m:r>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eastAsia="ko-KR"/>
                  </w:rPr>
                  <m:t>A</m:t>
                </m:r>
              </m:e>
            </m:acc>
          </m:e>
          <m:sub>
            <m:r>
              <w:rPr>
                <w:rFonts w:ascii="Cambria Math" w:hAnsi="Cambria Math"/>
                <w:lang w:val="en-GB" w:eastAsia="ko-KR"/>
              </w:rPr>
              <m:t>pH6</m:t>
            </m:r>
          </m:sub>
        </m:sSub>
      </m:oMath>
      <w:r w:rsidRPr="00B066D3">
        <w:rPr>
          <w:lang w:val="en-GB" w:eastAsia="ko-KR"/>
        </w:rPr>
        <w:t xml:space="preserve">. However, this work intends not to discuss the details of the energetics or even the kinetics of protein adsorption at the water/air interface, which is worth exploring in greater depth. However, a key observation was the very rapid initial adsorption of the protein to the interface. </w:t>
      </w:r>
      <w:r w:rsidRPr="00B066D3">
        <w:rPr>
          <w:lang w:val="en-GB"/>
        </w:rPr>
        <w:t>Beyond the quasistatic or linear properties of the film, dynamic nonlinear properties seemed to be important. In an attempt to determine early assembly and nonlinear behavior, we used the air bubble technique to measure IFT (data not included). Although these experiments were unsuccessful, due to prominent early bubble detachment, the IFT estimated by the system was in the +200 mN/m range. This observation indicated that the dynamic expansion of the air droplet caused an abrupt increase in the IFT, indicating the solid-like nature of the protein film.</w:t>
      </w:r>
    </w:p>
    <w:p w14:paraId="2205DB5E" w14:textId="77777777" w:rsidR="00DF4259" w:rsidRPr="00B066D3" w:rsidRDefault="00DF4259" w:rsidP="00DF4259">
      <w:pPr>
        <w:pStyle w:val="Textthesis"/>
        <w:spacing w:line="276" w:lineRule="auto"/>
        <w:jc w:val="both"/>
        <w:rPr>
          <w:lang w:val="en-GB"/>
        </w:rPr>
      </w:pPr>
      <w:r w:rsidRPr="00B066D3">
        <w:rPr>
          <w:lang w:val="en-GB"/>
        </w:rPr>
        <w:t xml:space="preserve">Similarly, inspired by interfacial rheology techniques, a dual-way syringe pump was used to apply sinusoidal flow waves, yet the propensity of the protein to aggregate under shear conditions made the acquisition of repeatable quality data impossible. In general, the surface tension increased as the volume increased. Nonetheless, it was also observed that the increase was somewhat linear with increasing volume, up to a point where the droplet suffered a very rapid decrease in surface tension—observed as an immediate change in the shape of the droplet, as shown in Video 2 and summarized in Figure S4 A. Although it might be tempting to use the Young–Laplace equation to determine the Gibbs elastic modulus of this system, the complexity of this material, with its possible structure, is not necessarily applicable. However, the apparent increase in surface tension with increased deformation suggested a strain hardening effect, with the instantaneous decrease possibly occurring as a whole. These observations are important because they indicate that the protein film is undergoing some degree of orientation and reconfiguration rather than diffusive processes, as in the case of small amphiphiles; i.e., the film is indeed a highly viscoelastic material. Figure S4 B shows a schematic depicting the proposed reorganization process, wherein FibH molecules adsorbed to the water/air interface form a highly viscoelastic film. Nonetheless, the protein's highly flexible and multilinker molecular architecture allows further alignment under isotropic extension when the volume is increased. This approach extends the molecule and expands the registry of stickers. However, the formed network presented a yield, manifested as a sudden drop in surface tension, which could be caused by slips of the lateral interactions or by stretching the solenoid structures. In a similar fashion and inspired by pendant capsule elastometry, a droplet was created, and the volume was retrieved to observe the formation of a neck and the possible appearance of wrinkles. However, no wrinkles were observed, possibly because the wrinkle wavelength was too small. However, the neck of a droplet often collapses into a single highly birefringent filament. Even if very thin, the filaments were able to withstand many times the weight of the droplets. Additionally, the </w:t>
      </w:r>
      <w:r w:rsidRPr="00B066D3">
        <w:rPr>
          <w:lang w:val="en-GB"/>
        </w:rPr>
        <w:lastRenderedPageBreak/>
        <w:t>birefringence of the filament increases over time or, if stretched, is indicative of the emergence of an ordered structure, as depicted in Figure S5.</w:t>
      </w:r>
    </w:p>
    <w:p w14:paraId="55BD78FE" w14:textId="77777777" w:rsidR="00DF4259" w:rsidRPr="00B066D3" w:rsidRDefault="00DF4259" w:rsidP="00DF4259">
      <w:pPr>
        <w:pStyle w:val="Textthesis"/>
        <w:spacing w:line="276" w:lineRule="auto"/>
        <w:jc w:val="both"/>
        <w:rPr>
          <w:lang w:val="en-GB"/>
        </w:rPr>
        <w:sectPr w:rsidR="00DF4259" w:rsidRPr="00B066D3" w:rsidSect="00DF4259">
          <w:pgSz w:w="11906" w:h="16838"/>
          <w:pgMar w:top="1440" w:right="1080" w:bottom="1440" w:left="1080" w:header="708" w:footer="708" w:gutter="0"/>
          <w:lnNumType w:countBy="1" w:restart="continuous"/>
          <w:cols w:space="708"/>
          <w:docGrid w:linePitch="360"/>
        </w:sectPr>
      </w:pPr>
    </w:p>
    <w:p w14:paraId="60D78BED" w14:textId="77777777" w:rsidR="00DF4259" w:rsidRPr="00B066D3" w:rsidRDefault="00DF4259" w:rsidP="00DF4259">
      <w:pPr>
        <w:pStyle w:val="Textthesis"/>
        <w:keepNext/>
        <w:spacing w:after="0" w:line="276" w:lineRule="auto"/>
        <w:jc w:val="center"/>
        <w:rPr>
          <w:lang w:val="en-GB" w:eastAsia="ko-KR"/>
        </w:rPr>
      </w:pPr>
      <w:r w:rsidRPr="00B066D3">
        <w:rPr>
          <w:noProof/>
          <w:lang w:val="en-GB"/>
        </w:rPr>
        <w:lastRenderedPageBreak/>
        <w:drawing>
          <wp:inline distT="0" distB="0" distL="0" distR="0" wp14:anchorId="5DDCB84D" wp14:editId="77975D14">
            <wp:extent cx="2854132" cy="2972683"/>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186"/>
                    <pic:cNvPicPr>
                      <a:picLocks noChangeAspect="1" noChangeArrowheads="1"/>
                    </pic:cNvPicPr>
                  </pic:nvPicPr>
                  <pic:blipFill>
                    <a:blip r:embed="rId8" cstate="print">
                      <a:extLst>
                        <a:ext uri="{28A0092B-C50C-407E-A947-70E740481C1C}">
                          <a14:useLocalDpi xmlns:a14="http://schemas.microsoft.com/office/drawing/2010/main" val="0"/>
                        </a:ext>
                      </a:extLst>
                    </a:blip>
                    <a:srcRect l="3327" t="8078" r="11371" b="3076"/>
                    <a:stretch>
                      <a:fillRect/>
                    </a:stretch>
                  </pic:blipFill>
                  <pic:spPr bwMode="auto">
                    <a:xfrm>
                      <a:off x="0" y="0"/>
                      <a:ext cx="2859467" cy="2978240"/>
                    </a:xfrm>
                    <a:prstGeom prst="rect">
                      <a:avLst/>
                    </a:prstGeom>
                    <a:noFill/>
                    <a:ln>
                      <a:noFill/>
                    </a:ln>
                    <a:extLst>
                      <a:ext uri="{53640926-AAD7-44D8-BBD7-CCE9431645EC}">
                        <a14:shadowObscured xmlns:a14="http://schemas.microsoft.com/office/drawing/2010/main"/>
                      </a:ext>
                    </a:extLst>
                  </pic:spPr>
                </pic:pic>
              </a:graphicData>
            </a:graphic>
          </wp:inline>
        </w:drawing>
      </w:r>
    </w:p>
    <w:p w14:paraId="481FF344" w14:textId="77777777" w:rsidR="00DF4259" w:rsidRPr="00B066D3" w:rsidRDefault="00DF4259" w:rsidP="00DF4259">
      <w:pPr>
        <w:pStyle w:val="Captionthesis"/>
        <w:spacing w:line="276" w:lineRule="auto"/>
        <w:jc w:val="both"/>
        <w:rPr>
          <w:sz w:val="20"/>
          <w:szCs w:val="20"/>
          <w:lang w:val="en-GB" w:eastAsia="ko-KR"/>
        </w:rPr>
      </w:pPr>
      <w:bookmarkStart w:id="19" w:name="_Ref95928219"/>
      <w:bookmarkStart w:id="20" w:name="_Toc97662645"/>
      <w:r w:rsidRPr="00B066D3">
        <w:rPr>
          <w:sz w:val="20"/>
          <w:szCs w:val="20"/>
          <w:lang w:val="en-GB"/>
        </w:rPr>
        <w:t>Figure S</w:t>
      </w:r>
      <w:r w:rsidRPr="00B066D3">
        <w:rPr>
          <w:sz w:val="20"/>
          <w:szCs w:val="20"/>
          <w:lang w:val="en-GB"/>
        </w:rPr>
        <w:fldChar w:fldCharType="begin"/>
      </w:r>
      <w:r w:rsidRPr="00B066D3">
        <w:rPr>
          <w:sz w:val="20"/>
          <w:szCs w:val="20"/>
          <w:lang w:val="en-GB"/>
        </w:rPr>
        <w:instrText xml:space="preserve"> SEQ Figure_S \* ARABIC </w:instrText>
      </w:r>
      <w:r w:rsidRPr="00B066D3">
        <w:rPr>
          <w:sz w:val="20"/>
          <w:szCs w:val="20"/>
          <w:lang w:val="en-GB"/>
        </w:rPr>
        <w:fldChar w:fldCharType="separate"/>
      </w:r>
      <w:r w:rsidRPr="00B066D3">
        <w:rPr>
          <w:sz w:val="20"/>
          <w:szCs w:val="20"/>
          <w:lang w:val="en-GB"/>
        </w:rPr>
        <w:t>3</w:t>
      </w:r>
      <w:r w:rsidRPr="00B066D3">
        <w:rPr>
          <w:sz w:val="20"/>
          <w:szCs w:val="20"/>
          <w:lang w:val="en-GB"/>
        </w:rPr>
        <w:fldChar w:fldCharType="end"/>
      </w:r>
      <w:r w:rsidRPr="00B066D3">
        <w:rPr>
          <w:sz w:val="20"/>
          <w:szCs w:val="20"/>
          <w:lang w:val="en-GB" w:eastAsia="ko-KR"/>
        </w:rPr>
        <w:t xml:space="preserve">. Interfacial </w:t>
      </w:r>
      <w:bookmarkEnd w:id="19"/>
      <w:bookmarkEnd w:id="20"/>
      <w:r w:rsidRPr="00B066D3">
        <w:rPr>
          <w:sz w:val="20"/>
          <w:szCs w:val="20"/>
          <w:lang w:val="en-GB" w:eastAsia="ko-KR"/>
        </w:rPr>
        <w:t>surface tension (IFT) against time was measured using a Wilhelmy plate apparatus for buffered samples of NLSF at 6 mg/mL. The curves show a general monotonic decrease in IFT.</w:t>
      </w:r>
    </w:p>
    <w:p w14:paraId="0CC44E53" w14:textId="77777777" w:rsidR="00DF4259" w:rsidRPr="00B066D3" w:rsidRDefault="00DF4259" w:rsidP="00DF4259">
      <w:pPr>
        <w:pStyle w:val="Captionthesis"/>
        <w:spacing w:line="276" w:lineRule="auto"/>
        <w:jc w:val="both"/>
        <w:rPr>
          <w:sz w:val="20"/>
          <w:szCs w:val="20"/>
          <w:lang w:val="en-GB" w:eastAsia="ko-KR"/>
        </w:rPr>
        <w:sectPr w:rsidR="00DF4259" w:rsidRPr="00B066D3" w:rsidSect="00DF4259">
          <w:pgSz w:w="11906" w:h="16838"/>
          <w:pgMar w:top="1440" w:right="1080" w:bottom="1440" w:left="1080" w:header="708" w:footer="708" w:gutter="0"/>
          <w:lnNumType w:countBy="1" w:restart="continuous"/>
          <w:cols w:space="708"/>
          <w:docGrid w:linePitch="360"/>
        </w:sectPr>
      </w:pPr>
    </w:p>
    <w:p w14:paraId="61FD78BA" w14:textId="77777777" w:rsidR="00DF4259" w:rsidRPr="00B066D3" w:rsidRDefault="00DF4259" w:rsidP="00DF4259">
      <w:pPr>
        <w:pStyle w:val="Textthesis"/>
        <w:keepNext/>
        <w:spacing w:after="0" w:line="276" w:lineRule="auto"/>
        <w:jc w:val="center"/>
        <w:rPr>
          <w:lang w:val="en-GB"/>
        </w:rPr>
      </w:pPr>
      <w:r w:rsidRPr="00B066D3">
        <w:rPr>
          <w:noProof/>
          <w:lang w:val="en-GB"/>
        </w:rPr>
        <w:lastRenderedPageBreak/>
        <w:drawing>
          <wp:inline distT="0" distB="0" distL="0" distR="0" wp14:anchorId="04DAB2D1" wp14:editId="550ABACA">
            <wp:extent cx="4405757" cy="3715657"/>
            <wp:effectExtent l="0" t="0" r="0" b="0"/>
            <wp:docPr id="165" name="Picture 16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Picture 165" descr="A picture containing diagra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b="7443"/>
                    <a:stretch>
                      <a:fillRect/>
                    </a:stretch>
                  </pic:blipFill>
                  <pic:spPr bwMode="auto">
                    <a:xfrm>
                      <a:off x="0" y="0"/>
                      <a:ext cx="4419200" cy="3726994"/>
                    </a:xfrm>
                    <a:prstGeom prst="rect">
                      <a:avLst/>
                    </a:prstGeom>
                    <a:noFill/>
                    <a:ln>
                      <a:noFill/>
                    </a:ln>
                    <a:extLst>
                      <a:ext uri="{53640926-AAD7-44D8-BBD7-CCE9431645EC}">
                        <a14:shadowObscured xmlns:a14="http://schemas.microsoft.com/office/drawing/2010/main"/>
                      </a:ext>
                    </a:extLst>
                  </pic:spPr>
                </pic:pic>
              </a:graphicData>
            </a:graphic>
          </wp:inline>
        </w:drawing>
      </w:r>
    </w:p>
    <w:p w14:paraId="540D68B6" w14:textId="77777777" w:rsidR="00DF4259" w:rsidRPr="00B066D3" w:rsidRDefault="00DF4259" w:rsidP="00DF4259">
      <w:pPr>
        <w:pStyle w:val="Captionthesis"/>
        <w:spacing w:line="276" w:lineRule="auto"/>
        <w:jc w:val="both"/>
        <w:rPr>
          <w:sz w:val="20"/>
          <w:szCs w:val="20"/>
          <w:lang w:val="en-GB"/>
        </w:rPr>
      </w:pPr>
      <w:bookmarkStart w:id="21" w:name="_Toc97662648"/>
      <w:r w:rsidRPr="00B066D3">
        <w:rPr>
          <w:sz w:val="20"/>
          <w:szCs w:val="20"/>
          <w:lang w:val="en-GB"/>
        </w:rPr>
        <w:t>Figure S</w:t>
      </w:r>
      <w:r w:rsidRPr="00B066D3">
        <w:rPr>
          <w:sz w:val="20"/>
          <w:szCs w:val="20"/>
          <w:lang w:val="en-GB"/>
        </w:rPr>
        <w:fldChar w:fldCharType="begin"/>
      </w:r>
      <w:r w:rsidRPr="00B066D3">
        <w:rPr>
          <w:sz w:val="20"/>
          <w:szCs w:val="20"/>
          <w:lang w:val="en-GB"/>
        </w:rPr>
        <w:instrText xml:space="preserve"> SEQ Figure_S \* ARABIC </w:instrText>
      </w:r>
      <w:r w:rsidRPr="00B066D3">
        <w:rPr>
          <w:sz w:val="20"/>
          <w:szCs w:val="20"/>
          <w:lang w:val="en-GB"/>
        </w:rPr>
        <w:fldChar w:fldCharType="separate"/>
      </w:r>
      <w:r w:rsidRPr="00B066D3">
        <w:rPr>
          <w:sz w:val="20"/>
          <w:szCs w:val="20"/>
          <w:lang w:val="en-GB"/>
        </w:rPr>
        <w:t>4</w:t>
      </w:r>
      <w:r w:rsidRPr="00B066D3">
        <w:rPr>
          <w:sz w:val="20"/>
          <w:szCs w:val="20"/>
          <w:lang w:val="en-GB"/>
        </w:rPr>
        <w:fldChar w:fldCharType="end"/>
      </w:r>
      <w:r w:rsidRPr="00B066D3">
        <w:rPr>
          <w:sz w:val="20"/>
          <w:szCs w:val="20"/>
          <w:lang w:val="en-GB"/>
        </w:rPr>
        <w:t xml:space="preserve">. Snapshots were obtained from a video taken during the increased volume of an NLSF pendant droplet showing an </w:t>
      </w:r>
      <w:bookmarkEnd w:id="21"/>
      <w:r w:rsidRPr="00B066D3">
        <w:rPr>
          <w:sz w:val="20"/>
          <w:szCs w:val="20"/>
          <w:lang w:val="en-GB"/>
        </w:rPr>
        <w:t>initial relatively low IFT followed by an apparent increase in IFT and sudden decrease (A). Scheme illustrating the proposed molecular-scale mechanism of the observed phenomena (B).</w:t>
      </w:r>
    </w:p>
    <w:p w14:paraId="2176F299" w14:textId="77777777" w:rsidR="00DF4259" w:rsidRPr="00B066D3" w:rsidRDefault="00DF4259" w:rsidP="00DF4259">
      <w:pPr>
        <w:pStyle w:val="Captionthesis"/>
        <w:spacing w:line="276" w:lineRule="auto"/>
        <w:jc w:val="both"/>
        <w:rPr>
          <w:sz w:val="20"/>
          <w:szCs w:val="20"/>
          <w:lang w:val="en-GB"/>
        </w:rPr>
        <w:sectPr w:rsidR="00DF4259" w:rsidRPr="00B066D3" w:rsidSect="00DF4259">
          <w:pgSz w:w="11906" w:h="16838"/>
          <w:pgMar w:top="1440" w:right="1080" w:bottom="1440" w:left="1080" w:header="708" w:footer="708" w:gutter="0"/>
          <w:lnNumType w:countBy="1" w:restart="continuous"/>
          <w:cols w:space="708"/>
          <w:docGrid w:linePitch="360"/>
        </w:sectPr>
      </w:pPr>
    </w:p>
    <w:p w14:paraId="6B45A14F" w14:textId="77777777" w:rsidR="00DF4259" w:rsidRPr="00B066D3" w:rsidRDefault="00DF4259" w:rsidP="00DF4259">
      <w:pPr>
        <w:pStyle w:val="Textthesis"/>
        <w:keepNext/>
        <w:spacing w:after="0" w:line="276" w:lineRule="auto"/>
        <w:jc w:val="center"/>
        <w:rPr>
          <w:lang w:val="en-GB"/>
        </w:rPr>
      </w:pPr>
      <w:r w:rsidRPr="00B066D3">
        <w:rPr>
          <w:noProof/>
          <w:lang w:val="en-GB"/>
        </w:rPr>
        <w:lastRenderedPageBreak/>
        <w:drawing>
          <wp:inline distT="0" distB="0" distL="0" distR="0" wp14:anchorId="17ACC06F" wp14:editId="595F2F20">
            <wp:extent cx="4586514" cy="2502709"/>
            <wp:effectExtent l="0" t="0" r="5080" b="0"/>
            <wp:docPr id="49" name="Picture 49"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screenshot of a video game&#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t="2606"/>
                    <a:stretch>
                      <a:fillRect/>
                    </a:stretch>
                  </pic:blipFill>
                  <pic:spPr bwMode="auto">
                    <a:xfrm>
                      <a:off x="0" y="0"/>
                      <a:ext cx="4637767" cy="2530676"/>
                    </a:xfrm>
                    <a:prstGeom prst="rect">
                      <a:avLst/>
                    </a:prstGeom>
                    <a:noFill/>
                    <a:ln>
                      <a:noFill/>
                    </a:ln>
                    <a:extLst>
                      <a:ext uri="{53640926-AAD7-44D8-BBD7-CCE9431645EC}">
                        <a14:shadowObscured xmlns:a14="http://schemas.microsoft.com/office/drawing/2010/main"/>
                      </a:ext>
                    </a:extLst>
                  </pic:spPr>
                </pic:pic>
              </a:graphicData>
            </a:graphic>
          </wp:inline>
        </w:drawing>
      </w:r>
    </w:p>
    <w:p w14:paraId="694A49B6" w14:textId="77777777" w:rsidR="00DF4259" w:rsidRPr="00B066D3" w:rsidRDefault="00DF4259" w:rsidP="00DF4259">
      <w:pPr>
        <w:pStyle w:val="Captionthesis"/>
        <w:spacing w:line="276" w:lineRule="auto"/>
        <w:jc w:val="both"/>
        <w:rPr>
          <w:sz w:val="20"/>
          <w:szCs w:val="20"/>
          <w:lang w:val="en-GB"/>
        </w:rPr>
        <w:sectPr w:rsidR="00DF4259" w:rsidRPr="00B066D3" w:rsidSect="00DF4259">
          <w:pgSz w:w="11906" w:h="16838"/>
          <w:pgMar w:top="1440" w:right="1080" w:bottom="1440" w:left="1080" w:header="708" w:footer="708" w:gutter="0"/>
          <w:lnNumType w:countBy="1" w:restart="continuous"/>
          <w:cols w:space="708"/>
          <w:docGrid w:linePitch="360"/>
        </w:sectPr>
      </w:pPr>
      <w:bookmarkStart w:id="22" w:name="_Toc97662649"/>
      <w:r w:rsidRPr="00B066D3">
        <w:rPr>
          <w:sz w:val="20"/>
          <w:szCs w:val="20"/>
          <w:lang w:val="en-GB"/>
        </w:rPr>
        <w:t>Figure S</w:t>
      </w:r>
      <w:r w:rsidRPr="00B066D3">
        <w:rPr>
          <w:sz w:val="20"/>
          <w:szCs w:val="20"/>
          <w:lang w:val="en-GB"/>
        </w:rPr>
        <w:fldChar w:fldCharType="begin"/>
      </w:r>
      <w:r w:rsidRPr="00B066D3">
        <w:rPr>
          <w:sz w:val="20"/>
          <w:szCs w:val="20"/>
          <w:lang w:val="en-GB"/>
        </w:rPr>
        <w:instrText xml:space="preserve"> SEQ Figure_S \* ARABIC </w:instrText>
      </w:r>
      <w:r w:rsidRPr="00B066D3">
        <w:rPr>
          <w:sz w:val="20"/>
          <w:szCs w:val="20"/>
          <w:lang w:val="en-GB"/>
        </w:rPr>
        <w:fldChar w:fldCharType="separate"/>
      </w:r>
      <w:r w:rsidRPr="00B066D3">
        <w:rPr>
          <w:sz w:val="20"/>
          <w:szCs w:val="20"/>
          <w:lang w:val="en-GB"/>
        </w:rPr>
        <w:t>5</w:t>
      </w:r>
      <w:r w:rsidRPr="00B066D3">
        <w:rPr>
          <w:sz w:val="20"/>
          <w:szCs w:val="20"/>
          <w:lang w:val="en-GB"/>
        </w:rPr>
        <w:fldChar w:fldCharType="end"/>
      </w:r>
      <w:r w:rsidRPr="00B066D3">
        <w:rPr>
          <w:sz w:val="20"/>
          <w:szCs w:val="20"/>
          <w:lang w:val="en-GB"/>
        </w:rPr>
        <w:t>. Photograph showing f</w:t>
      </w:r>
      <w:r>
        <w:rPr>
          <w:sz w:val="20"/>
          <w:szCs w:val="20"/>
          <w:lang w:val="en-GB"/>
        </w:rPr>
        <w:t>ibre</w:t>
      </w:r>
      <w:r w:rsidRPr="00B066D3">
        <w:rPr>
          <w:sz w:val="20"/>
          <w:szCs w:val="20"/>
          <w:lang w:val="en-GB"/>
        </w:rPr>
        <w:t xml:space="preserve"> formation at the point of neck collapse as observed under crosspolarizers a short time after collapse (left) and after slight </w:t>
      </w:r>
      <w:bookmarkEnd w:id="22"/>
      <w:r w:rsidRPr="00B066D3">
        <w:rPr>
          <w:sz w:val="20"/>
          <w:szCs w:val="20"/>
          <w:lang w:val="en-GB"/>
        </w:rPr>
        <w:t>stretching (right), revealing a birefengece increase. The scale bars are 150 µm.</w:t>
      </w:r>
    </w:p>
    <w:p w14:paraId="61FAA840" w14:textId="77777777" w:rsidR="00DF4259" w:rsidRPr="00B066D3" w:rsidRDefault="00DF4259" w:rsidP="00DF4259">
      <w:pPr>
        <w:keepNext/>
        <w:spacing w:line="276" w:lineRule="auto"/>
        <w:ind w:firstLine="720"/>
        <w:jc w:val="center"/>
      </w:pPr>
      <w:r w:rsidRPr="00B066D3">
        <w:rPr>
          <w:noProof/>
        </w:rPr>
        <w:lastRenderedPageBreak/>
        <w:drawing>
          <wp:inline distT="0" distB="0" distL="0" distR="0" wp14:anchorId="339FBF6F" wp14:editId="127FD2E1">
            <wp:extent cx="5597820" cy="2839041"/>
            <wp:effectExtent l="0" t="0" r="0" b="0"/>
            <wp:docPr id="161528267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282677" name=""/>
                    <pic:cNvPicPr/>
                  </pic:nvPicPr>
                  <pic:blipFill>
                    <a:blip r:embed="rId11">
                      <a:extLst>
                        <a:ext uri="{96DAC541-7B7A-43D3-8B79-37D633B846F1}">
                          <asvg:svgBlip xmlns:asvg="http://schemas.microsoft.com/office/drawing/2016/SVG/main" r:embed="rId12"/>
                        </a:ext>
                      </a:extLst>
                    </a:blip>
                    <a:srcRect l="5527" t="3809" r="3996" b="5275"/>
                    <a:stretch>
                      <a:fillRect/>
                    </a:stretch>
                  </pic:blipFill>
                  <pic:spPr bwMode="auto">
                    <a:xfrm>
                      <a:off x="0" y="0"/>
                      <a:ext cx="5599378" cy="2839831"/>
                    </a:xfrm>
                    <a:prstGeom prst="rect">
                      <a:avLst/>
                    </a:prstGeom>
                    <a:ln>
                      <a:noFill/>
                    </a:ln>
                    <a:extLst>
                      <a:ext uri="{53640926-AAD7-44D8-BBD7-CCE9431645EC}">
                        <a14:shadowObscured xmlns:a14="http://schemas.microsoft.com/office/drawing/2010/main"/>
                      </a:ext>
                    </a:extLst>
                  </pic:spPr>
                </pic:pic>
              </a:graphicData>
            </a:graphic>
          </wp:inline>
        </w:drawing>
      </w:r>
    </w:p>
    <w:p w14:paraId="681596FC" w14:textId="77777777" w:rsidR="00DF4259" w:rsidRPr="00B066D3" w:rsidRDefault="00DF4259" w:rsidP="00DF4259">
      <w:pPr>
        <w:pStyle w:val="Caption"/>
        <w:jc w:val="both"/>
        <w:rPr>
          <w:b w:val="0"/>
          <w:bCs w:val="0"/>
          <w:sz w:val="20"/>
          <w:szCs w:val="20"/>
          <w:lang w:val="en-GB"/>
        </w:rPr>
      </w:pPr>
      <w:r w:rsidRPr="00B066D3">
        <w:rPr>
          <w:b w:val="0"/>
          <w:bCs w:val="0"/>
          <w:sz w:val="20"/>
          <w:szCs w:val="20"/>
          <w:lang w:val="en-GB"/>
        </w:rPr>
        <w:t>Figure S</w:t>
      </w:r>
      <w:r w:rsidRPr="00B066D3">
        <w:rPr>
          <w:b w:val="0"/>
          <w:bCs w:val="0"/>
          <w:sz w:val="20"/>
          <w:szCs w:val="20"/>
          <w:lang w:val="en-GB"/>
        </w:rPr>
        <w:fldChar w:fldCharType="begin"/>
      </w:r>
      <w:r w:rsidRPr="00B066D3">
        <w:rPr>
          <w:b w:val="0"/>
          <w:bCs w:val="0"/>
          <w:sz w:val="20"/>
          <w:szCs w:val="20"/>
          <w:lang w:val="en-GB"/>
        </w:rPr>
        <w:instrText xml:space="preserve"> SEQ Figure_S \* ARABIC </w:instrText>
      </w:r>
      <w:r w:rsidRPr="00B066D3">
        <w:rPr>
          <w:b w:val="0"/>
          <w:bCs w:val="0"/>
          <w:sz w:val="20"/>
          <w:szCs w:val="20"/>
          <w:lang w:val="en-GB"/>
        </w:rPr>
        <w:fldChar w:fldCharType="separate"/>
      </w:r>
      <w:r w:rsidRPr="00B066D3">
        <w:rPr>
          <w:b w:val="0"/>
          <w:bCs w:val="0"/>
          <w:sz w:val="20"/>
          <w:szCs w:val="20"/>
          <w:lang w:val="en-GB"/>
        </w:rPr>
        <w:t>6</w:t>
      </w:r>
      <w:r w:rsidRPr="00B066D3">
        <w:rPr>
          <w:b w:val="0"/>
          <w:bCs w:val="0"/>
          <w:sz w:val="20"/>
          <w:szCs w:val="20"/>
          <w:lang w:val="en-GB"/>
        </w:rPr>
        <w:fldChar w:fldCharType="end"/>
      </w:r>
      <w:r w:rsidRPr="00B066D3">
        <w:rPr>
          <w:b w:val="0"/>
          <w:bCs w:val="0"/>
          <w:sz w:val="20"/>
          <w:szCs w:val="20"/>
          <w:lang w:val="en-GB"/>
        </w:rPr>
        <w:t>. Analysis of the effect of reeling speed on the measured reeling force and f</w:t>
      </w:r>
      <w:r>
        <w:rPr>
          <w:b w:val="0"/>
          <w:bCs w:val="0"/>
          <w:sz w:val="20"/>
          <w:szCs w:val="20"/>
          <w:lang w:val="en-GB"/>
        </w:rPr>
        <w:t>ibre</w:t>
      </w:r>
      <w:r w:rsidRPr="00B066D3">
        <w:rPr>
          <w:b w:val="0"/>
          <w:bCs w:val="0"/>
          <w:sz w:val="20"/>
          <w:szCs w:val="20"/>
          <w:lang w:val="en-GB"/>
        </w:rPr>
        <w:t xml:space="preserve"> diameter. Reeling forces measured as a function of reeling speed (A). F</w:t>
      </w:r>
      <w:r>
        <w:rPr>
          <w:b w:val="0"/>
          <w:bCs w:val="0"/>
          <w:sz w:val="20"/>
          <w:szCs w:val="20"/>
          <w:lang w:val="en-GB"/>
        </w:rPr>
        <w:t>ibre</w:t>
      </w:r>
      <w:r w:rsidRPr="00B066D3">
        <w:rPr>
          <w:b w:val="0"/>
          <w:bCs w:val="0"/>
          <w:sz w:val="20"/>
          <w:szCs w:val="20"/>
          <w:lang w:val="en-GB"/>
        </w:rPr>
        <w:t xml:space="preserve"> dimeter as a function of reeling speed (B). The data are shown as the means of at least 5 independent measurements.</w:t>
      </w:r>
    </w:p>
    <w:p w14:paraId="1F4E256E" w14:textId="77777777" w:rsidR="00DF4259" w:rsidRPr="00B066D3" w:rsidRDefault="00DF4259" w:rsidP="00DF4259">
      <w:pPr>
        <w:sectPr w:rsidR="00DF4259" w:rsidRPr="00B066D3" w:rsidSect="00DF4259">
          <w:pgSz w:w="11906" w:h="16838"/>
          <w:pgMar w:top="1440" w:right="1080" w:bottom="1440" w:left="1080" w:header="708" w:footer="708" w:gutter="0"/>
          <w:lnNumType w:countBy="1" w:restart="continuous"/>
          <w:cols w:space="708"/>
          <w:docGrid w:linePitch="360"/>
        </w:sectPr>
      </w:pPr>
    </w:p>
    <w:p w14:paraId="13FEA54F" w14:textId="77777777" w:rsidR="00DF4259" w:rsidRPr="00B066D3" w:rsidRDefault="00DF4259" w:rsidP="00DF4259">
      <w:pPr>
        <w:keepNext/>
        <w:spacing w:after="0"/>
      </w:pPr>
      <w:r w:rsidRPr="00B066D3">
        <w:rPr>
          <w:noProof/>
        </w:rPr>
        <w:lastRenderedPageBreak/>
        <w:drawing>
          <wp:inline distT="0" distB="0" distL="0" distR="0" wp14:anchorId="4CC9B523" wp14:editId="7136F0C7">
            <wp:extent cx="6188710" cy="3531235"/>
            <wp:effectExtent l="0" t="0" r="0" b="0"/>
            <wp:docPr id="203577606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776068"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6188710" cy="3531235"/>
                    </a:xfrm>
                    <a:prstGeom prst="rect">
                      <a:avLst/>
                    </a:prstGeom>
                  </pic:spPr>
                </pic:pic>
              </a:graphicData>
            </a:graphic>
          </wp:inline>
        </w:drawing>
      </w:r>
    </w:p>
    <w:p w14:paraId="2B1891F4" w14:textId="77777777" w:rsidR="00DF4259" w:rsidRPr="00B066D3" w:rsidRDefault="00DF4259" w:rsidP="00DF4259">
      <w:pPr>
        <w:pStyle w:val="Caption"/>
        <w:rPr>
          <w:b w:val="0"/>
          <w:bCs w:val="0"/>
          <w:sz w:val="20"/>
          <w:szCs w:val="20"/>
          <w:lang w:val="en-GB"/>
        </w:rPr>
        <w:sectPr w:rsidR="00DF4259" w:rsidRPr="00B066D3" w:rsidSect="00DF4259">
          <w:pgSz w:w="11906" w:h="16838"/>
          <w:pgMar w:top="1440" w:right="1080" w:bottom="1440" w:left="1080" w:header="708" w:footer="708" w:gutter="0"/>
          <w:lnNumType w:countBy="1" w:restart="continuous"/>
          <w:cols w:space="708"/>
          <w:docGrid w:linePitch="360"/>
        </w:sectPr>
      </w:pPr>
      <w:r w:rsidRPr="00B066D3">
        <w:rPr>
          <w:b w:val="0"/>
          <w:bCs w:val="0"/>
          <w:sz w:val="20"/>
          <w:szCs w:val="20"/>
          <w:lang w:val="en-GB"/>
        </w:rPr>
        <w:t>Figure S</w:t>
      </w:r>
      <w:r w:rsidRPr="00B066D3">
        <w:rPr>
          <w:b w:val="0"/>
          <w:bCs w:val="0"/>
          <w:sz w:val="20"/>
          <w:szCs w:val="20"/>
          <w:lang w:val="en-GB"/>
        </w:rPr>
        <w:fldChar w:fldCharType="begin"/>
      </w:r>
      <w:r w:rsidRPr="00B066D3">
        <w:rPr>
          <w:b w:val="0"/>
          <w:bCs w:val="0"/>
          <w:sz w:val="20"/>
          <w:szCs w:val="20"/>
          <w:lang w:val="en-GB"/>
        </w:rPr>
        <w:instrText xml:space="preserve"> SEQ Figure_S \* ARABIC </w:instrText>
      </w:r>
      <w:r w:rsidRPr="00B066D3">
        <w:rPr>
          <w:b w:val="0"/>
          <w:bCs w:val="0"/>
          <w:sz w:val="20"/>
          <w:szCs w:val="20"/>
          <w:lang w:val="en-GB"/>
        </w:rPr>
        <w:fldChar w:fldCharType="separate"/>
      </w:r>
      <w:r w:rsidRPr="00B066D3">
        <w:rPr>
          <w:b w:val="0"/>
          <w:bCs w:val="0"/>
          <w:sz w:val="20"/>
          <w:szCs w:val="20"/>
          <w:lang w:val="en-GB"/>
        </w:rPr>
        <w:t>7</w:t>
      </w:r>
      <w:r w:rsidRPr="00B066D3">
        <w:rPr>
          <w:b w:val="0"/>
          <w:bCs w:val="0"/>
          <w:sz w:val="20"/>
          <w:szCs w:val="20"/>
          <w:lang w:val="en-GB"/>
        </w:rPr>
        <w:fldChar w:fldCharType="end"/>
      </w:r>
      <w:r w:rsidRPr="00B066D3">
        <w:rPr>
          <w:b w:val="0"/>
          <w:bCs w:val="0"/>
          <w:sz w:val="20"/>
          <w:szCs w:val="20"/>
          <w:lang w:val="en-GB"/>
        </w:rPr>
        <w:t>. Schematic explanation of the multif</w:t>
      </w:r>
      <w:r>
        <w:rPr>
          <w:b w:val="0"/>
          <w:bCs w:val="0"/>
          <w:sz w:val="20"/>
          <w:szCs w:val="20"/>
          <w:lang w:val="en-GB"/>
        </w:rPr>
        <w:t>ibre</w:t>
      </w:r>
      <w:r w:rsidRPr="00B066D3">
        <w:rPr>
          <w:b w:val="0"/>
          <w:bCs w:val="0"/>
          <w:sz w:val="20"/>
          <w:szCs w:val="20"/>
          <w:lang w:val="en-GB"/>
        </w:rPr>
        <w:t xml:space="preserve"> matte fabrication approach and the effect of relevant fabrication parameters on the overall matte architecture.</w:t>
      </w:r>
    </w:p>
    <w:p w14:paraId="68A417B4" w14:textId="77777777" w:rsidR="00DF4259" w:rsidRPr="00B066D3" w:rsidRDefault="00DF4259" w:rsidP="00DF4259">
      <w:pPr>
        <w:pStyle w:val="Caption"/>
        <w:rPr>
          <w:lang w:val="en-GB"/>
        </w:rPr>
      </w:pPr>
    </w:p>
    <w:p w14:paraId="7A2E3AF7" w14:textId="77777777" w:rsidR="00DF4259" w:rsidRPr="00B066D3" w:rsidRDefault="00DF4259" w:rsidP="00DF4259">
      <w:pPr>
        <w:keepNext/>
        <w:spacing w:line="276" w:lineRule="auto"/>
        <w:jc w:val="center"/>
      </w:pPr>
      <w:r w:rsidRPr="00B066D3">
        <w:rPr>
          <w:noProof/>
        </w:rPr>
        <w:drawing>
          <wp:inline distT="0" distB="0" distL="0" distR="0" wp14:anchorId="63C0062A" wp14:editId="58B96D78">
            <wp:extent cx="5837465" cy="4276725"/>
            <wp:effectExtent l="0" t="0" r="0" b="0"/>
            <wp:docPr id="193559669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596695" name=""/>
                    <pic:cNvPicPr/>
                  </pic:nvPicPr>
                  <pic:blipFill>
                    <a:blip r:embed="rId15">
                      <a:extLst>
                        <a:ext uri="{96DAC541-7B7A-43D3-8B79-37D633B846F1}">
                          <asvg:svgBlip xmlns:asvg="http://schemas.microsoft.com/office/drawing/2016/SVG/main" r:embed="rId16"/>
                        </a:ext>
                      </a:extLst>
                    </a:blip>
                    <a:srcRect l="1470"/>
                    <a:stretch>
                      <a:fillRect/>
                    </a:stretch>
                  </pic:blipFill>
                  <pic:spPr bwMode="auto">
                    <a:xfrm>
                      <a:off x="0" y="0"/>
                      <a:ext cx="5837465" cy="4276725"/>
                    </a:xfrm>
                    <a:prstGeom prst="rect">
                      <a:avLst/>
                    </a:prstGeom>
                    <a:ln>
                      <a:noFill/>
                    </a:ln>
                    <a:extLst>
                      <a:ext uri="{53640926-AAD7-44D8-BBD7-CCE9431645EC}">
                        <a14:shadowObscured xmlns:a14="http://schemas.microsoft.com/office/drawing/2010/main"/>
                      </a:ext>
                    </a:extLst>
                  </pic:spPr>
                </pic:pic>
              </a:graphicData>
            </a:graphic>
          </wp:inline>
        </w:drawing>
      </w:r>
    </w:p>
    <w:p w14:paraId="5A99091E" w14:textId="77777777" w:rsidR="00DF4259" w:rsidRPr="00B066D3" w:rsidRDefault="00DF4259" w:rsidP="00DF4259">
      <w:pPr>
        <w:pStyle w:val="Caption"/>
        <w:spacing w:line="276" w:lineRule="auto"/>
        <w:jc w:val="both"/>
        <w:rPr>
          <w:b w:val="0"/>
          <w:bCs w:val="0"/>
          <w:sz w:val="20"/>
          <w:szCs w:val="20"/>
          <w:lang w:val="en-GB"/>
        </w:rPr>
      </w:pPr>
      <w:r w:rsidRPr="00B066D3">
        <w:rPr>
          <w:b w:val="0"/>
          <w:bCs w:val="0"/>
          <w:sz w:val="20"/>
          <w:szCs w:val="20"/>
          <w:lang w:val="en-GB"/>
        </w:rPr>
        <w:t>Figure S</w:t>
      </w:r>
      <w:r w:rsidRPr="00B066D3">
        <w:rPr>
          <w:b w:val="0"/>
          <w:bCs w:val="0"/>
          <w:sz w:val="20"/>
          <w:szCs w:val="20"/>
          <w:lang w:val="en-GB"/>
        </w:rPr>
        <w:fldChar w:fldCharType="begin"/>
      </w:r>
      <w:r w:rsidRPr="00B066D3">
        <w:rPr>
          <w:b w:val="0"/>
          <w:bCs w:val="0"/>
          <w:sz w:val="20"/>
          <w:szCs w:val="20"/>
          <w:lang w:val="en-GB"/>
        </w:rPr>
        <w:instrText xml:space="preserve"> SEQ Figure_S \* ARABIC </w:instrText>
      </w:r>
      <w:r w:rsidRPr="00B066D3">
        <w:rPr>
          <w:b w:val="0"/>
          <w:bCs w:val="0"/>
          <w:sz w:val="20"/>
          <w:szCs w:val="20"/>
          <w:lang w:val="en-GB"/>
        </w:rPr>
        <w:fldChar w:fldCharType="separate"/>
      </w:r>
      <w:r w:rsidRPr="00B066D3">
        <w:rPr>
          <w:b w:val="0"/>
          <w:bCs w:val="0"/>
          <w:sz w:val="20"/>
          <w:szCs w:val="20"/>
          <w:lang w:val="en-GB"/>
        </w:rPr>
        <w:t>8</w:t>
      </w:r>
      <w:r w:rsidRPr="00B066D3">
        <w:rPr>
          <w:b w:val="0"/>
          <w:bCs w:val="0"/>
          <w:sz w:val="20"/>
          <w:szCs w:val="20"/>
          <w:lang w:val="en-GB"/>
        </w:rPr>
        <w:fldChar w:fldCharType="end"/>
      </w:r>
      <w:r w:rsidRPr="00B066D3">
        <w:rPr>
          <w:b w:val="0"/>
          <w:bCs w:val="0"/>
          <w:sz w:val="20"/>
          <w:szCs w:val="20"/>
          <w:lang w:val="en-GB"/>
        </w:rPr>
        <w:t>. Elemental analysis of the silk-magnetite composite. SEM image of the fabricated composite f</w:t>
      </w:r>
      <w:r>
        <w:rPr>
          <w:b w:val="0"/>
          <w:bCs w:val="0"/>
          <w:sz w:val="20"/>
          <w:szCs w:val="20"/>
          <w:lang w:val="en-GB"/>
        </w:rPr>
        <w:t>ibre</w:t>
      </w:r>
      <w:r w:rsidRPr="00B066D3">
        <w:rPr>
          <w:b w:val="0"/>
          <w:bCs w:val="0"/>
          <w:sz w:val="20"/>
          <w:szCs w:val="20"/>
          <w:lang w:val="en-GB"/>
        </w:rPr>
        <w:t>s (A). Composite image obtained via EDX-SEM showing overlapping carbon, oxygen and iron distributions along the f</w:t>
      </w:r>
      <w:r>
        <w:rPr>
          <w:b w:val="0"/>
          <w:bCs w:val="0"/>
          <w:sz w:val="20"/>
          <w:szCs w:val="20"/>
          <w:lang w:val="en-GB"/>
        </w:rPr>
        <w:t>ibre</w:t>
      </w:r>
      <w:r w:rsidRPr="00B066D3">
        <w:rPr>
          <w:b w:val="0"/>
          <w:bCs w:val="0"/>
          <w:sz w:val="20"/>
          <w:szCs w:val="20"/>
          <w:lang w:val="en-GB"/>
        </w:rPr>
        <w:t>s (B). Iron distribution alone on the same f</w:t>
      </w:r>
      <w:r>
        <w:rPr>
          <w:b w:val="0"/>
          <w:bCs w:val="0"/>
          <w:sz w:val="20"/>
          <w:szCs w:val="20"/>
          <w:lang w:val="en-GB"/>
        </w:rPr>
        <w:t>ibre</w:t>
      </w:r>
      <w:r w:rsidRPr="00B066D3">
        <w:rPr>
          <w:b w:val="0"/>
          <w:bCs w:val="0"/>
          <w:sz w:val="20"/>
          <w:szCs w:val="20"/>
          <w:lang w:val="en-GB"/>
        </w:rPr>
        <w:t>s, showing homogeneously distributed iron along the f</w:t>
      </w:r>
      <w:r>
        <w:rPr>
          <w:b w:val="0"/>
          <w:bCs w:val="0"/>
          <w:sz w:val="20"/>
          <w:szCs w:val="20"/>
          <w:lang w:val="en-GB"/>
        </w:rPr>
        <w:t>ibre</w:t>
      </w:r>
      <w:r w:rsidRPr="00B066D3">
        <w:rPr>
          <w:b w:val="0"/>
          <w:bCs w:val="0"/>
          <w:sz w:val="20"/>
          <w:szCs w:val="20"/>
          <w:lang w:val="en-GB"/>
        </w:rPr>
        <w:t>s as well as iron-rich aggregates (C). EDS spectrum showing the elemental composition of the composite f</w:t>
      </w:r>
      <w:r>
        <w:rPr>
          <w:b w:val="0"/>
          <w:bCs w:val="0"/>
          <w:sz w:val="20"/>
          <w:szCs w:val="20"/>
          <w:lang w:val="en-GB"/>
        </w:rPr>
        <w:t>ibre</w:t>
      </w:r>
      <w:r w:rsidRPr="00B066D3">
        <w:rPr>
          <w:b w:val="0"/>
          <w:bCs w:val="0"/>
          <w:sz w:val="20"/>
          <w:szCs w:val="20"/>
          <w:lang w:val="en-GB"/>
        </w:rPr>
        <w:t>s, showing the incorporation of iron nanoparticles (D); silver was used to coat the f</w:t>
      </w:r>
      <w:r>
        <w:rPr>
          <w:b w:val="0"/>
          <w:bCs w:val="0"/>
          <w:sz w:val="20"/>
          <w:szCs w:val="20"/>
          <w:lang w:val="en-GB"/>
        </w:rPr>
        <w:t>ibre</w:t>
      </w:r>
      <w:r w:rsidRPr="00B066D3">
        <w:rPr>
          <w:b w:val="0"/>
          <w:bCs w:val="0"/>
          <w:sz w:val="20"/>
          <w:szCs w:val="20"/>
          <w:lang w:val="en-GB"/>
        </w:rPr>
        <w:t>s.</w:t>
      </w:r>
    </w:p>
    <w:p w14:paraId="3BFFB99D" w14:textId="77777777" w:rsidR="00DF4259" w:rsidRPr="00B066D3" w:rsidRDefault="00DF4259" w:rsidP="00DF4259">
      <w:pPr>
        <w:sectPr w:rsidR="00DF4259" w:rsidRPr="00B066D3" w:rsidSect="00DF4259">
          <w:pgSz w:w="11906" w:h="16838"/>
          <w:pgMar w:top="1440" w:right="1080" w:bottom="1440" w:left="1080" w:header="708" w:footer="708" w:gutter="0"/>
          <w:lnNumType w:countBy="1" w:restart="continuous"/>
          <w:cols w:space="708"/>
          <w:docGrid w:linePitch="360"/>
        </w:sectPr>
      </w:pPr>
    </w:p>
    <w:p w14:paraId="5C807D39" w14:textId="77777777" w:rsidR="00DF4259" w:rsidRPr="00B066D3" w:rsidRDefault="00DF4259" w:rsidP="00DF4259">
      <w:pPr>
        <w:pStyle w:val="Textthesis"/>
        <w:keepNext/>
        <w:spacing w:after="0" w:line="276" w:lineRule="auto"/>
        <w:jc w:val="center"/>
        <w:rPr>
          <w:sz w:val="32"/>
          <w:szCs w:val="32"/>
          <w:lang w:val="en-GB"/>
        </w:rPr>
      </w:pPr>
      <w:r w:rsidRPr="00B066D3">
        <w:rPr>
          <w:noProof/>
          <w:sz w:val="32"/>
          <w:szCs w:val="32"/>
          <w:lang w:val="en-GB"/>
        </w:rPr>
        <w:lastRenderedPageBreak/>
        <w:drawing>
          <wp:inline distT="0" distB="0" distL="0" distR="0" wp14:anchorId="5CA98A3B" wp14:editId="6F28DA03">
            <wp:extent cx="5480445" cy="5510784"/>
            <wp:effectExtent l="0" t="0" r="0" b="0"/>
            <wp:docPr id="3223534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35348" name=""/>
                    <pic:cNvPicPr/>
                  </pic:nvPicPr>
                  <pic:blipFill>
                    <a:blip r:embed="rId17">
                      <a:extLst>
                        <a:ext uri="{96DAC541-7B7A-43D3-8B79-37D633B846F1}">
                          <asvg:svgBlip xmlns:asvg="http://schemas.microsoft.com/office/drawing/2016/SVG/main" r:embed="rId18"/>
                        </a:ext>
                      </a:extLst>
                    </a:blip>
                    <a:srcRect b="3191"/>
                    <a:stretch>
                      <a:fillRect/>
                    </a:stretch>
                  </pic:blipFill>
                  <pic:spPr bwMode="auto">
                    <a:xfrm>
                      <a:off x="0" y="0"/>
                      <a:ext cx="5510283" cy="5540787"/>
                    </a:xfrm>
                    <a:prstGeom prst="rect">
                      <a:avLst/>
                    </a:prstGeom>
                    <a:ln>
                      <a:noFill/>
                    </a:ln>
                    <a:extLst>
                      <a:ext uri="{53640926-AAD7-44D8-BBD7-CCE9431645EC}">
                        <a14:shadowObscured xmlns:a14="http://schemas.microsoft.com/office/drawing/2010/main"/>
                      </a:ext>
                    </a:extLst>
                  </pic:spPr>
                </pic:pic>
              </a:graphicData>
            </a:graphic>
          </wp:inline>
        </w:drawing>
      </w:r>
    </w:p>
    <w:p w14:paraId="4850CE98" w14:textId="77777777" w:rsidR="00DF4259" w:rsidRPr="00B066D3" w:rsidRDefault="00DF4259" w:rsidP="00DF4259">
      <w:pPr>
        <w:pStyle w:val="Caption"/>
        <w:jc w:val="both"/>
        <w:rPr>
          <w:b w:val="0"/>
          <w:bCs w:val="0"/>
          <w:sz w:val="20"/>
          <w:szCs w:val="20"/>
          <w:lang w:val="en-GB"/>
        </w:rPr>
      </w:pPr>
      <w:r w:rsidRPr="00B066D3">
        <w:rPr>
          <w:b w:val="0"/>
          <w:bCs w:val="0"/>
          <w:sz w:val="20"/>
          <w:szCs w:val="20"/>
          <w:lang w:val="en-GB"/>
        </w:rPr>
        <w:t>Figure S</w:t>
      </w:r>
      <w:r w:rsidRPr="00B066D3">
        <w:rPr>
          <w:b w:val="0"/>
          <w:bCs w:val="0"/>
          <w:sz w:val="20"/>
          <w:szCs w:val="20"/>
          <w:lang w:val="en-GB"/>
        </w:rPr>
        <w:fldChar w:fldCharType="begin"/>
      </w:r>
      <w:r w:rsidRPr="00B066D3">
        <w:rPr>
          <w:b w:val="0"/>
          <w:bCs w:val="0"/>
          <w:sz w:val="20"/>
          <w:szCs w:val="20"/>
          <w:lang w:val="en-GB"/>
        </w:rPr>
        <w:instrText xml:space="preserve"> SEQ Figure_S \* ARABIC </w:instrText>
      </w:r>
      <w:r w:rsidRPr="00B066D3">
        <w:rPr>
          <w:b w:val="0"/>
          <w:bCs w:val="0"/>
          <w:sz w:val="20"/>
          <w:szCs w:val="20"/>
          <w:lang w:val="en-GB"/>
        </w:rPr>
        <w:fldChar w:fldCharType="separate"/>
      </w:r>
      <w:r w:rsidRPr="00B066D3">
        <w:rPr>
          <w:b w:val="0"/>
          <w:bCs w:val="0"/>
          <w:sz w:val="20"/>
          <w:szCs w:val="20"/>
          <w:lang w:val="en-GB"/>
        </w:rPr>
        <w:t>9</w:t>
      </w:r>
      <w:r w:rsidRPr="00B066D3">
        <w:rPr>
          <w:b w:val="0"/>
          <w:bCs w:val="0"/>
          <w:sz w:val="20"/>
          <w:szCs w:val="20"/>
          <w:lang w:val="en-GB"/>
        </w:rPr>
        <w:fldChar w:fldCharType="end"/>
      </w:r>
      <w:r w:rsidRPr="00B066D3">
        <w:rPr>
          <w:b w:val="0"/>
          <w:bCs w:val="0"/>
          <w:sz w:val="20"/>
          <w:szCs w:val="20"/>
          <w:lang w:val="en-GB"/>
        </w:rPr>
        <w:t xml:space="preserve">. Directionality analysis of the </w:t>
      </w:r>
      <w:r w:rsidRPr="00B066D3">
        <w:rPr>
          <w:b w:val="0"/>
          <w:bCs w:val="0"/>
          <w:i/>
          <w:iCs/>
          <w:sz w:val="20"/>
          <w:szCs w:val="20"/>
          <w:lang w:val="en-GB"/>
        </w:rPr>
        <w:t>E. coli</w:t>
      </w:r>
      <w:r w:rsidRPr="00B066D3">
        <w:rPr>
          <w:b w:val="0"/>
          <w:bCs w:val="0"/>
          <w:sz w:val="20"/>
          <w:szCs w:val="20"/>
          <w:lang w:val="en-GB"/>
        </w:rPr>
        <w:t xml:space="preserve"> composite. Directionality analysis of a bright-field image of a bundle of silk-like f</w:t>
      </w:r>
      <w:r>
        <w:rPr>
          <w:b w:val="0"/>
          <w:bCs w:val="0"/>
          <w:sz w:val="20"/>
          <w:szCs w:val="20"/>
          <w:lang w:val="en-GB"/>
        </w:rPr>
        <w:t>ibre</w:t>
      </w:r>
      <w:r w:rsidRPr="00B066D3">
        <w:rPr>
          <w:b w:val="0"/>
          <w:bCs w:val="0"/>
          <w:sz w:val="20"/>
          <w:szCs w:val="20"/>
          <w:lang w:val="en-GB"/>
        </w:rPr>
        <w:t xml:space="preserve">s with coloration indicating strong directionality in the 9-10° direction (A). Directionality analysis of the green fluorescence signal from GFP-transformed </w:t>
      </w:r>
      <w:r w:rsidRPr="00B066D3">
        <w:rPr>
          <w:b w:val="0"/>
          <w:bCs w:val="0"/>
          <w:i/>
          <w:iCs/>
          <w:sz w:val="20"/>
          <w:szCs w:val="20"/>
          <w:lang w:val="en-GB"/>
        </w:rPr>
        <w:t>E. coli</w:t>
      </w:r>
      <w:r w:rsidRPr="00B066D3">
        <w:rPr>
          <w:b w:val="0"/>
          <w:bCs w:val="0"/>
          <w:sz w:val="20"/>
          <w:szCs w:val="20"/>
          <w:lang w:val="en-GB"/>
        </w:rPr>
        <w:t xml:space="preserve"> with coloration indicating strong alignment in the 9-10° direction (B). Histograms representing the overall colocalization of the </w:t>
      </w:r>
      <w:r w:rsidRPr="00B066D3">
        <w:rPr>
          <w:b w:val="0"/>
          <w:bCs w:val="0"/>
          <w:i/>
          <w:iCs/>
          <w:sz w:val="20"/>
          <w:szCs w:val="20"/>
          <w:lang w:val="en-GB"/>
        </w:rPr>
        <w:t>E. coli</w:t>
      </w:r>
      <w:r w:rsidRPr="00B066D3">
        <w:rPr>
          <w:b w:val="0"/>
          <w:bCs w:val="0"/>
          <w:sz w:val="20"/>
          <w:szCs w:val="20"/>
          <w:lang w:val="en-GB"/>
        </w:rPr>
        <w:t xml:space="preserve"> cells with the direction of the f</w:t>
      </w:r>
      <w:r>
        <w:rPr>
          <w:b w:val="0"/>
          <w:bCs w:val="0"/>
          <w:sz w:val="20"/>
          <w:szCs w:val="20"/>
          <w:lang w:val="en-GB"/>
        </w:rPr>
        <w:t>ibre</w:t>
      </w:r>
      <w:r w:rsidRPr="00B066D3">
        <w:rPr>
          <w:b w:val="0"/>
          <w:bCs w:val="0"/>
          <w:sz w:val="20"/>
          <w:szCs w:val="20"/>
          <w:lang w:val="en-GB"/>
        </w:rPr>
        <w:t>s (C).</w:t>
      </w:r>
    </w:p>
    <w:p w14:paraId="1FEF3C84" w14:textId="77777777" w:rsidR="00E16DB7" w:rsidRDefault="00E16DB7"/>
    <w:sectPr w:rsidR="00E16DB7" w:rsidSect="00DF4259">
      <w:pgSz w:w="11906" w:h="16838"/>
      <w:pgMar w:top="1440" w:right="1080" w:bottom="1440" w:left="108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3171E2"/>
    <w:multiLevelType w:val="hybridMultilevel"/>
    <w:tmpl w:val="7454511C"/>
    <w:lvl w:ilvl="0" w:tplc="301CEB80">
      <w:start w:val="1"/>
      <w:numFmt w:val="decimal"/>
      <w:lvlText w:val="ST. %1."/>
      <w:lvlJc w:val="left"/>
      <w:pPr>
        <w:ind w:left="720" w:hanging="360"/>
      </w:pPr>
      <w:rPr>
        <w:rFonts w:hint="default"/>
      </w:rPr>
    </w:lvl>
    <w:lvl w:ilvl="1" w:tplc="30B8713A" w:tentative="1">
      <w:start w:val="1"/>
      <w:numFmt w:val="bullet"/>
      <w:lvlText w:val="o"/>
      <w:lvlJc w:val="left"/>
      <w:pPr>
        <w:ind w:left="1440" w:hanging="360"/>
      </w:pPr>
      <w:rPr>
        <w:rFonts w:ascii="Courier New" w:hAnsi="Courier New" w:cs="Courier New" w:hint="default"/>
      </w:rPr>
    </w:lvl>
    <w:lvl w:ilvl="2" w:tplc="53B227F8" w:tentative="1">
      <w:start w:val="1"/>
      <w:numFmt w:val="bullet"/>
      <w:lvlText w:val=""/>
      <w:lvlJc w:val="left"/>
      <w:pPr>
        <w:ind w:left="2160" w:hanging="360"/>
      </w:pPr>
      <w:rPr>
        <w:rFonts w:ascii="Wingdings" w:hAnsi="Wingdings" w:hint="default"/>
      </w:rPr>
    </w:lvl>
    <w:lvl w:ilvl="3" w:tplc="C99CFC7E" w:tentative="1">
      <w:start w:val="1"/>
      <w:numFmt w:val="bullet"/>
      <w:lvlText w:val=""/>
      <w:lvlJc w:val="left"/>
      <w:pPr>
        <w:ind w:left="2880" w:hanging="360"/>
      </w:pPr>
      <w:rPr>
        <w:rFonts w:ascii="Symbol" w:hAnsi="Symbol" w:hint="default"/>
      </w:rPr>
    </w:lvl>
    <w:lvl w:ilvl="4" w:tplc="30AE0F7E" w:tentative="1">
      <w:start w:val="1"/>
      <w:numFmt w:val="bullet"/>
      <w:lvlText w:val="o"/>
      <w:lvlJc w:val="left"/>
      <w:pPr>
        <w:ind w:left="3600" w:hanging="360"/>
      </w:pPr>
      <w:rPr>
        <w:rFonts w:ascii="Courier New" w:hAnsi="Courier New" w:cs="Courier New" w:hint="default"/>
      </w:rPr>
    </w:lvl>
    <w:lvl w:ilvl="5" w:tplc="992809DC" w:tentative="1">
      <w:start w:val="1"/>
      <w:numFmt w:val="bullet"/>
      <w:lvlText w:val=""/>
      <w:lvlJc w:val="left"/>
      <w:pPr>
        <w:ind w:left="4320" w:hanging="360"/>
      </w:pPr>
      <w:rPr>
        <w:rFonts w:ascii="Wingdings" w:hAnsi="Wingdings" w:hint="default"/>
      </w:rPr>
    </w:lvl>
    <w:lvl w:ilvl="6" w:tplc="A6B26D98" w:tentative="1">
      <w:start w:val="1"/>
      <w:numFmt w:val="bullet"/>
      <w:lvlText w:val=""/>
      <w:lvlJc w:val="left"/>
      <w:pPr>
        <w:ind w:left="5040" w:hanging="360"/>
      </w:pPr>
      <w:rPr>
        <w:rFonts w:ascii="Symbol" w:hAnsi="Symbol" w:hint="default"/>
      </w:rPr>
    </w:lvl>
    <w:lvl w:ilvl="7" w:tplc="DA52FD56" w:tentative="1">
      <w:start w:val="1"/>
      <w:numFmt w:val="bullet"/>
      <w:lvlText w:val="o"/>
      <w:lvlJc w:val="left"/>
      <w:pPr>
        <w:ind w:left="5760" w:hanging="360"/>
      </w:pPr>
      <w:rPr>
        <w:rFonts w:ascii="Courier New" w:hAnsi="Courier New" w:cs="Courier New" w:hint="default"/>
      </w:rPr>
    </w:lvl>
    <w:lvl w:ilvl="8" w:tplc="9A08CF28" w:tentative="1">
      <w:start w:val="1"/>
      <w:numFmt w:val="bullet"/>
      <w:lvlText w:val=""/>
      <w:lvlJc w:val="left"/>
      <w:pPr>
        <w:ind w:left="6480" w:hanging="360"/>
      </w:pPr>
      <w:rPr>
        <w:rFonts w:ascii="Wingdings" w:hAnsi="Wingdings" w:hint="default"/>
      </w:rPr>
    </w:lvl>
  </w:abstractNum>
  <w:num w:numId="1" w16cid:durableId="614554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259"/>
    <w:rsid w:val="00097810"/>
    <w:rsid w:val="00200267"/>
    <w:rsid w:val="004A05EA"/>
    <w:rsid w:val="00DF4259"/>
    <w:rsid w:val="00E16D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9D969"/>
  <w15:chartTrackingRefBased/>
  <w15:docId w15:val="{4E267F71-1C82-420C-94F6-519D3163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259"/>
    <w:pPr>
      <w:spacing w:line="300" w:lineRule="auto"/>
    </w:pPr>
    <w:rPr>
      <w:rFonts w:eastAsiaTheme="minorEastAsia"/>
      <w:kern w:val="0"/>
      <w:sz w:val="21"/>
      <w:szCs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35"/>
    <w:unhideWhenUsed/>
    <w:qFormat/>
    <w:rsid w:val="00DF4259"/>
    <w:pPr>
      <w:spacing w:line="240" w:lineRule="auto"/>
    </w:pPr>
    <w:rPr>
      <w:b/>
      <w:bCs/>
      <w:color w:val="404040" w:themeColor="text1" w:themeTint="BF"/>
      <w:sz w:val="16"/>
      <w:szCs w:val="16"/>
      <w:lang w:val="en-US"/>
    </w:rPr>
  </w:style>
  <w:style w:type="character" w:customStyle="1" w:styleId="CaptionChar">
    <w:name w:val="Caption Char"/>
    <w:basedOn w:val="DefaultParagraphFont"/>
    <w:link w:val="Caption"/>
    <w:uiPriority w:val="35"/>
    <w:rsid w:val="00DF4259"/>
    <w:rPr>
      <w:rFonts w:eastAsiaTheme="minorEastAsia"/>
      <w:b/>
      <w:bCs/>
      <w:color w:val="404040" w:themeColor="text1" w:themeTint="BF"/>
      <w:kern w:val="0"/>
      <w:sz w:val="16"/>
      <w:szCs w:val="16"/>
      <w:lang w:val="en-US" w:eastAsia="zh-CN"/>
      <w14:ligatures w14:val="none"/>
    </w:rPr>
  </w:style>
  <w:style w:type="table" w:styleId="TableGrid">
    <w:name w:val="Table Grid"/>
    <w:basedOn w:val="TableNormal"/>
    <w:uiPriority w:val="39"/>
    <w:rsid w:val="00DF425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ionthesis">
    <w:name w:val="Caption thesis"/>
    <w:basedOn w:val="Caption"/>
    <w:link w:val="CaptionthesisChar"/>
    <w:qFormat/>
    <w:rsid w:val="00DF4259"/>
    <w:pPr>
      <w:spacing w:line="360" w:lineRule="auto"/>
    </w:pPr>
    <w:rPr>
      <w:rFonts w:cstheme="minorHAnsi"/>
      <w:b w:val="0"/>
    </w:rPr>
  </w:style>
  <w:style w:type="character" w:customStyle="1" w:styleId="CaptionthesisChar">
    <w:name w:val="Caption thesis Char"/>
    <w:basedOn w:val="CaptionChar"/>
    <w:link w:val="Captionthesis"/>
    <w:rsid w:val="00DF4259"/>
    <w:rPr>
      <w:rFonts w:eastAsiaTheme="minorEastAsia" w:cstheme="minorHAnsi"/>
      <w:b w:val="0"/>
      <w:bCs/>
      <w:color w:val="404040" w:themeColor="text1" w:themeTint="BF"/>
      <w:kern w:val="0"/>
      <w:sz w:val="16"/>
      <w:szCs w:val="16"/>
      <w:lang w:val="en-US" w:eastAsia="zh-CN"/>
      <w14:ligatures w14:val="none"/>
    </w:rPr>
  </w:style>
  <w:style w:type="paragraph" w:customStyle="1" w:styleId="Textthesis">
    <w:name w:val="Text thesis"/>
    <w:basedOn w:val="Normal"/>
    <w:link w:val="TextthesisChar"/>
    <w:qFormat/>
    <w:rsid w:val="00DF4259"/>
    <w:pPr>
      <w:spacing w:line="360" w:lineRule="auto"/>
    </w:pPr>
    <w:rPr>
      <w:rFonts w:cstheme="minorHAnsi"/>
      <w:sz w:val="24"/>
      <w:szCs w:val="24"/>
      <w:lang w:val="en-US"/>
    </w:rPr>
  </w:style>
  <w:style w:type="character" w:customStyle="1" w:styleId="TextthesisChar">
    <w:name w:val="Text thesis Char"/>
    <w:basedOn w:val="DefaultParagraphFont"/>
    <w:link w:val="Textthesis"/>
    <w:rsid w:val="00DF4259"/>
    <w:rPr>
      <w:rFonts w:eastAsiaTheme="minorEastAsia" w:cstheme="minorHAnsi"/>
      <w:kern w:val="0"/>
      <w:sz w:val="24"/>
      <w:szCs w:val="24"/>
      <w:lang w:val="en-US" w:eastAsia="zh-CN"/>
      <w14:ligatures w14:val="none"/>
    </w:rPr>
  </w:style>
  <w:style w:type="paragraph" w:styleId="ListParagraph">
    <w:name w:val="List Paragraph"/>
    <w:basedOn w:val="Normal"/>
    <w:uiPriority w:val="34"/>
    <w:qFormat/>
    <w:rsid w:val="00DF4259"/>
    <w:pPr>
      <w:spacing w:after="240" w:line="360" w:lineRule="auto"/>
      <w:ind w:left="720"/>
      <w:contextualSpacing/>
      <w:jc w:val="both"/>
    </w:pPr>
    <w:rPr>
      <w:rFonts w:asciiTheme="majorHAnsi" w:eastAsiaTheme="minorHAnsi" w:hAnsiTheme="majorHAnsi"/>
      <w:sz w:val="24"/>
      <w:szCs w:val="22"/>
      <w:lang w:val="en-US" w:eastAsia="en-US"/>
    </w:rPr>
  </w:style>
  <w:style w:type="paragraph" w:customStyle="1" w:styleId="c-article-author-listitem">
    <w:name w:val="c-article-author-list__item"/>
    <w:basedOn w:val="Normal"/>
    <w:rsid w:val="00DF4259"/>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DF4259"/>
    <w:rPr>
      <w:color w:val="0000FF"/>
      <w:u w:val="single"/>
    </w:rPr>
  </w:style>
  <w:style w:type="character" w:styleId="LineNumber">
    <w:name w:val="line number"/>
    <w:basedOn w:val="DefaultParagraphFont"/>
    <w:uiPriority w:val="99"/>
    <w:semiHidden/>
    <w:unhideWhenUsed/>
    <w:rsid w:val="00DF42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18" Type="http://schemas.openxmlformats.org/officeDocument/2006/relationships/image" Target="media/image13.sv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sv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www.kruss-scientific.com/en/products-services/products/tensiio"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2882</Words>
  <Characters>16429</Characters>
  <Application>Microsoft Office Word</Application>
  <DocSecurity>0</DocSecurity>
  <Lines>136</Lines>
  <Paragraphs>38</Paragraphs>
  <ScaleCrop>false</ScaleCrop>
  <Company/>
  <LinksUpToDate>false</LinksUpToDate>
  <CharactersWithSpaces>19273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Moreno Tortolero</dc:creator>
  <cp:keywords/>
  <dc:description/>
  <cp:lastModifiedBy>Rafael Moreno Tortolero</cp:lastModifiedBy>
  <cp:revision>1</cp:revision>
  <dcterms:created xsi:type="dcterms:W3CDTF">2024-03-19T13:51:00Z</dcterms:created>
  <dcterms:modified xsi:type="dcterms:W3CDTF">2024-03-19T13:52:00Z</dcterms:modified>
</cp:coreProperties>
</file>