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宋体" w:cs="Times New Roman"/>
          <w:b/>
          <w:szCs w:val="21"/>
        </w:rPr>
      </w:pPr>
      <w:r>
        <w:rPr>
          <w:rFonts w:hint="eastAsia"/>
          <w:b/>
          <w:bCs/>
          <w:szCs w:val="21"/>
          <w:lang w:val="en-US" w:eastAsia="zh-CN"/>
        </w:rPr>
        <w:t>Table</w:t>
      </w:r>
      <w:r>
        <w:rPr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  <w:lang w:val="en-US" w:eastAsia="zh-CN"/>
        </w:rPr>
        <w:t>S</w:t>
      </w:r>
      <w:r>
        <w:rPr>
          <w:b/>
          <w:bCs/>
          <w:szCs w:val="21"/>
        </w:rPr>
        <w:t xml:space="preserve">2. </w:t>
      </w:r>
      <w:r>
        <w:rPr>
          <w:rFonts w:eastAsia="宋体" w:cs="Times New Roman"/>
          <w:b/>
          <w:szCs w:val="21"/>
        </w:rPr>
        <w:t>Relationship between the changes in BTM and in blood cells and the change in 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i/>
                <w:iCs/>
                <w:szCs w:val="21"/>
              </w:rPr>
              <w:t>r</w:t>
            </w:r>
          </w:p>
        </w:tc>
        <w:tc>
          <w:tcPr>
            <w:tcW w:w="284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CTX (0-2 W)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-0.091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PINP (0-2 W)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-0.228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Change in CTX (0-6 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-0.281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0.045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Change in PINP (0-6 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-0.323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Change in CTX (0-12 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-0.288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0.042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PINP (0-12 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-0.195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WBC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0.110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0.173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0.104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0.216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-0.112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Change in 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-0.348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b/>
                <w:bCs/>
                <w:sz w:val="21"/>
                <w:szCs w:val="21"/>
                <w:vertAlign w:val="baseline"/>
                <w:lang w:eastAsia="zh-Hans"/>
              </w:rPr>
              <w:t>0.030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RBC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-0.046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PLT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0.237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0.147</w:t>
            </w:r>
          </w:p>
        </w:tc>
      </w:tr>
    </w:tbl>
    <w:p>
      <w:pP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</w:pPr>
      <w:r>
        <w:rPr>
          <w:rFonts w:hint="default" w:asciiTheme="minorAscii" w:hAnsiTheme="minorAscii"/>
          <w:bCs/>
          <w:sz w:val="21"/>
          <w:szCs w:val="21"/>
        </w:rPr>
        <w:t xml:space="preserve">T: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temperature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 xml:space="preserve">; </w:t>
      </w:r>
      <w:r>
        <w:rPr>
          <w:rFonts w:hint="default" w:asciiTheme="minorAscii" w:hAnsiTheme="minorAscii"/>
          <w:bCs/>
          <w:sz w:val="21"/>
          <w:szCs w:val="21"/>
        </w:rPr>
        <w:t xml:space="preserve">BTM: bone turnover marker; CTX: cross-linked C-telopeptide of type I collagen;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>P</w:t>
      </w:r>
      <w:r>
        <w:rPr>
          <w:rFonts w:hint="default" w:asciiTheme="minorAscii" w:hAnsiTheme="minorAscii"/>
          <w:bCs/>
          <w:sz w:val="21"/>
          <w:szCs w:val="21"/>
        </w:rPr>
        <w:t>1NP: N-terminal propeptide of type I collagen;  WBC: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CN" w:bidi="ar"/>
        </w:rPr>
        <w:t xml:space="preserve"> white blood cell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CN" w:bidi="ar"/>
        </w:rPr>
        <w:t>; N: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CN" w:bidi="ar"/>
        </w:rPr>
        <w:t>neutrophil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CN" w:bidi="ar"/>
        </w:rPr>
        <w:t xml:space="preserve">; L: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lymphocyte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 xml:space="preserve">; M: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monocyte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 xml:space="preserve">; E: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e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 xml:space="preserve">osinophil; B: basophil; RBC: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red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CN" w:bidi="ar"/>
        </w:rPr>
        <w:t xml:space="preserve"> blood cell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CN" w:bidi="ar"/>
        </w:rPr>
        <w:t xml:space="preserve">; PLT: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platelet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>.</w:t>
      </w:r>
    </w:p>
    <w:p>
      <w:pPr>
        <w:rPr>
          <w:rFonts w:eastAsia="AdvOT45bf69de . BI" w:cs="AdvOT45bf69de . BI"/>
          <w:color w:val="000000"/>
          <w:kern w:val="0"/>
          <w:szCs w:val="21"/>
          <w:lang w:bidi="ar"/>
        </w:rPr>
      </w:pPr>
    </w:p>
    <w:p>
      <w:pPr>
        <w:spacing w:line="360" w:lineRule="auto"/>
        <w:rPr>
          <w:sz w:val="24"/>
          <w:highlight w:val="none"/>
        </w:rPr>
      </w:pPr>
      <w:r>
        <w:rPr>
          <w:rFonts w:eastAsia="宋体" w:cs="Times New Roman"/>
          <w:b/>
          <w:sz w:val="24"/>
          <w:highlight w:val="none"/>
        </w:rPr>
        <w:t>Relationship between the changes in BTM and in blood cells and the change in T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The correlation between the changes in BTM and in blood cells and the change in T within three days after treatment </w:t>
      </w:r>
      <w:r>
        <w:rPr>
          <w:rFonts w:ascii="Calibri" w:hAnsi="Calibri" w:eastAsia="宋体" w:cs="Times New Roman"/>
          <w:sz w:val="24"/>
        </w:rPr>
        <w:t>is</w:t>
      </w:r>
      <w:r>
        <w:rPr>
          <w:sz w:val="24"/>
        </w:rPr>
        <w:t xml:space="preserve"> shown in </w:t>
      </w:r>
      <w:r>
        <w:rPr>
          <w:rFonts w:hint="eastAsia"/>
          <w:sz w:val="24"/>
          <w:lang w:val="en-US" w:eastAsia="zh-CN"/>
        </w:rPr>
        <w:t>Table S</w:t>
      </w:r>
      <w:r>
        <w:rPr>
          <w:sz w:val="24"/>
        </w:rPr>
        <w:t>2. The changes in CTX in Month 6 and Month 12, the change in PINP in Month 6 and the change in monocyte counts in Week 2 after administration</w:t>
      </w:r>
      <w:r>
        <w:rPr>
          <w:rFonts w:ascii="Calibri" w:hAnsi="Calibri" w:eastAsia="宋体" w:cs="Times New Roman"/>
          <w:sz w:val="24"/>
        </w:rPr>
        <w:t xml:space="preserve"> of</w:t>
      </w:r>
      <w:r>
        <w:rPr>
          <w:sz w:val="24"/>
        </w:rPr>
        <w:t xml:space="preserve"> zoledronic acid were significantly correlated with the changes </w:t>
      </w:r>
      <w:r>
        <w:rPr>
          <w:rFonts w:ascii="Calibri" w:hAnsi="Calibri" w:eastAsia="宋体" w:cs="Times New Roman"/>
          <w:sz w:val="24"/>
        </w:rPr>
        <w:t>in</w:t>
      </w:r>
      <w:r>
        <w:rPr>
          <w:sz w:val="24"/>
        </w:rPr>
        <w:t xml:space="preserve"> T.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dvOT45bf69de . B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0C81"/>
    <w:rsid w:val="7F3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2024-02-19T15:34:00Z</dcterms:created>
  <dc:creator>杜艳萍</dc:creator>
  <cp:lastModifiedBy>杜艳萍</cp:lastModifiedBy>
  <dcterms:modified xsi:type="dcterms:W3CDTF">2024-02-19T15:34:55Z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501CCC6F61606A839604D36555F323C0_41</vt:lpwstr>
  </property>
</Properties>
</file>