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27816" w14:textId="77777777" w:rsidR="00C026DB" w:rsidRDefault="00C026DB" w:rsidP="00C026DB">
      <w:pPr>
        <w:widowControl/>
        <w:spacing w:line="480" w:lineRule="auto"/>
        <w:rPr>
          <w:rFonts w:ascii="Times New Roman" w:hAnsi="Times New Roman" w:cs="Times New Roman"/>
          <w:b/>
          <w:bCs/>
          <w:color w:val="000000" w:themeColor="text1"/>
          <w:szCs w:val="20"/>
        </w:rPr>
      </w:pPr>
      <w:r>
        <w:rPr>
          <w:rFonts w:ascii="Times New Roman" w:hAnsi="Times New Roman" w:cs="Times New Roman"/>
          <w:b/>
          <w:bCs/>
          <w:color w:val="000000" w:themeColor="text1"/>
          <w:szCs w:val="20"/>
        </w:rPr>
        <w:t>Supplementary Methods</w:t>
      </w:r>
    </w:p>
    <w:p w14:paraId="11E5A7BB" w14:textId="77777777" w:rsidR="00C026DB" w:rsidRDefault="00C026DB" w:rsidP="00C026DB">
      <w:pPr>
        <w:widowControl/>
        <w:spacing w:line="480" w:lineRule="auto"/>
        <w:rPr>
          <w:rFonts w:ascii="Times New Roman" w:hAnsi="Times New Roman" w:cs="Times New Roman"/>
          <w:b/>
          <w:bCs/>
          <w:i/>
          <w:iCs/>
          <w:color w:val="000000" w:themeColor="text1"/>
          <w:szCs w:val="20"/>
        </w:rPr>
      </w:pPr>
      <w:r>
        <w:rPr>
          <w:rFonts w:ascii="Times New Roman" w:hAnsi="Times New Roman" w:cs="Times New Roman"/>
          <w:b/>
          <w:bCs/>
          <w:i/>
          <w:iCs/>
          <w:color w:val="000000" w:themeColor="text1"/>
          <w:szCs w:val="20"/>
        </w:rPr>
        <w:t>Sample preparation for Untargeted and Targeted Metabolite Analysis</w:t>
      </w:r>
    </w:p>
    <w:p w14:paraId="32606C34" w14:textId="77777777" w:rsidR="00C026DB" w:rsidRDefault="00C026DB" w:rsidP="00C026DB">
      <w:pPr>
        <w:widowControl/>
        <w:spacing w:line="480" w:lineRule="auto"/>
        <w:ind w:firstLine="800"/>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Serum samples (100 µL) were subjected to extraction using an extraction solution (400 µL) in a 2 mL microcentrifuge tube. For untargeted metabolite profiling and bile acid analysis, 50% methanol was used, while 100% methanol was used for tryptophan metabolite analysis. The samples were then vortexed for 10 min and sonicated for 10 min at room temperature. Upon centrifugation at 13,000 rpm for 10 min at 4 °C, the resulting supernatant was filtered through a 0.2-μm polytetrafluoroethylene syringe filter. The filtered supernatant was used for bile acid and tryptophan metabolite analysis. For untargeted metabolite profiling, all </w:t>
      </w:r>
      <w:r>
        <w:rPr>
          <w:rFonts w:ascii="Times New Roman" w:eastAsia="맑은 고딕" w:hAnsi="Times New Roman" w:cs="Times New Roman"/>
          <w:color w:val="000000"/>
          <w:szCs w:val="20"/>
          <w:u w:color="FFFFFF"/>
        </w:rPr>
        <w:t>the samples were desiccated using a speed vacuum concentrator (</w:t>
      </w:r>
      <w:proofErr w:type="spellStart"/>
      <w:r>
        <w:rPr>
          <w:rFonts w:ascii="Times New Roman" w:eastAsia="맑은 고딕" w:hAnsi="Times New Roman" w:cs="Times New Roman"/>
          <w:color w:val="000000"/>
          <w:szCs w:val="20"/>
          <w:u w:color="FFFFFF"/>
        </w:rPr>
        <w:t>Labogene</w:t>
      </w:r>
      <w:proofErr w:type="spellEnd"/>
      <w:r>
        <w:rPr>
          <w:rFonts w:ascii="Times New Roman" w:eastAsia="맑은 고딕" w:hAnsi="Times New Roman" w:cs="Times New Roman"/>
          <w:color w:val="000000"/>
          <w:szCs w:val="20"/>
          <w:u w:color="FFFFFF"/>
        </w:rPr>
        <w:t xml:space="preserve">, Daejeon, Republic of Korea). The dried samples were then derivatized by the addition of 40 </w:t>
      </w:r>
      <w:proofErr w:type="spellStart"/>
      <w:r>
        <w:rPr>
          <w:rFonts w:ascii="Times New Roman" w:eastAsia="맑은 고딕" w:hAnsi="Times New Roman" w:cs="Times New Roman"/>
          <w:color w:val="000000"/>
          <w:szCs w:val="20"/>
          <w:u w:color="FFFFFF"/>
        </w:rPr>
        <w:t>μL</w:t>
      </w:r>
      <w:proofErr w:type="spellEnd"/>
      <w:r>
        <w:rPr>
          <w:rFonts w:ascii="Times New Roman" w:eastAsia="맑은 고딕" w:hAnsi="Times New Roman" w:cs="Times New Roman"/>
          <w:color w:val="000000"/>
          <w:szCs w:val="20"/>
          <w:u w:color="FFFFFF"/>
        </w:rPr>
        <w:t xml:space="preserve"> of </w:t>
      </w:r>
      <w:proofErr w:type="spellStart"/>
      <w:r>
        <w:rPr>
          <w:rFonts w:ascii="Times New Roman" w:eastAsia="맑은 고딕" w:hAnsi="Times New Roman" w:cs="Times New Roman"/>
          <w:color w:val="000000"/>
          <w:szCs w:val="20"/>
          <w:u w:color="FFFFFF"/>
        </w:rPr>
        <w:t>methoxyamine</w:t>
      </w:r>
      <w:proofErr w:type="spellEnd"/>
      <w:r>
        <w:rPr>
          <w:rFonts w:ascii="Times New Roman" w:eastAsia="맑은 고딕" w:hAnsi="Times New Roman" w:cs="Times New Roman"/>
          <w:color w:val="000000"/>
          <w:szCs w:val="20"/>
          <w:u w:color="FFFFFF"/>
        </w:rPr>
        <w:t xml:space="preserve"> hydrochloride in pyridine (20 mg/mL) at 30 °C for 120 min, followed by the addition of N-methyl-N-(trimethylsilyl) trifluoroacetamide (MSTFA) at 37 °C for 60 min.</w:t>
      </w:r>
    </w:p>
    <w:p w14:paraId="3823D45E" w14:textId="77777777" w:rsidR="00C026DB" w:rsidRDefault="00C026DB" w:rsidP="00C026DB">
      <w:pPr>
        <w:spacing w:line="480" w:lineRule="auto"/>
        <w:rPr>
          <w:rFonts w:ascii="Times New Roman" w:hAnsi="Times New Roman" w:cs="Times New Roman"/>
          <w:b/>
          <w:bCs/>
          <w:color w:val="000000" w:themeColor="text1"/>
          <w:szCs w:val="20"/>
        </w:rPr>
      </w:pPr>
    </w:p>
    <w:p w14:paraId="5196ECF2" w14:textId="77777777" w:rsidR="00C026DB" w:rsidRDefault="00C026DB" w:rsidP="00C026DB">
      <w:pPr>
        <w:spacing w:line="480" w:lineRule="auto"/>
        <w:rPr>
          <w:rFonts w:ascii="Times New Roman" w:hAnsi="Times New Roman" w:cs="Times New Roman"/>
          <w:b/>
          <w:bCs/>
          <w:i/>
          <w:iCs/>
          <w:color w:val="000000" w:themeColor="text1"/>
          <w:szCs w:val="20"/>
        </w:rPr>
      </w:pPr>
      <w:r>
        <w:rPr>
          <w:rFonts w:ascii="Times New Roman" w:hAnsi="Times New Roman" w:cs="Times New Roman"/>
          <w:b/>
          <w:bCs/>
          <w:i/>
          <w:iCs/>
          <w:color w:val="000000" w:themeColor="text1"/>
          <w:szCs w:val="20"/>
        </w:rPr>
        <w:t>Untargeted Metabolite Profiling using GC-TOF-MS</w:t>
      </w:r>
    </w:p>
    <w:p w14:paraId="260CCEBE" w14:textId="77777777" w:rsidR="00C026DB" w:rsidRDefault="00C026DB" w:rsidP="00C026DB">
      <w:pPr>
        <w:spacing w:line="480" w:lineRule="auto"/>
        <w:rPr>
          <w:rFonts w:ascii="Times New Roman" w:hAnsi="Times New Roman" w:cs="Times New Roman"/>
          <w:color w:val="000000" w:themeColor="text1"/>
          <w:szCs w:val="20"/>
        </w:rPr>
      </w:pPr>
      <w:r>
        <w:rPr>
          <w:rFonts w:ascii="Times New Roman" w:hAnsi="Times New Roman" w:cs="Times New Roman"/>
          <w:color w:val="000000" w:themeColor="text1"/>
          <w:szCs w:val="20"/>
        </w:rPr>
        <w:tab/>
        <w:t xml:space="preserve">Untargeted serum metabolic profiling was performed using an Agilent 7890 gas chromatography system (Agilent Technologies, Palo Alto, CA, USA) coupled to a PAL-3 autosampler (CTC Analytics AG, </w:t>
      </w:r>
      <w:proofErr w:type="spellStart"/>
      <w:r>
        <w:rPr>
          <w:rFonts w:ascii="Times New Roman" w:hAnsi="Times New Roman" w:cs="Times New Roman"/>
          <w:color w:val="000000" w:themeColor="text1"/>
          <w:szCs w:val="20"/>
        </w:rPr>
        <w:t>Zwingen</w:t>
      </w:r>
      <w:proofErr w:type="spellEnd"/>
      <w:r>
        <w:rPr>
          <w:rFonts w:ascii="Times New Roman" w:hAnsi="Times New Roman" w:cs="Times New Roman"/>
          <w:color w:val="000000" w:themeColor="text1"/>
          <w:szCs w:val="20"/>
        </w:rPr>
        <w:t>, Switzerland) equipped with a Pegasus BT-TOF MS (LECO Corp., St. Joseph, MI, USA) system. One microliter of the derivatized samples was injected and separated on an Rtx-5MS column (</w:t>
      </w:r>
      <w:proofErr w:type="spellStart"/>
      <w:r>
        <w:rPr>
          <w:rFonts w:ascii="Times New Roman" w:hAnsi="Times New Roman" w:cs="Times New Roman"/>
          <w:color w:val="000000" w:themeColor="text1"/>
          <w:szCs w:val="20"/>
        </w:rPr>
        <w:t>i.d.</w:t>
      </w:r>
      <w:proofErr w:type="spellEnd"/>
      <w:r>
        <w:rPr>
          <w:rFonts w:ascii="Times New Roman" w:hAnsi="Times New Roman" w:cs="Times New Roman"/>
          <w:color w:val="000000" w:themeColor="text1"/>
          <w:szCs w:val="20"/>
        </w:rPr>
        <w:t xml:space="preserve">, 30 m × 0.25 mm, 0.25 µm particle size; </w:t>
      </w:r>
      <w:proofErr w:type="spellStart"/>
      <w:r>
        <w:rPr>
          <w:rFonts w:ascii="Times New Roman" w:hAnsi="Times New Roman" w:cs="Times New Roman"/>
          <w:color w:val="000000" w:themeColor="text1"/>
          <w:szCs w:val="20"/>
        </w:rPr>
        <w:t>Restek</w:t>
      </w:r>
      <w:proofErr w:type="spellEnd"/>
      <w:r>
        <w:rPr>
          <w:rFonts w:ascii="Times New Roman" w:hAnsi="Times New Roman" w:cs="Times New Roman"/>
          <w:color w:val="000000" w:themeColor="text1"/>
          <w:szCs w:val="20"/>
        </w:rPr>
        <w:t xml:space="preserve"> Corp., Bellefonte, PA, USA). Helium </w:t>
      </w:r>
      <w:r>
        <w:rPr>
          <w:rFonts w:ascii="Times New Roman" w:eastAsia="맑은 고딕" w:hAnsi="Times New Roman" w:cs="Times New Roman"/>
          <w:color w:val="000000"/>
          <w:szCs w:val="20"/>
          <w:u w:color="FFFFFF"/>
        </w:rPr>
        <w:t>was use</w:t>
      </w:r>
      <w:r>
        <w:rPr>
          <w:rFonts w:ascii="Times New Roman" w:hAnsi="Times New Roman" w:cs="Times New Roman"/>
          <w:color w:val="000000" w:themeColor="text1"/>
          <w:szCs w:val="20"/>
        </w:rPr>
        <w:t xml:space="preserve">d as the carrier gas at a 1.0 mL/min flow rate. The oven temperature was initially held at 75 °C for 2 min, then incrementally increased by 300 °C with a 15°C/min hold, and maintained for 3 min. Both the front inlet and transfer line temperatures were set at 250 °C. Electron ionization operated at -70 eV, and the full-scan mode from 45 to 600 m/z was employed for mass data collection. </w:t>
      </w:r>
      <w:r>
        <w:rPr>
          <w:rFonts w:ascii="Times New Roman" w:eastAsia="맑은 고딕" w:hAnsi="Times New Roman" w:cs="Times New Roman"/>
          <w:color w:val="000000"/>
          <w:szCs w:val="20"/>
          <w:u w:color="FFFFFF"/>
        </w:rPr>
        <w:t>Raw GC-TOF-MS</w:t>
      </w:r>
      <w:r>
        <w:rPr>
          <w:rFonts w:ascii="Times New Roman" w:hAnsi="Times New Roman" w:cs="Times New Roman"/>
          <w:color w:val="000000" w:themeColor="text1"/>
          <w:szCs w:val="20"/>
        </w:rPr>
        <w:t xml:space="preserve"> data were converted to CDF (</w:t>
      </w:r>
      <w:proofErr w:type="spellStart"/>
      <w:r>
        <w:rPr>
          <w:rFonts w:ascii="Times New Roman" w:hAnsi="Times New Roman" w:cs="Times New Roman"/>
          <w:color w:val="000000" w:themeColor="text1"/>
          <w:szCs w:val="20"/>
        </w:rPr>
        <w:t>NetCDF</w:t>
      </w:r>
      <w:proofErr w:type="spellEnd"/>
      <w:r>
        <w:rPr>
          <w:rFonts w:ascii="Times New Roman" w:hAnsi="Times New Roman" w:cs="Times New Roman"/>
          <w:color w:val="000000" w:themeColor="text1"/>
          <w:szCs w:val="20"/>
        </w:rPr>
        <w:t xml:space="preserve">) files using LECO Chroma TOF software (version 5.40, LECO Corp.). </w:t>
      </w:r>
      <w:r>
        <w:rPr>
          <w:rFonts w:ascii="Times New Roman" w:eastAsia="맑은 고딕" w:hAnsi="Times New Roman" w:cs="Times New Roman"/>
          <w:color w:val="000000"/>
          <w:szCs w:val="20"/>
          <w:u w:color="FFFFFF"/>
        </w:rPr>
        <w:t xml:space="preserve">After </w:t>
      </w:r>
      <w:r>
        <w:rPr>
          <w:rFonts w:ascii="Times New Roman" w:hAnsi="Times New Roman" w:cs="Times New Roman"/>
          <w:color w:val="000000" w:themeColor="text1"/>
          <w:szCs w:val="20"/>
        </w:rPr>
        <w:t xml:space="preserve">conversion, the </w:t>
      </w:r>
      <w:proofErr w:type="spellStart"/>
      <w:r>
        <w:rPr>
          <w:rFonts w:ascii="Times New Roman" w:hAnsi="Times New Roman" w:cs="Times New Roman"/>
          <w:color w:val="000000" w:themeColor="text1"/>
          <w:szCs w:val="20"/>
        </w:rPr>
        <w:t>MetAlign</w:t>
      </w:r>
      <w:proofErr w:type="spellEnd"/>
      <w:r>
        <w:rPr>
          <w:rFonts w:ascii="Times New Roman" w:hAnsi="Times New Roman" w:cs="Times New Roman"/>
          <w:color w:val="000000" w:themeColor="text1"/>
          <w:szCs w:val="20"/>
        </w:rPr>
        <w:t xml:space="preserve"> software package (http://www.metalign.nl) was used for peak detection, retention-time correction, and alignment</w:t>
      </w:r>
      <w:r>
        <w:rPr>
          <w:rFonts w:ascii="Times New Roman" w:eastAsia="맑은 고딕" w:hAnsi="Times New Roman" w:cs="Times New Roman"/>
          <w:color w:val="000000"/>
          <w:szCs w:val="20"/>
          <w:u w:color="FFFFFF"/>
        </w:rPr>
        <w:t xml:space="preserve"> analysis. Multivariate statistical analysis was conducted using the SIMCA P+ software (version 16.0</w:t>
      </w:r>
      <w:r>
        <w:rPr>
          <w:rFonts w:ascii="Times New Roman" w:hAnsi="Times New Roman" w:cs="Times New Roman"/>
          <w:color w:val="000000" w:themeColor="text1"/>
          <w:szCs w:val="20"/>
        </w:rPr>
        <w:t xml:space="preserve">; </w:t>
      </w:r>
      <w:proofErr w:type="spellStart"/>
      <w:r>
        <w:rPr>
          <w:rFonts w:ascii="Times New Roman" w:hAnsi="Times New Roman" w:cs="Times New Roman"/>
          <w:color w:val="000000" w:themeColor="text1"/>
          <w:szCs w:val="20"/>
        </w:rPr>
        <w:t>Umetrics</w:t>
      </w:r>
      <w:proofErr w:type="spellEnd"/>
      <w:r>
        <w:rPr>
          <w:rFonts w:ascii="Times New Roman" w:hAnsi="Times New Roman" w:cs="Times New Roman"/>
          <w:color w:val="000000" w:themeColor="text1"/>
          <w:szCs w:val="20"/>
        </w:rPr>
        <w:t xml:space="preserve">, Umea, Sweden). The robustness and reproducibility of the MS analysis were ensured by analyzing </w:t>
      </w:r>
      <w:r>
        <w:rPr>
          <w:rFonts w:ascii="Times New Roman" w:eastAsia="맑은 고딕" w:hAnsi="Times New Roman" w:cs="Times New Roman"/>
          <w:color w:val="000000"/>
          <w:szCs w:val="20"/>
          <w:u w:color="FFFFFF"/>
        </w:rPr>
        <w:t xml:space="preserve">the sample extracts in blocks of 10 runs, followed </w:t>
      </w:r>
      <w:r>
        <w:rPr>
          <w:rFonts w:ascii="Times New Roman" w:eastAsia="맑은 고딕" w:hAnsi="Times New Roman" w:cs="Times New Roman"/>
          <w:color w:val="000000"/>
          <w:szCs w:val="20"/>
          <w:u w:color="FFFFFF"/>
        </w:rPr>
        <w:lastRenderedPageBreak/>
        <w:t xml:space="preserve">by </w:t>
      </w:r>
      <w:r>
        <w:rPr>
          <w:rFonts w:ascii="Times New Roman" w:hAnsi="Times New Roman" w:cs="Times New Roman"/>
          <w:color w:val="000000" w:themeColor="text1"/>
          <w:szCs w:val="20"/>
        </w:rPr>
        <w:t xml:space="preserve">the injection of a quality control sample created with pooled samples. Randomized runs were performed for </w:t>
      </w:r>
      <w:r>
        <w:rPr>
          <w:rFonts w:ascii="Times New Roman" w:eastAsia="맑은 고딕" w:hAnsi="Times New Roman" w:cs="Times New Roman"/>
          <w:color w:val="000000"/>
          <w:szCs w:val="20"/>
          <w:u w:color="FFFFFF"/>
        </w:rPr>
        <w:t>the analytical samples within each block. Furthermore, the potential analytical biases introduced during sample preparation and chromatographic runs were minimized by incorporating internal standards for data normalization, yielding adjusted quantitative parameters for the identified metabolites.</w:t>
      </w:r>
    </w:p>
    <w:p w14:paraId="546405CC" w14:textId="77777777" w:rsidR="00C026DB" w:rsidRDefault="00C026DB" w:rsidP="00C026DB">
      <w:pPr>
        <w:spacing w:line="480" w:lineRule="auto"/>
        <w:rPr>
          <w:rFonts w:ascii="Times New Roman" w:hAnsi="Times New Roman" w:cs="Times New Roman"/>
          <w:color w:val="000000" w:themeColor="text1"/>
          <w:szCs w:val="20"/>
        </w:rPr>
      </w:pPr>
    </w:p>
    <w:p w14:paraId="1C3F347C" w14:textId="77777777" w:rsidR="00C026DB" w:rsidRDefault="00C026DB" w:rsidP="00C026DB">
      <w:pPr>
        <w:spacing w:line="480" w:lineRule="auto"/>
        <w:rPr>
          <w:rFonts w:ascii="Times New Roman" w:hAnsi="Times New Roman" w:cs="Times New Roman"/>
          <w:b/>
          <w:bCs/>
          <w:i/>
          <w:iCs/>
          <w:color w:val="000000" w:themeColor="text1"/>
          <w:szCs w:val="20"/>
        </w:rPr>
      </w:pPr>
      <w:r>
        <w:rPr>
          <w:rFonts w:ascii="Times New Roman" w:hAnsi="Times New Roman" w:cs="Times New Roman"/>
          <w:b/>
          <w:bCs/>
          <w:i/>
          <w:iCs/>
          <w:color w:val="000000" w:themeColor="text1"/>
          <w:szCs w:val="20"/>
        </w:rPr>
        <w:t>Bile acid Analysis using LC-TQ-MS</w:t>
      </w:r>
      <w:r>
        <w:rPr>
          <w:rFonts w:ascii="Times New Roman" w:hAnsi="Times New Roman" w:cs="Times New Roman"/>
          <w:b/>
          <w:bCs/>
          <w:i/>
          <w:iCs/>
          <w:color w:val="000000" w:themeColor="text1"/>
          <w:szCs w:val="20"/>
        </w:rPr>
        <w:tab/>
        <w:t xml:space="preserve">  </w:t>
      </w:r>
    </w:p>
    <w:p w14:paraId="3FCD3690" w14:textId="77777777" w:rsidR="00C026DB" w:rsidRDefault="00C026DB" w:rsidP="00C026DB">
      <w:pPr>
        <w:spacing w:line="480" w:lineRule="auto"/>
        <w:ind w:firstLine="800"/>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Quantitative analysis of the bile acids was performed using a Shimadzu LCMS-8050 triple quadrupole tandem mass spectrometry (Shimadzu, Kyoto, Japan) coupled with a </w:t>
      </w:r>
      <w:proofErr w:type="spellStart"/>
      <w:r>
        <w:rPr>
          <w:rFonts w:ascii="Times New Roman" w:hAnsi="Times New Roman" w:cs="Times New Roman"/>
          <w:color w:val="000000" w:themeColor="text1"/>
          <w:szCs w:val="20"/>
        </w:rPr>
        <w:t>Kinetex</w:t>
      </w:r>
      <w:proofErr w:type="spellEnd"/>
      <w:r>
        <w:rPr>
          <w:rFonts w:ascii="Times New Roman" w:hAnsi="Times New Roman" w:cs="Times New Roman"/>
          <w:color w:val="000000" w:themeColor="text1"/>
          <w:szCs w:val="20"/>
        </w:rPr>
        <w:t xml:space="preserve"> EVO C18 column (100 × 2.1 mm I.D., 1.7 µm particle size) from Phenomenex (Torrance, CA, USA). The column temperature was maintained at 40 °C. Mobile phases A and B were prepared with 7.5 mM ammonium acetate adjusted to pH 4.0 with acetic acid and 5% acetonitrile in methanol, respectively. A gradient elution program was applied as follows: 55-65% of mobile phase B for 0.0-2.0 min; 65-70% of B for 2.0-3.0 min; 70-75% of B for 3.0-6.0 min; 75-95% of B for 6.0-8.0 min; 95% of B for 8.0-9.0 min; 55% of B for 9.0-10.0 min for re-equilibration. The flow rate was set at 0.3 mL/min, and the injection volume was 1 </w:t>
      </w:r>
      <w:proofErr w:type="spellStart"/>
      <w:r>
        <w:rPr>
          <w:rFonts w:ascii="Times New Roman" w:hAnsi="Times New Roman" w:cs="Times New Roman"/>
          <w:color w:val="000000" w:themeColor="text1"/>
          <w:szCs w:val="20"/>
        </w:rPr>
        <w:t>μL</w:t>
      </w:r>
      <w:proofErr w:type="spellEnd"/>
      <w:r>
        <w:rPr>
          <w:rFonts w:ascii="Times New Roman" w:hAnsi="Times New Roman" w:cs="Times New Roman"/>
          <w:color w:val="000000" w:themeColor="text1"/>
          <w:szCs w:val="20"/>
        </w:rPr>
        <w:t xml:space="preserve">. All analyses were conducted using electrospray ionization in the negative ion mode and detected in </w:t>
      </w:r>
      <w:r>
        <w:rPr>
          <w:rFonts w:ascii="Times New Roman" w:eastAsia="맑은 고딕" w:hAnsi="Times New Roman" w:cs="Times New Roman"/>
          <w:color w:val="000000"/>
          <w:szCs w:val="20"/>
          <w:u w:color="FFFFFF"/>
        </w:rPr>
        <w:t xml:space="preserve">the multiple reaction monitoring (MRM) mode. The quantifier transitions employed for each compound were as follows: m/z 407.4→343.3 for cholic acid, m/z 391.4→373.3 for chenodeoxycholic acid, m/z 391.5→345.4 for deoxycholic acid, m/z 464.5→74.1 for </w:t>
      </w:r>
      <w:proofErr w:type="spellStart"/>
      <w:r>
        <w:rPr>
          <w:rFonts w:ascii="Times New Roman" w:eastAsia="맑은 고딕" w:hAnsi="Times New Roman" w:cs="Times New Roman"/>
          <w:color w:val="000000"/>
          <w:szCs w:val="20"/>
          <w:u w:color="FFFFFF"/>
        </w:rPr>
        <w:t>glycocholic</w:t>
      </w:r>
      <w:proofErr w:type="spellEnd"/>
      <w:r>
        <w:rPr>
          <w:rFonts w:ascii="Times New Roman" w:eastAsia="맑은 고딕" w:hAnsi="Times New Roman" w:cs="Times New Roman"/>
          <w:color w:val="000000"/>
          <w:szCs w:val="20"/>
          <w:u w:color="FFFFFF"/>
        </w:rPr>
        <w:t xml:space="preserve"> acid, m/z 448.4→74.2 for </w:t>
      </w:r>
      <w:proofErr w:type="spellStart"/>
      <w:r>
        <w:rPr>
          <w:rFonts w:ascii="Times New Roman" w:eastAsia="맑은 고딕" w:hAnsi="Times New Roman" w:cs="Times New Roman"/>
          <w:color w:val="000000"/>
          <w:szCs w:val="20"/>
          <w:u w:color="FFFFFF"/>
        </w:rPr>
        <w:t>glycochenodeoxycholic</w:t>
      </w:r>
      <w:proofErr w:type="spellEnd"/>
      <w:r>
        <w:rPr>
          <w:rFonts w:ascii="Times New Roman" w:eastAsia="맑은 고딕" w:hAnsi="Times New Roman" w:cs="Times New Roman"/>
          <w:color w:val="000000"/>
          <w:szCs w:val="20"/>
          <w:u w:color="FFFFFF"/>
        </w:rPr>
        <w:t xml:space="preserve"> acid, m/z 448.5→74 for </w:t>
      </w:r>
      <w:proofErr w:type="spellStart"/>
      <w:r>
        <w:rPr>
          <w:rFonts w:ascii="Times New Roman" w:eastAsia="맑은 고딕" w:hAnsi="Times New Roman" w:cs="Times New Roman"/>
          <w:color w:val="000000"/>
          <w:szCs w:val="20"/>
          <w:u w:color="FFFFFF"/>
        </w:rPr>
        <w:t>glycodeoxycholic</w:t>
      </w:r>
      <w:proofErr w:type="spellEnd"/>
      <w:r>
        <w:rPr>
          <w:rFonts w:ascii="Times New Roman" w:eastAsia="맑은 고딕" w:hAnsi="Times New Roman" w:cs="Times New Roman"/>
          <w:color w:val="000000"/>
          <w:szCs w:val="20"/>
          <w:u w:color="FFFFFF"/>
        </w:rPr>
        <w:t xml:space="preserve"> acid, m/z 432.5→74.2 for </w:t>
      </w:r>
      <w:proofErr w:type="spellStart"/>
      <w:r>
        <w:rPr>
          <w:rFonts w:ascii="Times New Roman" w:eastAsia="맑은 고딕" w:hAnsi="Times New Roman" w:cs="Times New Roman"/>
          <w:color w:val="000000"/>
          <w:szCs w:val="20"/>
          <w:u w:color="FFFFFF"/>
        </w:rPr>
        <w:t>glycolithocholic</w:t>
      </w:r>
      <w:proofErr w:type="spellEnd"/>
      <w:r>
        <w:rPr>
          <w:rFonts w:ascii="Times New Roman" w:eastAsia="맑은 고딕" w:hAnsi="Times New Roman" w:cs="Times New Roman"/>
          <w:color w:val="000000"/>
          <w:szCs w:val="20"/>
          <w:u w:color="FFFFFF"/>
        </w:rPr>
        <w:t xml:space="preserve"> acid, m/z 448.5→74.1 for </w:t>
      </w:r>
      <w:proofErr w:type="spellStart"/>
      <w:r>
        <w:rPr>
          <w:rFonts w:ascii="Times New Roman" w:eastAsia="맑은 고딕" w:hAnsi="Times New Roman" w:cs="Times New Roman"/>
          <w:color w:val="000000"/>
          <w:szCs w:val="20"/>
          <w:u w:color="FFFFFF"/>
        </w:rPr>
        <w:t>glycoursodeoxycholic</w:t>
      </w:r>
      <w:proofErr w:type="spellEnd"/>
      <w:r>
        <w:rPr>
          <w:rFonts w:ascii="Times New Roman" w:eastAsia="맑은 고딕" w:hAnsi="Times New Roman" w:cs="Times New Roman"/>
          <w:color w:val="000000"/>
          <w:szCs w:val="20"/>
          <w:u w:color="FFFFFF"/>
        </w:rPr>
        <w:t xml:space="preserve"> acid, m/z 514.4→124.1 for taurocholic acid, m/z 498.4→107.1 for </w:t>
      </w:r>
      <w:proofErr w:type="spellStart"/>
      <w:r>
        <w:rPr>
          <w:rFonts w:ascii="Times New Roman" w:eastAsia="맑은 고딕" w:hAnsi="Times New Roman" w:cs="Times New Roman"/>
          <w:color w:val="000000"/>
          <w:szCs w:val="20"/>
          <w:u w:color="FFFFFF"/>
        </w:rPr>
        <w:t>taurochenodeoxycholic</w:t>
      </w:r>
      <w:proofErr w:type="spellEnd"/>
      <w:r>
        <w:rPr>
          <w:rFonts w:ascii="Times New Roman" w:eastAsia="맑은 고딕" w:hAnsi="Times New Roman" w:cs="Times New Roman"/>
          <w:color w:val="000000"/>
          <w:szCs w:val="20"/>
          <w:u w:color="FFFFFF"/>
        </w:rPr>
        <w:t xml:space="preserve"> acid, m/z 498.4→124.1 for </w:t>
      </w:r>
      <w:proofErr w:type="spellStart"/>
      <w:r>
        <w:rPr>
          <w:rFonts w:ascii="Times New Roman" w:eastAsia="맑은 고딕" w:hAnsi="Times New Roman" w:cs="Times New Roman"/>
          <w:color w:val="000000"/>
          <w:szCs w:val="20"/>
          <w:u w:color="FFFFFF"/>
        </w:rPr>
        <w:t>taurodeoxycholic</w:t>
      </w:r>
      <w:proofErr w:type="spellEnd"/>
      <w:r>
        <w:rPr>
          <w:rFonts w:ascii="Times New Roman" w:eastAsia="맑은 고딕" w:hAnsi="Times New Roman" w:cs="Times New Roman"/>
          <w:color w:val="000000"/>
          <w:szCs w:val="20"/>
          <w:u w:color="FFFFFF"/>
        </w:rPr>
        <w:t xml:space="preserve"> acid, m/z 482.4→107.1 for taurolithocholic acid, and m/z 498.4→124.1 for </w:t>
      </w:r>
      <w:proofErr w:type="spellStart"/>
      <w:r>
        <w:rPr>
          <w:rFonts w:ascii="Times New Roman" w:eastAsia="맑은 고딕" w:hAnsi="Times New Roman" w:cs="Times New Roman"/>
          <w:color w:val="000000"/>
          <w:szCs w:val="20"/>
          <w:u w:color="FFFFFF"/>
        </w:rPr>
        <w:t>tauroursodeoxycholic</w:t>
      </w:r>
      <w:proofErr w:type="spellEnd"/>
      <w:r>
        <w:rPr>
          <w:rFonts w:ascii="Times New Roman" w:eastAsia="맑은 고딕" w:hAnsi="Times New Roman" w:cs="Times New Roman"/>
          <w:color w:val="000000"/>
          <w:szCs w:val="20"/>
          <w:u w:color="FFFFFF"/>
        </w:rPr>
        <w:t xml:space="preserve"> acid.</w:t>
      </w:r>
    </w:p>
    <w:p w14:paraId="3EB31106" w14:textId="77777777" w:rsidR="00C026DB" w:rsidRDefault="00C026DB" w:rsidP="00C026DB">
      <w:pPr>
        <w:spacing w:line="480" w:lineRule="auto"/>
        <w:rPr>
          <w:rFonts w:ascii="Times New Roman" w:hAnsi="Times New Roman" w:cs="Times New Roman"/>
          <w:color w:val="000000" w:themeColor="text1"/>
          <w:szCs w:val="20"/>
        </w:rPr>
      </w:pPr>
    </w:p>
    <w:p w14:paraId="76A0DD6E" w14:textId="77777777" w:rsidR="00C026DB" w:rsidRDefault="00C026DB" w:rsidP="00C026DB">
      <w:pPr>
        <w:spacing w:line="480" w:lineRule="auto"/>
        <w:rPr>
          <w:rFonts w:ascii="Times New Roman" w:hAnsi="Times New Roman" w:cs="Times New Roman"/>
          <w:b/>
          <w:bCs/>
          <w:color w:val="000000" w:themeColor="text1"/>
          <w:szCs w:val="20"/>
        </w:rPr>
      </w:pPr>
      <w:r>
        <w:rPr>
          <w:rFonts w:ascii="Times New Roman" w:hAnsi="Times New Roman" w:cs="Times New Roman"/>
          <w:b/>
          <w:bCs/>
          <w:i/>
          <w:iCs/>
          <w:color w:val="000000" w:themeColor="text1"/>
          <w:szCs w:val="20"/>
        </w:rPr>
        <w:t>Tryptophan Metabolites Analysis using LC-TQ-MS</w:t>
      </w:r>
      <w:r>
        <w:rPr>
          <w:rFonts w:ascii="Times New Roman" w:hAnsi="Times New Roman" w:cs="Times New Roman"/>
          <w:b/>
          <w:bCs/>
          <w:color w:val="000000" w:themeColor="text1"/>
          <w:szCs w:val="20"/>
        </w:rPr>
        <w:tab/>
      </w:r>
    </w:p>
    <w:p w14:paraId="145BC564" w14:textId="77777777" w:rsidR="00C026DB" w:rsidRDefault="00C026DB" w:rsidP="00C026DB">
      <w:pPr>
        <w:spacing w:line="480" w:lineRule="auto"/>
        <w:ind w:firstLine="800"/>
        <w:rPr>
          <w:rFonts w:ascii="Times New Roman" w:hAnsi="Times New Roman" w:cs="Times New Roman"/>
          <w:color w:val="000000" w:themeColor="text1"/>
          <w:szCs w:val="20"/>
        </w:rPr>
      </w:pPr>
      <w:r>
        <w:rPr>
          <w:rFonts w:ascii="Times New Roman" w:hAnsi="Times New Roman" w:cs="Times New Roman"/>
          <w:color w:val="000000" w:themeColor="text1"/>
          <w:szCs w:val="20"/>
        </w:rPr>
        <w:t xml:space="preserve">Quantitative analysis of tryptophan metabolites was conducted using a Shimadzu LCMS-8050 triple quadrupole tandem mass spectrometry detector (Shimadzu, Kyoto, Japan) coupled with an ACQUITY UPLC HSS T3 Column (150 × 2.1 mm I.D., 1.8 µm particle size) from Waters (Torrance, CA, USA). The column </w:t>
      </w:r>
      <w:r>
        <w:rPr>
          <w:rFonts w:ascii="Times New Roman" w:hAnsi="Times New Roman" w:cs="Times New Roman"/>
          <w:color w:val="000000" w:themeColor="text1"/>
          <w:szCs w:val="20"/>
        </w:rPr>
        <w:lastRenderedPageBreak/>
        <w:t xml:space="preserve">temperature was set at 40 °C, and the mobile phases A and B were prepared with 0.1% formic acid (v/v) in water and 0.1% formic acid (v/v) in acetonitrile, respectively. A gradient elution program was employed as follows: 5-100% of mobile phase B for 0.0-10.0 min; 100-100% of B for 10.0-11.0 min; 5% of B for 11.0-12.0 min for re-equilibration. The flow rate was set at 0.3 mL/min, and the injection volume was 1 </w:t>
      </w:r>
      <w:proofErr w:type="spellStart"/>
      <w:r>
        <w:rPr>
          <w:rFonts w:ascii="Times New Roman" w:hAnsi="Times New Roman" w:cs="Times New Roman"/>
          <w:color w:val="000000" w:themeColor="text1"/>
          <w:szCs w:val="20"/>
        </w:rPr>
        <w:t>μL</w:t>
      </w:r>
      <w:proofErr w:type="spellEnd"/>
      <w:r>
        <w:rPr>
          <w:rFonts w:ascii="Times New Roman" w:hAnsi="Times New Roman" w:cs="Times New Roman"/>
          <w:color w:val="000000" w:themeColor="text1"/>
          <w:szCs w:val="20"/>
        </w:rPr>
        <w:t xml:space="preserve">. All analyses were performed using electrospray ionization in the negative ion mode and detected in </w:t>
      </w:r>
      <w:r>
        <w:rPr>
          <w:rFonts w:ascii="Times New Roman" w:eastAsia="맑은 고딕" w:hAnsi="Times New Roman" w:cs="Times New Roman"/>
          <w:color w:val="000000"/>
          <w:szCs w:val="20"/>
          <w:u w:color="FFFFFF"/>
        </w:rPr>
        <w:t>the multiple reaction monitoring (MRM) mode. The quantifier transitions utilized for each compound were m/z 146.1→87.1 for Acetylcholine, m/z 363.1→121.2 for cortisol, m/z 209.1→192.1 for kynurenine, m/z 177.1→160.1 for serotonin, m/z 205.1→188.1 for tryptophan, m/z 176.2→130.1 for indole-3-acetic acid, m/z 206.2→118.1 for indole-3-lactic acid, m/z 190.1→130.1 for indole-3-propionic acid, and m/z 206.1→160.1 for xanthurenic acid.</w:t>
      </w:r>
    </w:p>
    <w:p w14:paraId="4D2E1F21" w14:textId="77777777" w:rsidR="0005111B" w:rsidRPr="00C026DB" w:rsidRDefault="0005111B"/>
    <w:sectPr w:rsidR="0005111B" w:rsidRPr="00C026DB" w:rsidSect="00C026DB">
      <w:headerReference w:type="default" r:id="rId4"/>
      <w:footerReference w:type="default" r:id="rId5"/>
      <w:headerReference w:type="first" r:id="rId6"/>
      <w:footerReference w:type="first" r:id="rId7"/>
      <w:pgSz w:w="11906" w:h="16838"/>
      <w:pgMar w:top="1701" w:right="1440" w:bottom="1440" w:left="1440" w:header="851" w:footer="992" w:gutter="0"/>
      <w:lnNumType w:countBy="1" w:distance="283" w:restart="continuous"/>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1755435"/>
      <w:docPartObj>
        <w:docPartGallery w:val="Page Numbers (Bottom of Page)"/>
        <w:docPartUnique/>
      </w:docPartObj>
    </w:sdtPr>
    <w:sdtEndPr/>
    <w:sdtContent>
      <w:p w14:paraId="4E10A9CF" w14:textId="77777777" w:rsidR="00C026DB" w:rsidRDefault="00C026DB">
        <w:pPr>
          <w:pStyle w:val="a4"/>
          <w:jc w:val="center"/>
        </w:pPr>
        <w:r>
          <w:fldChar w:fldCharType="begin"/>
        </w:r>
        <w:r>
          <w:instrText xml:space="preserve"> PAGE </w:instrText>
        </w:r>
        <w:r>
          <w:fldChar w:fldCharType="separate"/>
        </w:r>
        <w:r>
          <w:t>29</w:t>
        </w:r>
        <w:r>
          <w:fldChar w:fldCharType="end"/>
        </w:r>
      </w:p>
    </w:sdtContent>
  </w:sdt>
  <w:p w14:paraId="704F527F" w14:textId="77777777" w:rsidR="00C026DB" w:rsidRDefault="00C026DB">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3A8F9" w14:textId="77777777" w:rsidR="00C026DB" w:rsidRDefault="00C026DB"/>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04DB2" w14:textId="77777777" w:rsidR="00C026DB" w:rsidRDefault="00C026DB">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D82FB3" w14:textId="77777777" w:rsidR="00C026DB" w:rsidRDefault="00C026D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6DB"/>
    <w:rsid w:val="0005111B"/>
    <w:rsid w:val="00C026D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92AF2"/>
  <w15:chartTrackingRefBased/>
  <w15:docId w15:val="{AD191CEE-0DCE-4FBE-8246-BD8C6A910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26DB"/>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머리글 Char"/>
    <w:basedOn w:val="a0"/>
    <w:link w:val="a3"/>
    <w:uiPriority w:val="99"/>
    <w:qFormat/>
    <w:rsid w:val="00C026DB"/>
  </w:style>
  <w:style w:type="character" w:customStyle="1" w:styleId="Char0">
    <w:name w:val="바닥글 Char"/>
    <w:basedOn w:val="a0"/>
    <w:link w:val="a4"/>
    <w:uiPriority w:val="99"/>
    <w:qFormat/>
    <w:rsid w:val="00C026DB"/>
  </w:style>
  <w:style w:type="paragraph" w:styleId="a3">
    <w:name w:val="header"/>
    <w:basedOn w:val="a"/>
    <w:link w:val="Char"/>
    <w:uiPriority w:val="99"/>
    <w:unhideWhenUsed/>
    <w:rsid w:val="00C026DB"/>
    <w:pPr>
      <w:suppressLineNumbers/>
      <w:tabs>
        <w:tab w:val="center" w:pos="4513"/>
        <w:tab w:val="right" w:pos="9026"/>
      </w:tabs>
      <w:snapToGrid w:val="0"/>
    </w:pPr>
  </w:style>
  <w:style w:type="character" w:customStyle="1" w:styleId="Char1">
    <w:name w:val="머리글 Char1"/>
    <w:basedOn w:val="a0"/>
    <w:uiPriority w:val="99"/>
    <w:semiHidden/>
    <w:rsid w:val="00C026DB"/>
    <w:rPr>
      <w14:ligatures w14:val="none"/>
    </w:rPr>
  </w:style>
  <w:style w:type="paragraph" w:styleId="a4">
    <w:name w:val="footer"/>
    <w:basedOn w:val="a"/>
    <w:link w:val="Char0"/>
    <w:uiPriority w:val="99"/>
    <w:unhideWhenUsed/>
    <w:rsid w:val="00C026DB"/>
    <w:pPr>
      <w:suppressLineNumbers/>
      <w:tabs>
        <w:tab w:val="center" w:pos="4513"/>
        <w:tab w:val="right" w:pos="9026"/>
      </w:tabs>
      <w:snapToGrid w:val="0"/>
    </w:pPr>
  </w:style>
  <w:style w:type="character" w:customStyle="1" w:styleId="Char10">
    <w:name w:val="바닥글 Char1"/>
    <w:basedOn w:val="a0"/>
    <w:uiPriority w:val="99"/>
    <w:semiHidden/>
    <w:rsid w:val="00C026DB"/>
    <w:rPr>
      <w14:ligatures w14:val="none"/>
    </w:rPr>
  </w:style>
  <w:style w:type="character" w:styleId="a5">
    <w:name w:val="line number"/>
    <w:basedOn w:val="a0"/>
    <w:uiPriority w:val="99"/>
    <w:semiHidden/>
    <w:unhideWhenUsed/>
    <w:rsid w:val="00C026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864</Words>
  <Characters>4925</Characters>
  <Application>Microsoft Office Word</Application>
  <DocSecurity>0</DocSecurity>
  <Lines>41</Lines>
  <Paragraphs>11</Paragraphs>
  <ScaleCrop>false</ScaleCrop>
  <Company/>
  <LinksUpToDate>false</LinksUpToDate>
  <CharactersWithSpaces>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jieun kim</dc:creator>
  <cp:keywords/>
  <dc:description/>
  <cp:lastModifiedBy>jieun kim</cp:lastModifiedBy>
  <cp:revision>1</cp:revision>
  <dcterms:created xsi:type="dcterms:W3CDTF">2024-03-12T06:06:00Z</dcterms:created>
  <dcterms:modified xsi:type="dcterms:W3CDTF">2024-03-12T06:07:00Z</dcterms:modified>
</cp:coreProperties>
</file>