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1AF28B" w14:textId="77777777" w:rsidR="002865D0" w:rsidRPr="009632FC" w:rsidRDefault="002865D0" w:rsidP="002865D0">
      <w:pPr>
        <w:pStyle w:val="Heading1"/>
        <w:spacing w:line="480" w:lineRule="auto"/>
        <w:jc w:val="both"/>
        <w:rPr>
          <w:rFonts w:ascii="Arial" w:hAnsi="Arial" w:cs="Arial"/>
        </w:rPr>
      </w:pPr>
      <w:r>
        <w:rPr>
          <w:rFonts w:ascii="Arial" w:hAnsi="Arial" w:cs="Arial"/>
        </w:rPr>
        <w:t>SUPPLEMENTARY MATERIALS</w:t>
      </w:r>
    </w:p>
    <w:p w14:paraId="4AD7A72C" w14:textId="77777777" w:rsidR="002865D0" w:rsidRDefault="002865D0" w:rsidP="002865D0">
      <w:pPr>
        <w:spacing w:line="480" w:lineRule="auto"/>
        <w:jc w:val="both"/>
        <w:rPr>
          <w:rFonts w:ascii="Arial" w:hAnsi="Arial" w:cs="Arial"/>
          <w:b/>
          <w:bCs/>
        </w:rPr>
      </w:pPr>
      <w:r>
        <w:rPr>
          <w:rFonts w:ascii="Arial" w:hAnsi="Arial" w:cs="Arial"/>
          <w:b/>
          <w:bCs/>
        </w:rPr>
        <w:t xml:space="preserve">Methods: </w:t>
      </w:r>
    </w:p>
    <w:p w14:paraId="4E35134F" w14:textId="77777777" w:rsidR="002865D0" w:rsidRDefault="002865D0" w:rsidP="002865D0">
      <w:pPr>
        <w:spacing w:line="480" w:lineRule="auto"/>
        <w:jc w:val="both"/>
        <w:rPr>
          <w:rFonts w:ascii="Arial" w:hAnsi="Arial" w:cs="Arial"/>
        </w:rPr>
      </w:pPr>
      <w:r>
        <w:rPr>
          <w:rFonts w:ascii="Arial" w:hAnsi="Arial" w:cs="Arial"/>
        </w:rPr>
        <w:t>Our implementation of the Cue Reactivity task is described elsewhere</w:t>
      </w:r>
      <w:r>
        <w:rPr>
          <w:rFonts w:ascii="Arial" w:hAnsi="Arial" w:cs="Arial"/>
        </w:rPr>
        <w:fldChar w:fldCharType="begin"/>
      </w:r>
      <w:r>
        <w:rPr>
          <w:rFonts w:ascii="Arial" w:hAnsi="Arial" w:cs="Arial"/>
        </w:rPr>
        <w:instrText xml:space="preserve"> ADDIN ZOTERO_ITEM CSL_CITATION {"citationID":"Uh7DQywt","properties":{"formattedCitation":"\\super 13\\nosupersub{}","plainCitation":"13","noteIndex":0},"citationItems":[{"id":15,"uris":["http://zotero.org/users/9612064/items/IBNLRYSN"],"itemData":{"id":15,"type":"article-journal","abstract":"Background\nOpiate addiction is a major health challenge with substantial societal cost. Though harm minimisation strategies have been effective, there is a growing need for new treatments for detoxification and relapse prevention. Preclinical research has found neurokinin 1 (NK1) receptors have prominent effects on opiate reward and reinforcement, and human studies have found NK1 antagonism led to reductions in craving and withdrawal. However, its effect on brain mechanisms in opiate addiction has not yet been examined.\nMethods\nThis study aims to assess the impact of NK1 antagonist aprepitant on heroin cue-elicited changes in blood-oxygenation level dependent (BOLD) signal in opiate dependent individuals undergoing detoxification. Participants will attend two scanning sessions and receive a single dose of aprepitant (320 mg) and a placebo in a randomised, cross-over design. During functional magnetic resonance imaging participants will undergo two runs of a cue reactivity task, which consists of passive viewing of drug cues or neutral cues in a block design fashion. We hypothesise that NK1 antagonism will attenuate the BOLD response to drug cues in the caudate nucleus and amygdala. Regions of interest were selected based on NK1 receptor density and their role in cue reactivity and craving.","container-title":"Drug and Alcohol Dependence","DOI":"10.1016/j.drugalcdep.2021.108564","ISSN":"0376-8716","journalAbbreviation":"Drug and Alcohol Dependence","language":"en","page":"108564","source":"ScienceDirect","title":"Functional evaluation of NK1 antagonism on cue reactivity in opiate dependence; An fMRI study","volume":"221","author":[{"family":"Fonville","given":"Leon"},{"family":"Paterson","given":"Louise"},{"family":"Herlinger","given":"Katherine"},{"family":"Hayes","given":"Alexandra"},{"family":"Hill","given":"Raymond"},{"family":"Nutt","given":"David"},{"family":"Lingford-Hughes","given":"Anne"}],"issued":{"date-parts":[["2021",4,1]]}}}],"schema":"https://github.com/citation-style-language/schema/raw/master/csl-citation.json"} </w:instrText>
      </w:r>
      <w:r>
        <w:rPr>
          <w:rFonts w:ascii="Arial" w:hAnsi="Arial" w:cs="Arial"/>
        </w:rPr>
        <w:fldChar w:fldCharType="separate"/>
      </w:r>
      <w:r w:rsidRPr="008067DE">
        <w:rPr>
          <w:rFonts w:ascii="Arial" w:hAnsi="Arial" w:cs="Arial"/>
          <w:kern w:val="0"/>
          <w:szCs w:val="24"/>
          <w:vertAlign w:val="superscript"/>
        </w:rPr>
        <w:t>13</w:t>
      </w:r>
      <w:r>
        <w:rPr>
          <w:rFonts w:ascii="Arial" w:hAnsi="Arial" w:cs="Arial"/>
        </w:rPr>
        <w:fldChar w:fldCharType="end"/>
      </w:r>
      <w:r>
        <w:rPr>
          <w:rFonts w:ascii="Arial" w:hAnsi="Arial" w:cs="Arial"/>
        </w:rPr>
        <w:t>. Participants performed two runs of the Cue Reactivity paradigm. Each run utilised a fixed-order presentation of blocks of neutral cues, drug-related cues, and rest. There were 5 blocks neutral cues and 5 blocks of drug-related cues. The first block always consisted of neutral cues, followed by a block of drug-related cues, and then a rest block. The rest block presented a black screen with a fixation cross for 15 seconds.</w:t>
      </w:r>
      <w:r w:rsidRPr="00B86B87">
        <w:rPr>
          <w:rFonts w:ascii="Arial" w:hAnsi="Arial" w:cs="Arial"/>
        </w:rPr>
        <w:t xml:space="preserve"> </w:t>
      </w:r>
      <w:r>
        <w:rPr>
          <w:rFonts w:ascii="Arial" w:hAnsi="Arial" w:cs="Arial"/>
        </w:rPr>
        <w:t xml:space="preserve">Each non-rest block contained 6 images/trials with a duration of 5 seconds, spaced apart with a jittered inter-trial interval ranging between 200-500 milliseconds. The hue, contrast, brightness, complexity, and content of images were controlled across neutral vs drug-related cues. People with OUD attending a local treatment service participated in a focus group to provide feedback on drug cue content. Each run lasted 8 minutes and 20 seconds, and the second run utilised the same images as the first run. However, the second run shuffled the order of blocks and images within each block, while maintaining pattern of starting with a block of neutral cues, followed by a block of drug-related cues, then rest. </w:t>
      </w:r>
    </w:p>
    <w:p w14:paraId="65328CBF" w14:textId="77777777" w:rsidR="002865D0" w:rsidRPr="002E2023" w:rsidRDefault="002865D0" w:rsidP="002865D0">
      <w:pPr>
        <w:spacing w:line="480" w:lineRule="auto"/>
        <w:jc w:val="both"/>
        <w:rPr>
          <w:rFonts w:ascii="Arial" w:hAnsi="Arial" w:cs="Arial"/>
        </w:rPr>
      </w:pPr>
      <w:r>
        <w:rPr>
          <w:rFonts w:ascii="Arial" w:hAnsi="Arial" w:cs="Arial"/>
        </w:rPr>
        <w:t>We used one run of a previously published version of the MID task</w:t>
      </w:r>
      <w:r>
        <w:rPr>
          <w:rFonts w:ascii="Arial" w:hAnsi="Arial" w:cs="Arial"/>
        </w:rPr>
        <w:fldChar w:fldCharType="begin"/>
      </w:r>
      <w:r>
        <w:rPr>
          <w:rFonts w:ascii="Arial" w:hAnsi="Arial" w:cs="Arial"/>
        </w:rPr>
        <w:instrText xml:space="preserve"> ADDIN ZOTERO_ITEM CSL_CITATION {"citationID":"n5l8j7h5","properties":{"formattedCitation":"\\super 58\\nosupersub{}","plainCitation":"58","noteIndex":0},"citationItems":[{"id":2951,"uris":["http://zotero.org/users/9612064/items/PH8256QD"],"itemData":{"id":2951,"type":"article-journal","abstract":"Objectives: We aimed to set up a robust multi-centre clinical fMRI and neuropsychological platform to investigate the neuropharmacology of brain processes relevant to addiction – reward, impulsivity and emotional reactivity. Here we provide an overview of the fMRI battery, carried out across three centres, characterizing neuronal response to the tasks, along with exploring inter-centre differences in healthy participants.\nExperimental design: Three fMRI tasks were used: monetary incentive delay to probe reward sensitivity, go/no-go to probe impulsivity and an evocative images task to probe emotional reactivity. A coordinate-based activation likelihood estimation (ALE) meta-analysis was carried out for the reward and impulsivity tasks to help establish region of interest (ROI) placement. A group of healthy participants was recruited from across three centres (total n=43) to investigate inter-centre differences.\nPrinciple observations: The pattern of response observed for each of the three tasks was consistent with previous studies using similar paradigms. At the whole brain level, significant differences were not observed between centres for any task.\nConclusions: In developing this platform we successfully integrated neuroimaging data from three centres, adapted validated tasks and applied whole brain and ROI approaches to explore and demonstrate their consistency across centres.","container-title":"Journal of Psychopharmacology","DOI":"10.1177/0269881116668592","ISSN":"0269-8811","issue":"1","journalAbbreviation":"J Psychopharmacol","language":"en","note":"publisher: SAGE Publications Ltd STM","page":"3-16","source":"SAGE Journals","title":"The ICCAM platform study: An experimental medicine platform for evaluating new drugs for relapse prevention in addiction. Part B: fMRI description","title-short":"The ICCAM platform study","volume":"31","author":[{"family":"McGonigle","given":"John"},{"family":"Murphy","given":"Anna"},{"family":"Paterson","given":"Louise M"},{"family":"Reed","given":"Laurence J"},{"family":"Nestor","given":"Liam"},{"family":"Nash","given":"Jonathan"},{"family":"Elliott","given":"Rebecca"},{"family":"Ersche","given":"Karen D"},{"family":"Flechais","given":"Remy SA"},{"family":"Newbould","given":"Rexford"},{"family":"Orban","given":"Csaba"},{"family":"Smith","given":"Dana G"},{"family":"Taylor","given":"Eleanor M"},{"family":"Waldman","given":"Adam D"},{"family":"Robbins","given":"Trevor W"},{"family":"Deakin","given":"JF William"},{"family":"Nutt","given":"David J"},{"family":"Lingford-Hughes","given":"Anne R"},{"family":"Suckling","given":"John"}],"issued":{"date-parts":[["2017",1,1]]}}}],"schema":"https://github.com/citation-style-language/schema/raw/master/csl-citation.json"} </w:instrText>
      </w:r>
      <w:r>
        <w:rPr>
          <w:rFonts w:ascii="Arial" w:hAnsi="Arial" w:cs="Arial"/>
        </w:rPr>
        <w:fldChar w:fldCharType="separate"/>
      </w:r>
      <w:r w:rsidRPr="00CC721E">
        <w:rPr>
          <w:rFonts w:ascii="Arial" w:hAnsi="Arial" w:cs="Arial"/>
          <w:kern w:val="0"/>
          <w:szCs w:val="24"/>
          <w:vertAlign w:val="superscript"/>
        </w:rPr>
        <w:t>58</w:t>
      </w:r>
      <w:r>
        <w:rPr>
          <w:rFonts w:ascii="Arial" w:hAnsi="Arial" w:cs="Arial"/>
        </w:rPr>
        <w:fldChar w:fldCharType="end"/>
      </w:r>
      <w:r>
        <w:rPr>
          <w:rFonts w:ascii="Arial" w:hAnsi="Arial" w:cs="Arial"/>
        </w:rPr>
        <w:t xml:space="preserve"> that modified the original MID task</w:t>
      </w:r>
      <w:r>
        <w:rPr>
          <w:rFonts w:ascii="Arial" w:hAnsi="Arial" w:cs="Arial"/>
        </w:rPr>
        <w:fldChar w:fldCharType="begin"/>
      </w:r>
      <w:r>
        <w:rPr>
          <w:rFonts w:ascii="Arial" w:hAnsi="Arial" w:cs="Arial"/>
        </w:rPr>
        <w:instrText xml:space="preserve"> ADDIN ZOTERO_ITEM CSL_CITATION {"citationID":"2SeE5vFK","properties":{"formattedCitation":"\\super 43\\nosupersub{}","plainCitation":"43","noteIndex":0},"citationItems":[{"id":2853,"uris":["http://zotero.org/users/9612064/items/SIPF43F6"],"itemData":{"id":2853,"type":"article-journal","abstract":"Comparative studies have implicated the nucleus accumbens (NAcc) in the anticipation of incentives, but the relative responsiveness of this neural substrate during anticipation of rewards vs punishments remains unclear. Using event-related functional magnetic resonance imaging (MRI) and a monetary incentive delay task, this study investigated whether the anticipation of increasing monetary rewards and punishments would increase NAcc blood oxygen level-dependent contrast (i.e., \"activation\") in 8 healthy volunteers. Whereas anticipation of increasing rewards elicited both increasing self-reported happiness and NAcc activation, anticipation of increasing punishment elicited neither. However, anticipation of both rewards and punishments activated a different striatal region (the medial caudate). At the highest reward level ($5.00), NAcc activation was correlated with individual differences in self-reported happiness elicited by the reward cues. These findings suggest that whereas other striatal areas may code for expected incentive magnitude, a region in the NAcc codes for expected positive incentive value. (PsycINFO Database Record (c) 2016 APA, all rights reserved)","container-title":"The Journal of Neuroscience","ISSN":"1529-2401","issue":"16","note":"publisher-place: US\npublisher: Society for Neuroscience","page":"RC159-RC159","source":"APA PsycNet","title":"Anticipation of increasing monetary reward selectively recruits nucleus accumbens","volume":"21","author":[{"family":"Knutson","given":"Brian"},{"family":"Adams","given":"Charles M."},{"family":"Fong","given":"Grace W."},{"family":"Hommer","given":"Daniel"}],"issued":{"date-parts":[["2001"]]}}}],"schema":"https://github.com/citation-style-language/schema/raw/master/csl-citation.json"} </w:instrText>
      </w:r>
      <w:r>
        <w:rPr>
          <w:rFonts w:ascii="Arial" w:hAnsi="Arial" w:cs="Arial"/>
        </w:rPr>
        <w:fldChar w:fldCharType="separate"/>
      </w:r>
      <w:r w:rsidRPr="008067DE">
        <w:rPr>
          <w:rFonts w:ascii="Arial" w:hAnsi="Arial" w:cs="Arial"/>
          <w:kern w:val="0"/>
          <w:szCs w:val="24"/>
          <w:vertAlign w:val="superscript"/>
        </w:rPr>
        <w:t>43</w:t>
      </w:r>
      <w:r>
        <w:rPr>
          <w:rFonts w:ascii="Arial" w:hAnsi="Arial" w:cs="Arial"/>
        </w:rPr>
        <w:fldChar w:fldCharType="end"/>
      </w:r>
      <w:r>
        <w:rPr>
          <w:rFonts w:ascii="Arial" w:hAnsi="Arial" w:cs="Arial"/>
        </w:rPr>
        <w:t xml:space="preserve">. The MID task contained 18 win, 6 loss, and 18 neutral trials. At the start of each trial, a symbol would appear indicating the type of trial (e.g., win, loss, or neutral). The disappearance of the symbol began an “anticipation” period of 2, 3, or 4 seconds (there were equal numbers of each duration balanced across the </w:t>
      </w:r>
      <w:r w:rsidRPr="008B107E">
        <w:rPr>
          <w:rFonts w:ascii="Arial" w:hAnsi="Arial" w:cs="Arial"/>
        </w:rPr>
        <w:t>trial type</w:t>
      </w:r>
      <w:r>
        <w:rPr>
          <w:rFonts w:ascii="Arial" w:hAnsi="Arial" w:cs="Arial"/>
        </w:rPr>
        <w:t xml:space="preserve">s). After the anticipation period, the target stimulus appeared for a brief duration. Participants were instructed to press a button as quickly as possible when they saw the target stimulus. Participants could win money during win trials by pressing the button fast enough (i.e., while the target stimulus was present) during win trials; alternatively, participants lost money during loss trials if they did not press the button fast enough. The starting duration for win and neutral trials was 280 milliseconds, and the </w:t>
      </w:r>
      <w:r>
        <w:rPr>
          <w:rFonts w:ascii="Arial" w:hAnsi="Arial" w:cs="Arial"/>
        </w:rPr>
        <w:lastRenderedPageBreak/>
        <w:t xml:space="preserve">starting duration for loss trials was 240 milliseconds. The duration of the target stimulus was changed for each trial type by an adaptive algorithm. The algorithm raised/lowered the target stimulus duration by 10 milliseconds if participants succeeded/missed a trial until a ceiling/floor of 300/150 milliseconds was reached, respectively. Then, 0.5 seconds after the disappearance of the target stimulus disappeared, participants were notified whether they were successful, and were shown their total winnings for 2 seconds. This completed the trial, after which an inter-trial interval of 2.4, 3.4, or 4.4 seconds occurred before the next trial began. The inter-trial interval durations were presented in equal numbers for each trial type. The task was designed for participants to win on 66% of the win trials and receive £5 in task winnings (completing the task with a perfect score would result in total winnings of £9). </w:t>
      </w:r>
    </w:p>
    <w:p w14:paraId="5EC8D9F8" w14:textId="61F10C19" w:rsidR="002865D0" w:rsidRDefault="002865D0" w:rsidP="002865D0">
      <w:pPr>
        <w:spacing w:line="480" w:lineRule="auto"/>
        <w:jc w:val="both"/>
        <w:rPr>
          <w:rFonts w:ascii="Arial" w:hAnsi="Arial" w:cs="Arial"/>
        </w:rPr>
      </w:pPr>
      <w:r>
        <w:rPr>
          <w:rFonts w:ascii="Arial" w:hAnsi="Arial" w:cs="Arial"/>
          <w:b/>
          <w:bCs/>
        </w:rPr>
        <w:t xml:space="preserve">Supplementary Table 1: </w:t>
      </w:r>
      <w:r>
        <w:rPr>
          <w:rFonts w:ascii="Arial" w:hAnsi="Arial" w:cs="Arial"/>
        </w:rPr>
        <w:t>Results from Spearman’s correlations relating the z-stat of the difference in miFC between HC and MD participants and the ratio of pairwise MOR and DRD2 availability.</w:t>
      </w:r>
    </w:p>
    <w:p w14:paraId="0561673B" w14:textId="36E8B347" w:rsidR="002865D0" w:rsidRDefault="002865D0" w:rsidP="002865D0">
      <w:pPr>
        <w:spacing w:line="480" w:lineRule="auto"/>
        <w:jc w:val="both"/>
        <w:rPr>
          <w:rFonts w:ascii="Arial" w:hAnsi="Arial" w:cs="Arial"/>
        </w:rPr>
      </w:pPr>
      <w:r>
        <w:rPr>
          <w:rFonts w:ascii="Arial" w:hAnsi="Arial" w:cs="Arial"/>
          <w:b/>
          <w:bCs/>
        </w:rPr>
        <w:t xml:space="preserve">Supplementary Table 2: </w:t>
      </w:r>
      <w:r>
        <w:rPr>
          <w:rFonts w:ascii="Arial" w:hAnsi="Arial" w:cs="Arial"/>
        </w:rPr>
        <w:t xml:space="preserve">The effect of group on state lifetime during the MID task. The number of states is indicated by K. </w:t>
      </w:r>
    </w:p>
    <w:p w14:paraId="1FE9DE7C" w14:textId="1431CD96" w:rsidR="002865D0" w:rsidRDefault="002865D0" w:rsidP="002865D0">
      <w:pPr>
        <w:spacing w:line="480" w:lineRule="auto"/>
        <w:jc w:val="both"/>
        <w:rPr>
          <w:rFonts w:ascii="Arial" w:hAnsi="Arial" w:cs="Arial"/>
        </w:rPr>
      </w:pPr>
      <w:r>
        <w:rPr>
          <w:rFonts w:ascii="Arial" w:hAnsi="Arial" w:cs="Arial"/>
          <w:b/>
          <w:bCs/>
        </w:rPr>
        <w:t xml:space="preserve">Supplementary Table 3: </w:t>
      </w:r>
      <w:r>
        <w:rPr>
          <w:rFonts w:ascii="Arial" w:hAnsi="Arial" w:cs="Arial"/>
        </w:rPr>
        <w:t>The effect of group on state probability during the MID task</w:t>
      </w:r>
      <w:r w:rsidR="00B2592F">
        <w:rPr>
          <w:rFonts w:ascii="Arial" w:hAnsi="Arial" w:cs="Arial"/>
        </w:rPr>
        <w:t>.</w:t>
      </w:r>
    </w:p>
    <w:p w14:paraId="73713F53" w14:textId="646A9448" w:rsidR="002865D0" w:rsidRDefault="002865D0" w:rsidP="002865D0">
      <w:pPr>
        <w:spacing w:line="480" w:lineRule="auto"/>
        <w:jc w:val="both"/>
        <w:rPr>
          <w:rFonts w:ascii="Arial" w:hAnsi="Arial" w:cs="Arial"/>
        </w:rPr>
      </w:pPr>
      <w:r>
        <w:rPr>
          <w:rFonts w:ascii="Arial" w:hAnsi="Arial" w:cs="Arial"/>
          <w:b/>
          <w:bCs/>
        </w:rPr>
        <w:t xml:space="preserve">Supplementary Table 4: </w:t>
      </w:r>
      <w:r>
        <w:rPr>
          <w:rFonts w:ascii="Arial" w:hAnsi="Arial" w:cs="Arial"/>
        </w:rPr>
        <w:t>The effect of group on information theoretic metrics of state dynamics during the MID task. Abbreviations are as follows: Transition Entropy (TE); Block Decomposition Methods of Complexity (BDMC); Lempel Ziv Complexity (LZC).</w:t>
      </w:r>
    </w:p>
    <w:p w14:paraId="77495FB3" w14:textId="3B7F0D66" w:rsidR="002865D0" w:rsidRDefault="002865D0" w:rsidP="002865D0">
      <w:pPr>
        <w:spacing w:line="480" w:lineRule="auto"/>
        <w:jc w:val="both"/>
        <w:rPr>
          <w:rFonts w:ascii="Arial" w:hAnsi="Arial" w:cs="Arial"/>
        </w:rPr>
      </w:pPr>
      <w:r>
        <w:rPr>
          <w:rFonts w:ascii="Arial" w:hAnsi="Arial" w:cs="Arial"/>
          <w:b/>
          <w:bCs/>
        </w:rPr>
        <w:t xml:space="preserve">Supplementary Table 5: </w:t>
      </w:r>
      <w:r>
        <w:rPr>
          <w:rFonts w:ascii="Arial" w:hAnsi="Arial" w:cs="Arial"/>
        </w:rPr>
        <w:t>The effect of group on state lifetime during the Cue Reactivity task</w:t>
      </w:r>
      <w:r w:rsidR="00B2592F">
        <w:rPr>
          <w:rFonts w:ascii="Arial" w:hAnsi="Arial" w:cs="Arial"/>
        </w:rPr>
        <w:t>.</w:t>
      </w:r>
    </w:p>
    <w:p w14:paraId="173C0025" w14:textId="0E0D9E50" w:rsidR="002865D0" w:rsidRDefault="002865D0" w:rsidP="002865D0">
      <w:pPr>
        <w:spacing w:line="480" w:lineRule="auto"/>
        <w:jc w:val="both"/>
        <w:rPr>
          <w:rFonts w:ascii="Arial" w:hAnsi="Arial" w:cs="Arial"/>
        </w:rPr>
      </w:pPr>
      <w:r>
        <w:rPr>
          <w:rFonts w:ascii="Arial" w:hAnsi="Arial" w:cs="Arial"/>
          <w:b/>
          <w:bCs/>
        </w:rPr>
        <w:t xml:space="preserve">Supplementary Table 6: </w:t>
      </w:r>
      <w:r>
        <w:rPr>
          <w:rFonts w:ascii="Arial" w:hAnsi="Arial" w:cs="Arial"/>
        </w:rPr>
        <w:t>The effect of group on state probability during the Cue Reactivity task</w:t>
      </w:r>
      <w:r w:rsidR="00B2592F">
        <w:rPr>
          <w:rFonts w:ascii="Arial" w:hAnsi="Arial" w:cs="Arial"/>
        </w:rPr>
        <w:t>.</w:t>
      </w:r>
    </w:p>
    <w:p w14:paraId="32AD11B0" w14:textId="05AE62B6" w:rsidR="002865D0" w:rsidRDefault="002865D0" w:rsidP="002865D0">
      <w:pPr>
        <w:spacing w:line="480" w:lineRule="auto"/>
        <w:jc w:val="both"/>
        <w:rPr>
          <w:rFonts w:ascii="Arial" w:hAnsi="Arial" w:cs="Arial"/>
        </w:rPr>
      </w:pPr>
      <w:r>
        <w:rPr>
          <w:rFonts w:ascii="Arial" w:hAnsi="Arial" w:cs="Arial"/>
          <w:b/>
          <w:bCs/>
        </w:rPr>
        <w:t xml:space="preserve">Supplementary Table 7: </w:t>
      </w:r>
      <w:r>
        <w:rPr>
          <w:rFonts w:ascii="Arial" w:hAnsi="Arial" w:cs="Arial"/>
        </w:rPr>
        <w:t>The effect of group on information theoretic metrics of state dynamics during the Cue Reactivity task</w:t>
      </w:r>
      <w:r w:rsidR="00B2592F">
        <w:rPr>
          <w:rFonts w:ascii="Arial" w:hAnsi="Arial" w:cs="Arial"/>
        </w:rPr>
        <w:t>.</w:t>
      </w:r>
    </w:p>
    <w:p w14:paraId="04E6FF46" w14:textId="6226CDB4" w:rsidR="002865D0" w:rsidRDefault="002865D0" w:rsidP="002865D0">
      <w:pPr>
        <w:spacing w:line="480" w:lineRule="auto"/>
        <w:jc w:val="both"/>
        <w:rPr>
          <w:rFonts w:ascii="Arial" w:hAnsi="Arial" w:cs="Arial"/>
        </w:rPr>
      </w:pPr>
      <w:r>
        <w:rPr>
          <w:rFonts w:ascii="Arial" w:hAnsi="Arial" w:cs="Arial"/>
          <w:b/>
          <w:bCs/>
        </w:rPr>
        <w:t xml:space="preserve">Supplementary Table 8: </w:t>
      </w:r>
      <w:r>
        <w:rPr>
          <w:rFonts w:ascii="Arial" w:hAnsi="Arial" w:cs="Arial"/>
        </w:rPr>
        <w:t>Edges with a significant effect of group during the MID task</w:t>
      </w:r>
      <w:r w:rsidR="00B2592F">
        <w:rPr>
          <w:rFonts w:ascii="Arial" w:hAnsi="Arial" w:cs="Arial"/>
        </w:rPr>
        <w:t>.</w:t>
      </w:r>
    </w:p>
    <w:p w14:paraId="4DDB9C35" w14:textId="7A71285F" w:rsidR="002865D0" w:rsidRDefault="002865D0" w:rsidP="002865D0">
      <w:pPr>
        <w:spacing w:line="480" w:lineRule="auto"/>
        <w:jc w:val="both"/>
        <w:rPr>
          <w:rFonts w:ascii="Arial" w:hAnsi="Arial" w:cs="Arial"/>
        </w:rPr>
      </w:pPr>
      <w:r>
        <w:rPr>
          <w:rFonts w:ascii="Arial" w:hAnsi="Arial" w:cs="Arial"/>
          <w:b/>
          <w:bCs/>
        </w:rPr>
        <w:lastRenderedPageBreak/>
        <w:t xml:space="preserve">Supplementary Table 9: </w:t>
      </w:r>
      <w:r>
        <w:rPr>
          <w:rFonts w:ascii="Arial" w:hAnsi="Arial" w:cs="Arial"/>
        </w:rPr>
        <w:t>Edges with a significant effect of group during reward anticipation periods from the MID task</w:t>
      </w:r>
      <w:r w:rsidR="00B2592F">
        <w:rPr>
          <w:rFonts w:ascii="Arial" w:hAnsi="Arial" w:cs="Arial"/>
        </w:rPr>
        <w:t>.</w:t>
      </w:r>
    </w:p>
    <w:p w14:paraId="7D046C86" w14:textId="48B8F3E3" w:rsidR="002865D0" w:rsidRDefault="002865D0" w:rsidP="002865D0">
      <w:pPr>
        <w:spacing w:line="480" w:lineRule="auto"/>
        <w:jc w:val="both"/>
        <w:rPr>
          <w:rFonts w:ascii="Arial" w:hAnsi="Arial" w:cs="Arial"/>
        </w:rPr>
      </w:pPr>
      <w:r>
        <w:rPr>
          <w:rFonts w:ascii="Arial" w:hAnsi="Arial" w:cs="Arial"/>
          <w:b/>
          <w:bCs/>
        </w:rPr>
        <w:t xml:space="preserve">Supplementary Table 10: </w:t>
      </w:r>
      <w:r>
        <w:rPr>
          <w:rFonts w:ascii="Arial" w:hAnsi="Arial" w:cs="Arial"/>
        </w:rPr>
        <w:t>Edges with a significant effect of group during the Cue Reactivity task</w:t>
      </w:r>
      <w:r w:rsidR="00B2592F">
        <w:rPr>
          <w:rFonts w:ascii="Arial" w:hAnsi="Arial" w:cs="Arial"/>
        </w:rPr>
        <w:t>.</w:t>
      </w:r>
    </w:p>
    <w:p w14:paraId="2DC457A1" w14:textId="5F86E0FA" w:rsidR="002865D0" w:rsidRPr="00435682" w:rsidRDefault="002865D0" w:rsidP="002865D0">
      <w:pPr>
        <w:spacing w:line="480" w:lineRule="auto"/>
        <w:jc w:val="both"/>
        <w:rPr>
          <w:rFonts w:ascii="Arial" w:hAnsi="Arial" w:cs="Arial"/>
        </w:rPr>
      </w:pPr>
      <w:r>
        <w:rPr>
          <w:rFonts w:ascii="Arial" w:hAnsi="Arial" w:cs="Arial"/>
          <w:b/>
          <w:bCs/>
        </w:rPr>
        <w:t xml:space="preserve">Supplementary Table 11: </w:t>
      </w:r>
      <w:r>
        <w:rPr>
          <w:rFonts w:ascii="Arial" w:hAnsi="Arial" w:cs="Arial"/>
        </w:rPr>
        <w:t>Edges with a significant effect of group during drug-stimuli cue blocks from the Cue Reactivity task</w:t>
      </w:r>
      <w:r w:rsidR="00B2592F">
        <w:rPr>
          <w:rFonts w:ascii="Arial" w:hAnsi="Arial" w:cs="Arial"/>
        </w:rPr>
        <w:t>.</w:t>
      </w:r>
    </w:p>
    <w:p w14:paraId="3C11025A" w14:textId="2B507583" w:rsidR="002865D0" w:rsidRPr="002865D0" w:rsidRDefault="002865D0" w:rsidP="002865D0">
      <w:pPr>
        <w:spacing w:line="480" w:lineRule="auto"/>
        <w:jc w:val="both"/>
        <w:rPr>
          <w:rFonts w:ascii="Arial" w:hAnsi="Arial" w:cs="Arial"/>
        </w:rPr>
      </w:pPr>
      <w:r>
        <w:rPr>
          <w:rFonts w:ascii="Arial" w:hAnsi="Arial" w:cs="Arial"/>
          <w:b/>
          <w:bCs/>
        </w:rPr>
        <w:t xml:space="preserve">Supplementary Table 12: </w:t>
      </w:r>
      <w:r>
        <w:rPr>
          <w:rFonts w:ascii="Arial" w:hAnsi="Arial" w:cs="Arial"/>
        </w:rPr>
        <w:t>The effect of group on state lifetime and probability during the MID and Cue Reactivity tasks.</w:t>
      </w:r>
    </w:p>
    <w:p w14:paraId="0F3D4C9F" w14:textId="1B689AEA" w:rsidR="002865D0" w:rsidRPr="005044B5" w:rsidRDefault="002865D0" w:rsidP="002865D0">
      <w:pPr>
        <w:spacing w:line="480" w:lineRule="auto"/>
        <w:jc w:val="both"/>
        <w:rPr>
          <w:rFonts w:ascii="Arial" w:hAnsi="Arial" w:cs="Arial"/>
        </w:rPr>
      </w:pPr>
      <w:r>
        <w:rPr>
          <w:rFonts w:ascii="Arial" w:hAnsi="Arial" w:cs="Arial"/>
          <w:b/>
          <w:bCs/>
        </w:rPr>
        <w:t xml:space="preserve">Supplementary Table 13: </w:t>
      </w:r>
      <w:r>
        <w:rPr>
          <w:rFonts w:ascii="Arial" w:hAnsi="Arial" w:cs="Arial"/>
        </w:rPr>
        <w:t>The effect of group on information theoretic metrics of state dynamics during the MID and Cue Reactivity tasks.</w:t>
      </w:r>
    </w:p>
    <w:p w14:paraId="3DB12B55" w14:textId="77777777" w:rsidR="002865D0" w:rsidRPr="005044B5" w:rsidRDefault="002865D0" w:rsidP="002865D0">
      <w:pPr>
        <w:spacing w:line="480" w:lineRule="auto"/>
        <w:jc w:val="both"/>
        <w:rPr>
          <w:rFonts w:ascii="Arial" w:hAnsi="Arial" w:cs="Arial"/>
        </w:rPr>
      </w:pPr>
    </w:p>
    <w:p w14:paraId="76BDBF01" w14:textId="143DD6F5" w:rsidR="002865D0" w:rsidRDefault="002865D0" w:rsidP="002865D0">
      <w:pPr>
        <w:spacing w:line="480" w:lineRule="auto"/>
        <w:jc w:val="both"/>
        <w:rPr>
          <w:rFonts w:ascii="Arial" w:hAnsi="Arial" w:cs="Arial"/>
        </w:rPr>
      </w:pPr>
    </w:p>
    <w:p w14:paraId="681F9091" w14:textId="77777777" w:rsidR="009132ED" w:rsidRDefault="009132ED" w:rsidP="002865D0">
      <w:pPr>
        <w:spacing w:line="480" w:lineRule="auto"/>
      </w:pPr>
    </w:p>
    <w:p w14:paraId="7D19D9B4" w14:textId="77777777" w:rsidR="002865D0" w:rsidRDefault="002865D0" w:rsidP="002865D0">
      <w:pPr>
        <w:spacing w:line="480" w:lineRule="auto"/>
      </w:pPr>
    </w:p>
    <w:p w14:paraId="1C4D987C" w14:textId="77777777" w:rsidR="002865D0" w:rsidRDefault="002865D0" w:rsidP="002865D0">
      <w:pPr>
        <w:spacing w:line="480" w:lineRule="auto"/>
      </w:pPr>
    </w:p>
    <w:p w14:paraId="056EF98D" w14:textId="77777777" w:rsidR="002865D0" w:rsidRDefault="002865D0" w:rsidP="002865D0">
      <w:pPr>
        <w:spacing w:line="480" w:lineRule="auto"/>
      </w:pPr>
    </w:p>
    <w:p w14:paraId="76E8724A" w14:textId="77777777" w:rsidR="002865D0" w:rsidRDefault="002865D0" w:rsidP="002865D0">
      <w:pPr>
        <w:spacing w:line="480" w:lineRule="auto"/>
      </w:pPr>
    </w:p>
    <w:p w14:paraId="0A4838F3" w14:textId="77777777" w:rsidR="002865D0" w:rsidRDefault="002865D0" w:rsidP="002865D0">
      <w:pPr>
        <w:spacing w:line="480" w:lineRule="auto"/>
      </w:pPr>
    </w:p>
    <w:p w14:paraId="748BC590" w14:textId="77777777" w:rsidR="002865D0" w:rsidRDefault="002865D0" w:rsidP="002865D0">
      <w:pPr>
        <w:spacing w:line="480" w:lineRule="auto"/>
      </w:pPr>
    </w:p>
    <w:p w14:paraId="461367E9" w14:textId="77777777" w:rsidR="002865D0" w:rsidRDefault="002865D0" w:rsidP="002865D0">
      <w:pPr>
        <w:spacing w:line="480" w:lineRule="auto"/>
      </w:pPr>
    </w:p>
    <w:p w14:paraId="424EAB70" w14:textId="77777777" w:rsidR="002865D0" w:rsidRDefault="002865D0" w:rsidP="002865D0">
      <w:pPr>
        <w:spacing w:line="480" w:lineRule="auto"/>
      </w:pPr>
    </w:p>
    <w:sectPr w:rsidR="002865D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65D0"/>
    <w:rsid w:val="00040EB3"/>
    <w:rsid w:val="002865D0"/>
    <w:rsid w:val="009132ED"/>
    <w:rsid w:val="00B2592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8D6319"/>
  <w15:chartTrackingRefBased/>
  <w15:docId w15:val="{A6C8230F-360B-4636-84A3-3E664544D9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65D0"/>
  </w:style>
  <w:style w:type="paragraph" w:styleId="Heading1">
    <w:name w:val="heading 1"/>
    <w:basedOn w:val="Normal"/>
    <w:next w:val="Normal"/>
    <w:link w:val="Heading1Char"/>
    <w:uiPriority w:val="9"/>
    <w:qFormat/>
    <w:rsid w:val="002865D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865D0"/>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3</Pages>
  <Words>1832</Words>
  <Characters>10447</Characters>
  <Application>Microsoft Office Word</Application>
  <DocSecurity>0</DocSecurity>
  <Lines>87</Lines>
  <Paragraphs>24</Paragraphs>
  <ScaleCrop>false</ScaleCrop>
  <Company/>
  <LinksUpToDate>false</LinksUpToDate>
  <CharactersWithSpaces>12255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Kurtin, Danielle</dc:creator>
  <cp:keywords/>
  <dc:description/>
  <cp:lastModifiedBy>Kurtin, Danielle</cp:lastModifiedBy>
  <cp:revision>2</cp:revision>
  <dcterms:created xsi:type="dcterms:W3CDTF">2024-03-18T09:33:00Z</dcterms:created>
  <dcterms:modified xsi:type="dcterms:W3CDTF">2024-03-18T09:58:00Z</dcterms:modified>
</cp:coreProperties>
</file>