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079" w:rsidRPr="00473A27" w:rsidRDefault="00E57079" w:rsidP="00E57079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rPr>
          <w:sz w:val="24"/>
          <w:lang w:val="en-GB"/>
        </w:rPr>
      </w:pPr>
      <w:r w:rsidRPr="00473A27">
        <w:rPr>
          <w:noProof/>
          <w:sz w:val="24"/>
          <w:lang w:eastAsia="zh-TW" w:bidi="ar-SA"/>
        </w:rPr>
        <w:drawing>
          <wp:inline distT="0" distB="0" distL="0" distR="0" wp14:anchorId="2A4A69CA" wp14:editId="03C923C8">
            <wp:extent cx="5261906" cy="4979995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 Figure 2拷貝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267" cy="4985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079" w:rsidRPr="00473A27" w:rsidRDefault="00E57079" w:rsidP="00E57079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ind w:left="0"/>
        <w:rPr>
          <w:rFonts w:eastAsiaTheme="minorEastAsia"/>
          <w:sz w:val="24"/>
          <w:lang w:val="en-GB" w:eastAsia="zh-TW"/>
        </w:rPr>
      </w:pPr>
      <w:r w:rsidRPr="00473A27">
        <w:rPr>
          <w:b/>
          <w:sz w:val="24"/>
          <w:szCs w:val="24"/>
          <w:lang w:val="en-GB"/>
        </w:rPr>
        <w:t xml:space="preserve">Supplementary Fig. </w:t>
      </w:r>
      <w:r w:rsidR="00B86D31">
        <w:rPr>
          <w:b/>
          <w:sz w:val="24"/>
          <w:szCs w:val="24"/>
          <w:lang w:val="en-GB"/>
        </w:rPr>
        <w:t>S</w:t>
      </w:r>
      <w:r w:rsidR="009A7C0A">
        <w:rPr>
          <w:b/>
          <w:sz w:val="24"/>
          <w:szCs w:val="24"/>
          <w:lang w:val="en-GB"/>
        </w:rPr>
        <w:t>3</w:t>
      </w:r>
      <w:bookmarkStart w:id="0" w:name="_GoBack"/>
      <w:bookmarkEnd w:id="0"/>
      <w:r w:rsidRPr="00473A27">
        <w:rPr>
          <w:b/>
          <w:sz w:val="24"/>
          <w:szCs w:val="24"/>
          <w:lang w:val="en-GB"/>
        </w:rPr>
        <w:tab/>
      </w:r>
      <w:r w:rsidRPr="004F3AA0">
        <w:rPr>
          <w:sz w:val="24"/>
          <w:szCs w:val="24"/>
          <w:lang w:val="en-GB"/>
        </w:rPr>
        <w:t>Phenotypic and functional characterization of HE and HM subclone progenies.</w:t>
      </w:r>
      <w:r w:rsidRPr="00473A27">
        <w:rPr>
          <w:b/>
          <w:sz w:val="24"/>
          <w:szCs w:val="24"/>
          <w:lang w:val="en-GB"/>
        </w:rPr>
        <w:t xml:space="preserve"> </w:t>
      </w:r>
      <w:r w:rsidRPr="00B86D31">
        <w:rPr>
          <w:b/>
          <w:sz w:val="24"/>
          <w:lang w:val="en-GB"/>
        </w:rPr>
        <w:t>A</w:t>
      </w:r>
      <w:r w:rsidRPr="00473A27">
        <w:rPr>
          <w:sz w:val="24"/>
          <w:lang w:val="en-GB"/>
        </w:rPr>
        <w:t xml:space="preserve"> Western blotting for E-cad and Vim expression in HE and HM subclones, including epithelial-predominant subclones (E-sc60 and E-sc66), mixed epithelial and mesenchymal subclones (E-sc47 and E-sc50), mesenchymal-predominant subclones (E-sc13 and E-sc37), and mesenchymal-predominant HM subclones (M-sc1 and M-sc5). Two additional clones, B-sc3 and B-sc4, which showed variable E-cad and Vim expression, were not included in the subsequent analyses. </w:t>
      </w:r>
      <w:r w:rsidR="00B86D31" w:rsidRPr="00B86D31">
        <w:rPr>
          <w:b/>
          <w:sz w:val="24"/>
          <w:lang w:val="en-GB"/>
        </w:rPr>
        <w:t>B</w:t>
      </w:r>
      <w:r w:rsidRPr="00473A27">
        <w:rPr>
          <w:sz w:val="24"/>
          <w:lang w:val="en-GB"/>
        </w:rPr>
        <w:t xml:space="preserve"> </w:t>
      </w:r>
      <w:proofErr w:type="spellStart"/>
      <w:r w:rsidRPr="00473A27">
        <w:rPr>
          <w:sz w:val="24"/>
          <w:lang w:val="en-GB"/>
        </w:rPr>
        <w:t>Transwell</w:t>
      </w:r>
      <w:proofErr w:type="spellEnd"/>
      <w:r w:rsidRPr="00473A27">
        <w:rPr>
          <w:sz w:val="24"/>
          <w:lang w:val="en-GB"/>
        </w:rPr>
        <w:t xml:space="preserve"> and soft agar assay</w:t>
      </w:r>
      <w:r>
        <w:rPr>
          <w:sz w:val="24"/>
          <w:lang w:val="en-GB"/>
        </w:rPr>
        <w:t>s</w:t>
      </w:r>
      <w:r w:rsidRPr="00473A27">
        <w:rPr>
          <w:sz w:val="24"/>
          <w:lang w:val="en-GB"/>
        </w:rPr>
        <w:t xml:space="preserve">. The migration and invasion ability were examined using </w:t>
      </w:r>
      <w:proofErr w:type="spellStart"/>
      <w:r w:rsidRPr="00473A27">
        <w:rPr>
          <w:sz w:val="24"/>
          <w:lang w:val="en-GB"/>
        </w:rPr>
        <w:t>transwells</w:t>
      </w:r>
      <w:proofErr w:type="spellEnd"/>
      <w:r w:rsidRPr="00473A27">
        <w:rPr>
          <w:sz w:val="24"/>
          <w:lang w:val="en-GB"/>
        </w:rPr>
        <w:t xml:space="preserve"> without and with Matrigel coating, respectively, and anchorage-independent growth ability was examined using soft agar assay. The MTT assay was </w:t>
      </w:r>
      <w:r w:rsidRPr="00473A27">
        <w:rPr>
          <w:sz w:val="24"/>
          <w:lang w:val="en-GB"/>
        </w:rPr>
        <w:lastRenderedPageBreak/>
        <w:t>used to measure cell proliferation. The OD value of each cell was normali</w:t>
      </w:r>
      <w:r>
        <w:rPr>
          <w:sz w:val="24"/>
          <w:lang w:val="en-GB"/>
        </w:rPr>
        <w:t>s</w:t>
      </w:r>
      <w:r w:rsidRPr="00473A27">
        <w:rPr>
          <w:sz w:val="24"/>
          <w:lang w:val="en-GB"/>
        </w:rPr>
        <w:t>ed by the corresponding OD value at 1 h.</w:t>
      </w:r>
    </w:p>
    <w:p w:rsidR="00EE59B0" w:rsidRPr="00E57079" w:rsidRDefault="00EE59B0">
      <w:pPr>
        <w:rPr>
          <w:lang w:val="en-GB"/>
        </w:rPr>
      </w:pPr>
    </w:p>
    <w:sectPr w:rsidR="00EE59B0" w:rsidRPr="00E570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4AA3" w:rsidRDefault="00E64AA3" w:rsidP="00E57079">
      <w:r>
        <w:separator/>
      </w:r>
    </w:p>
  </w:endnote>
  <w:endnote w:type="continuationSeparator" w:id="0">
    <w:p w:rsidR="00E64AA3" w:rsidRDefault="00E64AA3" w:rsidP="00E57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4AA3" w:rsidRDefault="00E64AA3" w:rsidP="00E57079">
      <w:r>
        <w:separator/>
      </w:r>
    </w:p>
  </w:footnote>
  <w:footnote w:type="continuationSeparator" w:id="0">
    <w:p w:rsidR="00E64AA3" w:rsidRDefault="00E64AA3" w:rsidP="00E57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D4E"/>
    <w:rsid w:val="004F3AA0"/>
    <w:rsid w:val="00976F00"/>
    <w:rsid w:val="00993B9B"/>
    <w:rsid w:val="009A7C0A"/>
    <w:rsid w:val="009C733C"/>
    <w:rsid w:val="00B86D31"/>
    <w:rsid w:val="00E57079"/>
    <w:rsid w:val="00E64AA3"/>
    <w:rsid w:val="00EE59B0"/>
    <w:rsid w:val="00F9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2B218"/>
  <w15:chartTrackingRefBased/>
  <w15:docId w15:val="{23118EDC-45F4-4C16-8D91-D1F879D2A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0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5707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570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57079"/>
    <w:rPr>
      <w:sz w:val="20"/>
      <w:szCs w:val="20"/>
    </w:rPr>
  </w:style>
  <w:style w:type="paragraph" w:customStyle="1" w:styleId="SFLfigurecaption">
    <w:name w:val="SFL_figure_caption"/>
    <w:basedOn w:val="a"/>
    <w:qFormat/>
    <w:rsid w:val="00E57079"/>
    <w:pPr>
      <w:widowControl/>
      <w:adjustRightInd w:val="0"/>
      <w:snapToGrid w:val="0"/>
      <w:spacing w:before="60" w:line="260" w:lineRule="atLeast"/>
      <w:ind w:left="142" w:right="142"/>
      <w:jc w:val="both"/>
    </w:pPr>
    <w:rPr>
      <w:rFonts w:ascii="Times New Roman" w:eastAsia="Times New Roman" w:hAnsi="Times New Roman" w:cs="Times New Roman"/>
      <w:bCs/>
      <w:kern w:val="0"/>
      <w:sz w:val="22"/>
      <w:szCs w:val="20"/>
      <w:lang w:eastAsia="de-DE" w:bidi="en-US"/>
    </w:rPr>
  </w:style>
  <w:style w:type="paragraph" w:customStyle="1" w:styleId="SFLfigure">
    <w:name w:val="SFL_figure"/>
    <w:qFormat/>
    <w:rsid w:val="00E57079"/>
    <w:pPr>
      <w:jc w:val="center"/>
    </w:pPr>
    <w:rPr>
      <w:rFonts w:ascii="Times New Roman" w:eastAsia="Times New Roman" w:hAnsi="Times New Roman" w:cs="Times New Roman"/>
      <w:iCs/>
      <w:snapToGrid w:val="0"/>
      <w:sz w:val="22"/>
      <w:szCs w:val="24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5</cp:revision>
  <dcterms:created xsi:type="dcterms:W3CDTF">2022-11-13T13:50:00Z</dcterms:created>
  <dcterms:modified xsi:type="dcterms:W3CDTF">2024-04-02T07:59:00Z</dcterms:modified>
</cp:coreProperties>
</file>