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67FC17" w14:textId="4B1A91CB" w:rsidR="00502AE2" w:rsidRDefault="002336DD" w:rsidP="00770758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  <w:sz w:val="24"/>
          <w:szCs w:val="28"/>
        </w:rPr>
      </w:pPr>
      <w:r w:rsidRPr="00474BF3">
        <w:rPr>
          <w:rFonts w:ascii="Times New Roman" w:hAnsi="Times New Roman" w:cs="Times New Roman"/>
          <w:b/>
          <w:bCs/>
          <w:sz w:val="24"/>
          <w:szCs w:val="28"/>
        </w:rPr>
        <w:t>Table S1.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r w:rsidR="00562799">
        <w:rPr>
          <w:rFonts w:ascii="Times New Roman" w:hAnsi="Times New Roman" w:cs="Times New Roman"/>
          <w:sz w:val="24"/>
          <w:szCs w:val="28"/>
        </w:rPr>
        <w:t>Implementation of ZUMA-12 eligibility criteria in SMC-LCS registry data for external comparator arm selection</w:t>
      </w:r>
    </w:p>
    <w:tbl>
      <w:tblPr>
        <w:tblStyle w:val="3"/>
        <w:tblW w:w="10485" w:type="dxa"/>
        <w:tblLook w:val="04A0" w:firstRow="1" w:lastRow="0" w:firstColumn="1" w:lastColumn="0" w:noHBand="0" w:noVBand="1"/>
      </w:tblPr>
      <w:tblGrid>
        <w:gridCol w:w="5949"/>
        <w:gridCol w:w="4536"/>
      </w:tblGrid>
      <w:tr w:rsidR="00C26D0A" w:rsidRPr="005E6EF6" w14:paraId="319FFA48" w14:textId="77777777" w:rsidTr="008827AE">
        <w:trPr>
          <w:trHeight w:val="144"/>
          <w:tblHeader/>
        </w:trPr>
        <w:tc>
          <w:tcPr>
            <w:tcW w:w="5949" w:type="dxa"/>
            <w:shd w:val="clear" w:color="auto" w:fill="D9D9D9"/>
            <w:vAlign w:val="center"/>
          </w:tcPr>
          <w:p w14:paraId="24AEA20C" w14:textId="581CB17A" w:rsidR="00C26D0A" w:rsidRPr="005E6EF6" w:rsidRDefault="006F587B" w:rsidP="008827AE">
            <w:pPr>
              <w:jc w:val="center"/>
              <w:textAlignment w:val="baseline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ZUMA-12 Eligibility criteria</w:t>
            </w:r>
          </w:p>
        </w:tc>
        <w:tc>
          <w:tcPr>
            <w:tcW w:w="4536" w:type="dxa"/>
            <w:shd w:val="clear" w:color="auto" w:fill="D9D9D9"/>
            <w:vAlign w:val="center"/>
          </w:tcPr>
          <w:p w14:paraId="5A8B6B4B" w14:textId="03456854" w:rsidR="00C26D0A" w:rsidRPr="005E6EF6" w:rsidRDefault="009D3DFA" w:rsidP="008827AE">
            <w:pPr>
              <w:jc w:val="center"/>
              <w:textAlignment w:val="baseline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External comparator arm selection in SMC-LCS</w:t>
            </w:r>
          </w:p>
        </w:tc>
      </w:tr>
      <w:tr w:rsidR="00C26D0A" w:rsidRPr="005E6EF6" w14:paraId="0CEC2C07" w14:textId="77777777" w:rsidTr="009D3DFA">
        <w:trPr>
          <w:trHeight w:val="144"/>
        </w:trPr>
        <w:tc>
          <w:tcPr>
            <w:tcW w:w="10485" w:type="dxa"/>
            <w:gridSpan w:val="2"/>
            <w:shd w:val="clear" w:color="auto" w:fill="F2F2F2"/>
          </w:tcPr>
          <w:p w14:paraId="6151746C" w14:textId="77777777" w:rsidR="00C26D0A" w:rsidRPr="005E6EF6" w:rsidRDefault="00C26D0A" w:rsidP="00BF4E67">
            <w:pPr>
              <w:textAlignment w:val="baseline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5E6EF6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Inclusion criteria</w:t>
            </w:r>
          </w:p>
        </w:tc>
      </w:tr>
      <w:tr w:rsidR="00C26D0A" w:rsidRPr="005E6EF6" w14:paraId="767D9221" w14:textId="77777777" w:rsidTr="009D3DFA">
        <w:trPr>
          <w:trHeight w:val="288"/>
        </w:trPr>
        <w:tc>
          <w:tcPr>
            <w:tcW w:w="5949" w:type="dxa"/>
          </w:tcPr>
          <w:p w14:paraId="5B61C562" w14:textId="77777777" w:rsidR="00C26D0A" w:rsidRPr="005E6EF6" w:rsidRDefault="00C26D0A" w:rsidP="00BF4E67">
            <w:pPr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E6EF6"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A</w:t>
            </w:r>
            <w:r w:rsidRPr="005E6EF6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ged 18 years or older</w:t>
            </w:r>
          </w:p>
        </w:tc>
        <w:tc>
          <w:tcPr>
            <w:tcW w:w="4536" w:type="dxa"/>
          </w:tcPr>
          <w:p w14:paraId="50DE2D52" w14:textId="77777777" w:rsidR="00C26D0A" w:rsidRPr="005E6EF6" w:rsidRDefault="00C26D0A" w:rsidP="00BF4E67">
            <w:pPr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E6EF6"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S</w:t>
            </w:r>
            <w:r w:rsidRPr="005E6EF6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ame</w:t>
            </w:r>
          </w:p>
        </w:tc>
      </w:tr>
      <w:tr w:rsidR="00C26D0A" w:rsidRPr="005E6EF6" w14:paraId="7B6DE467" w14:textId="77777777" w:rsidTr="009D3DFA">
        <w:trPr>
          <w:trHeight w:val="144"/>
        </w:trPr>
        <w:tc>
          <w:tcPr>
            <w:tcW w:w="5949" w:type="dxa"/>
          </w:tcPr>
          <w:p w14:paraId="4A5BF90B" w14:textId="77777777" w:rsidR="00C26D0A" w:rsidRDefault="00C26D0A" w:rsidP="00BF4E67">
            <w:pPr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DB13C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Patients with 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H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igh-risk large B-cell lymphoma:</w:t>
            </w:r>
          </w:p>
          <w:p w14:paraId="456DFAFB" w14:textId="77777777" w:rsidR="00C26D0A" w:rsidRDefault="00C26D0A" w:rsidP="00BF4E67">
            <w:pPr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 </w:t>
            </w:r>
            <w:r w:rsidRPr="00F62FF5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Histologically confirmed large B-cell lymphoma and International Prognostic Index (IPI)</w:t>
            </w:r>
            <w:r>
              <w:rPr>
                <w:rFonts w:hint="eastAsia"/>
              </w:rPr>
              <w:t xml:space="preserve"> </w:t>
            </w:r>
            <w:r>
              <w:t xml:space="preserve">score </w:t>
            </w:r>
            <w:r w:rsidRPr="00F62FF5"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≥</w:t>
            </w:r>
            <w:r w:rsidRPr="00F62FF5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3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at initial diagnosis or enrollment</w:t>
            </w:r>
          </w:p>
          <w:p w14:paraId="27423CD0" w14:textId="77777777" w:rsidR="00C26D0A" w:rsidRPr="00F62FF5" w:rsidRDefault="00C26D0A" w:rsidP="00BF4E67">
            <w:pPr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 </w:t>
            </w:r>
            <w:r w:rsidRPr="00E17D68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High-grade large B-cell lymphoma and double hit or triple hit lymphoma (MYC, BCL2,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E17D68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BCL6 translocations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) at initial diagnosis or enrollment</w:t>
            </w:r>
          </w:p>
        </w:tc>
        <w:tc>
          <w:tcPr>
            <w:tcW w:w="4536" w:type="dxa"/>
          </w:tcPr>
          <w:p w14:paraId="3323B1EF" w14:textId="77777777" w:rsidR="00C26D0A" w:rsidRPr="005E6EF6" w:rsidRDefault="00C26D0A" w:rsidP="00BF4E67">
            <w:pPr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E6EF6"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S</w:t>
            </w:r>
            <w:r w:rsidRPr="005E6EF6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ame</w:t>
            </w:r>
          </w:p>
        </w:tc>
      </w:tr>
      <w:tr w:rsidR="00C26D0A" w:rsidRPr="005E6EF6" w14:paraId="72543DAD" w14:textId="77777777" w:rsidTr="009D3DFA">
        <w:trPr>
          <w:trHeight w:val="144"/>
        </w:trPr>
        <w:tc>
          <w:tcPr>
            <w:tcW w:w="5949" w:type="dxa"/>
          </w:tcPr>
          <w:p w14:paraId="41E047AB" w14:textId="77777777" w:rsidR="00C26D0A" w:rsidRPr="00AE4584" w:rsidRDefault="00C26D0A" w:rsidP="00BF4E67">
            <w:pPr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CA6D18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Individuals must have a positive interim positron emission tomography (PET) per </w:t>
            </w:r>
            <w:proofErr w:type="spellStart"/>
            <w:r w:rsidRPr="00CA6D18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Cheson</w:t>
            </w:r>
            <w:proofErr w:type="spellEnd"/>
            <w:r w:rsidRPr="00CA6D18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, 2014 (Deauville PET score of 4 or 5) after 2 cycles (PET2+) of chemoimmunotherapy</w:t>
            </w:r>
          </w:p>
        </w:tc>
        <w:tc>
          <w:tcPr>
            <w:tcW w:w="4536" w:type="dxa"/>
          </w:tcPr>
          <w:p w14:paraId="542A3586" w14:textId="77777777" w:rsidR="00C26D0A" w:rsidRPr="00837BBA" w:rsidRDefault="00C26D0A" w:rsidP="00BF4E67">
            <w:pPr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E6EF6"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S</w:t>
            </w:r>
            <w:r w:rsidRPr="005E6EF6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ame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, </w:t>
            </w:r>
            <w:r w:rsidRPr="00837BB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Measurements were performed after 2 or 3 cycles of </w:t>
            </w:r>
            <w:r w:rsidRPr="00CA6D18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chemoimmunotherapy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.</w:t>
            </w:r>
          </w:p>
        </w:tc>
      </w:tr>
      <w:tr w:rsidR="00C26D0A" w:rsidRPr="005E6EF6" w14:paraId="2CEB2765" w14:textId="77777777" w:rsidTr="009D3DFA">
        <w:trPr>
          <w:trHeight w:val="144"/>
        </w:trPr>
        <w:tc>
          <w:tcPr>
            <w:tcW w:w="5949" w:type="dxa"/>
          </w:tcPr>
          <w:p w14:paraId="24CF1A8C" w14:textId="77777777" w:rsidR="00C26D0A" w:rsidRPr="00AE4584" w:rsidRDefault="00C26D0A" w:rsidP="00BF4E67">
            <w:pPr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00AF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No evidence, suspicion and/or history of central nervous system (CNS) involvement of lymphoma</w:t>
            </w:r>
          </w:p>
        </w:tc>
        <w:tc>
          <w:tcPr>
            <w:tcW w:w="4536" w:type="dxa"/>
          </w:tcPr>
          <w:p w14:paraId="383A3AB6" w14:textId="77777777" w:rsidR="00C26D0A" w:rsidRPr="005E6EF6" w:rsidRDefault="00C26D0A" w:rsidP="00BF4E67">
            <w:pPr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S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ame</w:t>
            </w:r>
          </w:p>
        </w:tc>
      </w:tr>
      <w:tr w:rsidR="00C26D0A" w:rsidRPr="005E6EF6" w14:paraId="4DB370CB" w14:textId="77777777" w:rsidTr="009D3DFA">
        <w:trPr>
          <w:trHeight w:val="144"/>
        </w:trPr>
        <w:tc>
          <w:tcPr>
            <w:tcW w:w="5949" w:type="dxa"/>
          </w:tcPr>
          <w:p w14:paraId="545307E9" w14:textId="77777777" w:rsidR="00C26D0A" w:rsidRPr="00AE4584" w:rsidRDefault="00C26D0A" w:rsidP="00BF4E67">
            <w:pPr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00AF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Eastern Cooperative Oncology Group (ECOG) performance status of 0 or 1</w:t>
            </w:r>
          </w:p>
        </w:tc>
        <w:tc>
          <w:tcPr>
            <w:tcW w:w="4536" w:type="dxa"/>
          </w:tcPr>
          <w:p w14:paraId="106354A8" w14:textId="77777777" w:rsidR="00C26D0A" w:rsidRPr="005E6EF6" w:rsidRDefault="00C26D0A" w:rsidP="00BF4E67">
            <w:pPr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S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ame</w:t>
            </w:r>
          </w:p>
        </w:tc>
      </w:tr>
      <w:tr w:rsidR="00C26D0A" w:rsidRPr="005E6EF6" w14:paraId="1E694C5E" w14:textId="77777777" w:rsidTr="009D3DFA">
        <w:trPr>
          <w:trHeight w:val="144"/>
        </w:trPr>
        <w:tc>
          <w:tcPr>
            <w:tcW w:w="5949" w:type="dxa"/>
            <w:tcBorders>
              <w:bottom w:val="single" w:sz="4" w:space="0" w:color="auto"/>
            </w:tcBorders>
          </w:tcPr>
          <w:p w14:paraId="77FB0BB0" w14:textId="77777777" w:rsidR="00C26D0A" w:rsidRPr="005E6EF6" w:rsidRDefault="00C26D0A" w:rsidP="00BF4E67">
            <w:pPr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E6EF6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Adequate bone marrow reserve without transfusions defined as:</w:t>
            </w:r>
          </w:p>
          <w:p w14:paraId="74FC4703" w14:textId="77777777" w:rsidR="00C26D0A" w:rsidRPr="005E6EF6" w:rsidRDefault="00C26D0A" w:rsidP="00BF4E67">
            <w:pPr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E6EF6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-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5E6EF6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Absolute neutrophil count (ANC) &gt; 1.000/mm3</w:t>
            </w:r>
          </w:p>
          <w:p w14:paraId="0D3D2379" w14:textId="77777777" w:rsidR="00C26D0A" w:rsidRPr="005E6EF6" w:rsidRDefault="00C26D0A" w:rsidP="00BF4E67">
            <w:pPr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E6EF6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 Absolute lymphocyte count (ALC) ≥ 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100</w:t>
            </w:r>
            <w:r w:rsidRPr="005E6EF6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/mm3</w:t>
            </w:r>
          </w:p>
          <w:p w14:paraId="7D86834A" w14:textId="77777777" w:rsidR="00C26D0A" w:rsidRPr="005E6EF6" w:rsidRDefault="00C26D0A" w:rsidP="00BF4E67">
            <w:pP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E6EF6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- Platelets ≥ 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75,000</w:t>
            </w:r>
            <w:r w:rsidRPr="005E6EF6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//mm3</w:t>
            </w:r>
          </w:p>
        </w:tc>
        <w:tc>
          <w:tcPr>
            <w:tcW w:w="4536" w:type="dxa"/>
          </w:tcPr>
          <w:p w14:paraId="2C679FC6" w14:textId="77777777" w:rsidR="00C26D0A" w:rsidRPr="005E6EF6" w:rsidRDefault="00C26D0A" w:rsidP="00BF4E67">
            <w:pPr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E6EF6"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N</w:t>
            </w:r>
            <w:r w:rsidRPr="005E6EF6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/A</w:t>
            </w:r>
          </w:p>
        </w:tc>
      </w:tr>
      <w:tr w:rsidR="00C26D0A" w:rsidRPr="005E6EF6" w14:paraId="0D783AE7" w14:textId="77777777" w:rsidTr="009D3DFA">
        <w:trPr>
          <w:trHeight w:val="144"/>
        </w:trPr>
        <w:tc>
          <w:tcPr>
            <w:tcW w:w="5949" w:type="dxa"/>
            <w:tcBorders>
              <w:bottom w:val="single" w:sz="4" w:space="0" w:color="auto"/>
            </w:tcBorders>
          </w:tcPr>
          <w:p w14:paraId="48A37908" w14:textId="77777777" w:rsidR="00C26D0A" w:rsidRDefault="00C26D0A" w:rsidP="00BF4E67">
            <w:pPr>
              <w:spacing w:line="259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C39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Adequate renal, hepatic, pulmonary, and cardiac function defined as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:</w:t>
            </w:r>
          </w:p>
          <w:p w14:paraId="4266FB4D" w14:textId="77777777" w:rsidR="00C26D0A" w:rsidRDefault="00C26D0A" w:rsidP="00BF4E67">
            <w:pPr>
              <w:spacing w:line="259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-</w:t>
            </w:r>
            <w:r w:rsidRPr="006C39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Creatinine clearance (as estimated by Cockcroft Gault) ≥ 60 mL/min</w:t>
            </w:r>
          </w:p>
          <w:p w14:paraId="03C3992F" w14:textId="77777777" w:rsidR="00C26D0A" w:rsidRDefault="00C26D0A" w:rsidP="00BF4E67">
            <w:pPr>
              <w:spacing w:line="259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-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6C39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Serum alanine aminotransferase (ALT) and aspartate aminotransferase (AST) ≤ 2.5 upper limit of normal (ULN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)</w:t>
            </w:r>
          </w:p>
          <w:p w14:paraId="01D85C3F" w14:textId="77777777" w:rsidR="00C26D0A" w:rsidRPr="005E6EF6" w:rsidRDefault="00C26D0A" w:rsidP="00BF4E67">
            <w:pPr>
              <w:spacing w:line="259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-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3D461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Total bilirubin ≤1.5 mg/dL, except in individuals with Gilbert's syndrome</w:t>
            </w:r>
          </w:p>
        </w:tc>
        <w:tc>
          <w:tcPr>
            <w:tcW w:w="4536" w:type="dxa"/>
          </w:tcPr>
          <w:p w14:paraId="64578AE4" w14:textId="77777777" w:rsidR="00C26D0A" w:rsidRPr="005E6EF6" w:rsidRDefault="00C26D0A" w:rsidP="00BF4E67">
            <w:pPr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E6EF6"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N</w:t>
            </w:r>
            <w:r w:rsidRPr="005E6EF6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/A</w:t>
            </w:r>
          </w:p>
        </w:tc>
      </w:tr>
      <w:tr w:rsidR="00C26D0A" w:rsidRPr="005E6EF6" w14:paraId="139A2820" w14:textId="77777777" w:rsidTr="009D3DFA">
        <w:trPr>
          <w:trHeight w:val="144"/>
        </w:trPr>
        <w:tc>
          <w:tcPr>
            <w:tcW w:w="5949" w:type="dxa"/>
          </w:tcPr>
          <w:p w14:paraId="587873E0" w14:textId="77777777" w:rsidR="00C26D0A" w:rsidRPr="008204D0" w:rsidRDefault="00C26D0A" w:rsidP="00BF4E67">
            <w:pPr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204D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Cardiac ejection fraction ≥ 50%, no evidence of pericardial effusion as determined by an echocardiogram (ECHO), and no clinically significant electrocardiogram (ECG) findings</w:t>
            </w:r>
          </w:p>
        </w:tc>
        <w:tc>
          <w:tcPr>
            <w:tcW w:w="4536" w:type="dxa"/>
          </w:tcPr>
          <w:p w14:paraId="20024EEA" w14:textId="77777777" w:rsidR="00C26D0A" w:rsidRPr="005E6EF6" w:rsidRDefault="00C26D0A" w:rsidP="00BF4E67">
            <w:pPr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E6EF6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N/A</w:t>
            </w:r>
          </w:p>
        </w:tc>
      </w:tr>
      <w:tr w:rsidR="00C26D0A" w:rsidRPr="005E6EF6" w14:paraId="1955A4EE" w14:textId="77777777" w:rsidTr="009D3DFA">
        <w:trPr>
          <w:trHeight w:val="144"/>
        </w:trPr>
        <w:tc>
          <w:tcPr>
            <w:tcW w:w="5949" w:type="dxa"/>
          </w:tcPr>
          <w:p w14:paraId="1C02012F" w14:textId="77777777" w:rsidR="00C26D0A" w:rsidRPr="008204D0" w:rsidRDefault="00C26D0A" w:rsidP="00BF4E67">
            <w:pPr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204D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No clinically significant pleural effusion</w:t>
            </w:r>
          </w:p>
        </w:tc>
        <w:tc>
          <w:tcPr>
            <w:tcW w:w="4536" w:type="dxa"/>
          </w:tcPr>
          <w:p w14:paraId="13F42C56" w14:textId="77777777" w:rsidR="00C26D0A" w:rsidRPr="005E6EF6" w:rsidRDefault="00C26D0A" w:rsidP="00BF4E67">
            <w:pPr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E6EF6"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N</w:t>
            </w:r>
            <w:r w:rsidRPr="005E6EF6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/A</w:t>
            </w:r>
          </w:p>
        </w:tc>
      </w:tr>
      <w:tr w:rsidR="00C26D0A" w:rsidRPr="005E6EF6" w14:paraId="5E90FA77" w14:textId="77777777" w:rsidTr="009D3DFA">
        <w:trPr>
          <w:trHeight w:val="144"/>
        </w:trPr>
        <w:tc>
          <w:tcPr>
            <w:tcW w:w="5949" w:type="dxa"/>
          </w:tcPr>
          <w:p w14:paraId="05A4EF18" w14:textId="77777777" w:rsidR="00C26D0A" w:rsidRPr="00C91549" w:rsidRDefault="00C26D0A" w:rsidP="00BF4E67">
            <w:pPr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C915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Baseline oxygen saturation &gt; 92% on room air</w:t>
            </w:r>
          </w:p>
        </w:tc>
        <w:tc>
          <w:tcPr>
            <w:tcW w:w="4536" w:type="dxa"/>
          </w:tcPr>
          <w:p w14:paraId="23751AC7" w14:textId="77777777" w:rsidR="00C26D0A" w:rsidRPr="005E6EF6" w:rsidRDefault="00C26D0A" w:rsidP="00BF4E67">
            <w:pPr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E6EF6"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N</w:t>
            </w:r>
            <w:r w:rsidRPr="005E6EF6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/A</w:t>
            </w:r>
          </w:p>
        </w:tc>
      </w:tr>
      <w:tr w:rsidR="00C26D0A" w:rsidRPr="005E6EF6" w14:paraId="53756B9D" w14:textId="77777777" w:rsidTr="009D3DFA">
        <w:trPr>
          <w:trHeight w:val="144"/>
        </w:trPr>
        <w:tc>
          <w:tcPr>
            <w:tcW w:w="10485" w:type="dxa"/>
            <w:gridSpan w:val="2"/>
            <w:shd w:val="clear" w:color="auto" w:fill="F2F2F2"/>
          </w:tcPr>
          <w:p w14:paraId="7AE58D94" w14:textId="77777777" w:rsidR="00C26D0A" w:rsidRPr="005E6EF6" w:rsidRDefault="00C26D0A" w:rsidP="00BF4E67">
            <w:pPr>
              <w:textAlignment w:val="baseline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5E6EF6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Exclusion criteria</w:t>
            </w:r>
          </w:p>
        </w:tc>
      </w:tr>
      <w:tr w:rsidR="00C26D0A" w:rsidRPr="005E6EF6" w14:paraId="6913D4E7" w14:textId="77777777" w:rsidTr="009D3DFA">
        <w:trPr>
          <w:trHeight w:val="144"/>
        </w:trPr>
        <w:tc>
          <w:tcPr>
            <w:tcW w:w="5949" w:type="dxa"/>
          </w:tcPr>
          <w:p w14:paraId="5AAE41D2" w14:textId="77777777" w:rsidR="00C26D0A" w:rsidRPr="00C91549" w:rsidRDefault="00C26D0A" w:rsidP="00BF4E67">
            <w:pPr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C915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History of malignancy other than nonmelanoma skin cancer or carcinoma in situ (</w:t>
            </w:r>
            <w:proofErr w:type="spellStart"/>
            <w:r w:rsidRPr="00C915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eg</w:t>
            </w:r>
            <w:proofErr w:type="spellEnd"/>
            <w:r w:rsidRPr="00C915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cervix, bladder, breast) unless disease free for at least 3 years</w:t>
            </w:r>
          </w:p>
        </w:tc>
        <w:tc>
          <w:tcPr>
            <w:tcW w:w="4536" w:type="dxa"/>
          </w:tcPr>
          <w:p w14:paraId="6A2002AF" w14:textId="77777777" w:rsidR="00C26D0A" w:rsidRPr="005E6EF6" w:rsidRDefault="00C26D0A" w:rsidP="00BF4E67">
            <w:pPr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S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ame</w:t>
            </w:r>
          </w:p>
        </w:tc>
      </w:tr>
      <w:tr w:rsidR="00C26D0A" w:rsidRPr="005E6EF6" w14:paraId="6C3862F2" w14:textId="77777777" w:rsidTr="009D3DFA">
        <w:trPr>
          <w:trHeight w:val="144"/>
        </w:trPr>
        <w:tc>
          <w:tcPr>
            <w:tcW w:w="5949" w:type="dxa"/>
          </w:tcPr>
          <w:p w14:paraId="38DBA03F" w14:textId="77777777" w:rsidR="00C26D0A" w:rsidRPr="00C91549" w:rsidRDefault="00C26D0A" w:rsidP="00BF4E67">
            <w:pPr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C9154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History of Richter's transformation of chronic lymphocytic leukemia or primary mediastinal B-cell lymphoma</w:t>
            </w:r>
          </w:p>
        </w:tc>
        <w:tc>
          <w:tcPr>
            <w:tcW w:w="4536" w:type="dxa"/>
          </w:tcPr>
          <w:p w14:paraId="5C9F742A" w14:textId="77777777" w:rsidR="00C26D0A" w:rsidRPr="005E6EF6" w:rsidRDefault="00C26D0A" w:rsidP="00BF4E67">
            <w:pPr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S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ame</w:t>
            </w:r>
          </w:p>
        </w:tc>
      </w:tr>
      <w:tr w:rsidR="00C26D0A" w:rsidRPr="005E6EF6" w14:paraId="49D826EA" w14:textId="77777777" w:rsidTr="009D3DFA">
        <w:trPr>
          <w:trHeight w:val="144"/>
        </w:trPr>
        <w:tc>
          <w:tcPr>
            <w:tcW w:w="5949" w:type="dxa"/>
          </w:tcPr>
          <w:p w14:paraId="4A38C923" w14:textId="77777777" w:rsidR="00C26D0A" w:rsidRPr="00B869E3" w:rsidRDefault="00C26D0A" w:rsidP="00BF4E67">
            <w:pPr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B869E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History of autologous or allogeneic stem cell transplant</w:t>
            </w:r>
          </w:p>
        </w:tc>
        <w:tc>
          <w:tcPr>
            <w:tcW w:w="4536" w:type="dxa"/>
          </w:tcPr>
          <w:p w14:paraId="7F891ADA" w14:textId="77777777" w:rsidR="00C26D0A" w:rsidRPr="005E6EF6" w:rsidRDefault="00C26D0A" w:rsidP="00BF4E67">
            <w:pPr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E6EF6"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S</w:t>
            </w:r>
            <w:r w:rsidRPr="005E6EF6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ame</w:t>
            </w:r>
          </w:p>
        </w:tc>
      </w:tr>
      <w:tr w:rsidR="00C26D0A" w:rsidRPr="005E6EF6" w14:paraId="20D81C21" w14:textId="77777777" w:rsidTr="009D3DFA">
        <w:trPr>
          <w:trHeight w:val="144"/>
        </w:trPr>
        <w:tc>
          <w:tcPr>
            <w:tcW w:w="5949" w:type="dxa"/>
          </w:tcPr>
          <w:p w14:paraId="0459B375" w14:textId="77777777" w:rsidR="00C26D0A" w:rsidRPr="005E6EF6" w:rsidRDefault="00C26D0A" w:rsidP="00BF4E67">
            <w:pPr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CD07C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Prior CD19-targeted therapy</w:t>
            </w:r>
          </w:p>
        </w:tc>
        <w:tc>
          <w:tcPr>
            <w:tcW w:w="4536" w:type="dxa"/>
          </w:tcPr>
          <w:p w14:paraId="004637D2" w14:textId="77777777" w:rsidR="00C26D0A" w:rsidRPr="005E6EF6" w:rsidRDefault="00C26D0A" w:rsidP="00BF4E67">
            <w:pPr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E6EF6"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S</w:t>
            </w:r>
            <w:r w:rsidRPr="005E6EF6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ame</w:t>
            </w:r>
          </w:p>
        </w:tc>
      </w:tr>
      <w:tr w:rsidR="00C26D0A" w:rsidRPr="005E6EF6" w14:paraId="2A0E87CE" w14:textId="77777777" w:rsidTr="009D3DFA">
        <w:trPr>
          <w:trHeight w:val="144"/>
        </w:trPr>
        <w:tc>
          <w:tcPr>
            <w:tcW w:w="5949" w:type="dxa"/>
          </w:tcPr>
          <w:p w14:paraId="1DBBD13E" w14:textId="77777777" w:rsidR="00C26D0A" w:rsidRPr="00CD07CC" w:rsidRDefault="00C26D0A" w:rsidP="00BF4E67">
            <w:pPr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CD07C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Prior chimeric antigen receptor therapy or other genetically modified T-cell therapy</w:t>
            </w:r>
          </w:p>
        </w:tc>
        <w:tc>
          <w:tcPr>
            <w:tcW w:w="4536" w:type="dxa"/>
          </w:tcPr>
          <w:p w14:paraId="495702AD" w14:textId="77777777" w:rsidR="00C26D0A" w:rsidRPr="005E6EF6" w:rsidRDefault="00C26D0A" w:rsidP="00BF4E67">
            <w:pPr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E6EF6"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S</w:t>
            </w:r>
            <w:r w:rsidRPr="005E6EF6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ame</w:t>
            </w:r>
          </w:p>
        </w:tc>
      </w:tr>
      <w:tr w:rsidR="00C26D0A" w:rsidRPr="005E6EF6" w14:paraId="0761024E" w14:textId="77777777" w:rsidTr="009D3DFA">
        <w:trPr>
          <w:trHeight w:val="144"/>
        </w:trPr>
        <w:tc>
          <w:tcPr>
            <w:tcW w:w="5949" w:type="dxa"/>
          </w:tcPr>
          <w:p w14:paraId="0A7CC554" w14:textId="77777777" w:rsidR="00C26D0A" w:rsidRPr="005E6EF6" w:rsidRDefault="00C26D0A" w:rsidP="00BF4E67">
            <w:pPr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CD07C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Presence or suspicion of fungal, bacterial, viral, or other infection that is uncontrolled or requiring IV antimicrobials for management</w:t>
            </w:r>
          </w:p>
        </w:tc>
        <w:tc>
          <w:tcPr>
            <w:tcW w:w="4536" w:type="dxa"/>
          </w:tcPr>
          <w:p w14:paraId="6FAAD2AC" w14:textId="77777777" w:rsidR="00C26D0A" w:rsidRPr="005E6EF6" w:rsidRDefault="00C26D0A" w:rsidP="00BF4E67">
            <w:pPr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E6EF6"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S</w:t>
            </w:r>
            <w:r w:rsidRPr="005E6EF6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ame</w:t>
            </w:r>
          </w:p>
        </w:tc>
      </w:tr>
      <w:tr w:rsidR="00C26D0A" w:rsidRPr="005E6EF6" w14:paraId="463651FF" w14:textId="77777777" w:rsidTr="009D3DFA">
        <w:trPr>
          <w:trHeight w:val="50"/>
        </w:trPr>
        <w:tc>
          <w:tcPr>
            <w:tcW w:w="5949" w:type="dxa"/>
          </w:tcPr>
          <w:p w14:paraId="2FA21A84" w14:textId="77777777" w:rsidR="00C26D0A" w:rsidRPr="005E6EF6" w:rsidRDefault="00C26D0A" w:rsidP="00BF4E67">
            <w:pPr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90705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History of human immunodeficiency virus (HIV) infection or acute or chronic active hepatitis B or C infection</w:t>
            </w:r>
          </w:p>
        </w:tc>
        <w:tc>
          <w:tcPr>
            <w:tcW w:w="4536" w:type="dxa"/>
          </w:tcPr>
          <w:p w14:paraId="78E00BEC" w14:textId="77777777" w:rsidR="00C26D0A" w:rsidRPr="005E6EF6" w:rsidRDefault="00C26D0A" w:rsidP="00BF4E67">
            <w:pPr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E6EF6"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S</w:t>
            </w:r>
            <w:r w:rsidRPr="005E6EF6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ame</w:t>
            </w:r>
          </w:p>
        </w:tc>
      </w:tr>
      <w:tr w:rsidR="00C26D0A" w:rsidRPr="005E6EF6" w14:paraId="14693894" w14:textId="77777777" w:rsidTr="009D3DFA">
        <w:trPr>
          <w:trHeight w:val="50"/>
        </w:trPr>
        <w:tc>
          <w:tcPr>
            <w:tcW w:w="5949" w:type="dxa"/>
          </w:tcPr>
          <w:p w14:paraId="2CF487D1" w14:textId="77777777" w:rsidR="00C26D0A" w:rsidRPr="005E6EF6" w:rsidRDefault="00C26D0A" w:rsidP="00BF4E67">
            <w:pPr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46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Presence of any indwelling line or drain dedicated central venous access catheters, such as a Port-a-Cath or Hickman catheter, are permitted</w:t>
            </w:r>
          </w:p>
        </w:tc>
        <w:tc>
          <w:tcPr>
            <w:tcW w:w="4536" w:type="dxa"/>
          </w:tcPr>
          <w:p w14:paraId="3C0B3125" w14:textId="77777777" w:rsidR="00C26D0A" w:rsidRPr="005E6EF6" w:rsidRDefault="00C26D0A" w:rsidP="00BF4E67">
            <w:pPr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S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ame</w:t>
            </w:r>
          </w:p>
        </w:tc>
      </w:tr>
      <w:tr w:rsidR="00C26D0A" w:rsidRPr="005E6EF6" w14:paraId="51E5C80A" w14:textId="77777777" w:rsidTr="009D3DFA">
        <w:trPr>
          <w:trHeight w:val="50"/>
        </w:trPr>
        <w:tc>
          <w:tcPr>
            <w:tcW w:w="5949" w:type="dxa"/>
          </w:tcPr>
          <w:p w14:paraId="23AC3AF7" w14:textId="77777777" w:rsidR="00C26D0A" w:rsidRPr="007702E9" w:rsidRDefault="00C26D0A" w:rsidP="00BF4E67">
            <w:pPr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702E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Individuals with detectable cerebrospinal fluid malignant cells, brain metastases, or active CNS lymphoma</w:t>
            </w:r>
          </w:p>
        </w:tc>
        <w:tc>
          <w:tcPr>
            <w:tcW w:w="4536" w:type="dxa"/>
          </w:tcPr>
          <w:p w14:paraId="215EEE39" w14:textId="77777777" w:rsidR="00C26D0A" w:rsidRPr="005E6EF6" w:rsidRDefault="00C26D0A" w:rsidP="00BF4E67">
            <w:pPr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E6EF6"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S</w:t>
            </w:r>
            <w:r w:rsidRPr="005E6EF6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ame</w:t>
            </w:r>
          </w:p>
        </w:tc>
      </w:tr>
      <w:tr w:rsidR="00C26D0A" w:rsidRPr="005E6EF6" w14:paraId="052A7E68" w14:textId="77777777" w:rsidTr="009D3DFA">
        <w:trPr>
          <w:trHeight w:val="50"/>
        </w:trPr>
        <w:tc>
          <w:tcPr>
            <w:tcW w:w="5949" w:type="dxa"/>
          </w:tcPr>
          <w:p w14:paraId="7737FE79" w14:textId="77777777" w:rsidR="00C26D0A" w:rsidRPr="005E6EF6" w:rsidRDefault="00C26D0A" w:rsidP="00BF4E67">
            <w:pPr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94E4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History or presence of CNS disorder, such as seizure disorder, cerebrovascular ischemia/hemorrhage, dementia, cerebellar disease, or any autoimmune disease with CNS involvement</w:t>
            </w:r>
          </w:p>
        </w:tc>
        <w:tc>
          <w:tcPr>
            <w:tcW w:w="4536" w:type="dxa"/>
          </w:tcPr>
          <w:p w14:paraId="3A2A55CD" w14:textId="77777777" w:rsidR="00C26D0A" w:rsidRPr="005E6EF6" w:rsidRDefault="00C26D0A" w:rsidP="00BF4E67">
            <w:pPr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E6EF6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Same</w:t>
            </w:r>
          </w:p>
        </w:tc>
      </w:tr>
      <w:tr w:rsidR="00C26D0A" w:rsidRPr="005E6EF6" w14:paraId="4D265A2C" w14:textId="77777777" w:rsidTr="009D3DFA">
        <w:trPr>
          <w:trHeight w:val="247"/>
        </w:trPr>
        <w:tc>
          <w:tcPr>
            <w:tcW w:w="5949" w:type="dxa"/>
          </w:tcPr>
          <w:p w14:paraId="4A400298" w14:textId="77777777" w:rsidR="00C26D0A" w:rsidRPr="00D62248" w:rsidRDefault="00C26D0A" w:rsidP="00BF4E67">
            <w:pPr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D62248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History of myocardial infarction, cardiac angioplasty or stenting, unstable angina, or other clinically significant cardiac disease within 12 months of enrollment</w:t>
            </w:r>
          </w:p>
        </w:tc>
        <w:tc>
          <w:tcPr>
            <w:tcW w:w="4536" w:type="dxa"/>
          </w:tcPr>
          <w:p w14:paraId="14B05E82" w14:textId="77777777" w:rsidR="00C26D0A" w:rsidRPr="005E6EF6" w:rsidRDefault="00C26D0A" w:rsidP="00BF4E67">
            <w:pPr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E6EF6"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N</w:t>
            </w:r>
            <w:r w:rsidRPr="005E6EF6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/A</w:t>
            </w:r>
          </w:p>
        </w:tc>
      </w:tr>
      <w:tr w:rsidR="00C26D0A" w:rsidRPr="005E6EF6" w14:paraId="7B3861EA" w14:textId="77777777" w:rsidTr="009D3DFA">
        <w:trPr>
          <w:trHeight w:val="50"/>
        </w:trPr>
        <w:tc>
          <w:tcPr>
            <w:tcW w:w="5949" w:type="dxa"/>
          </w:tcPr>
          <w:p w14:paraId="535E259F" w14:textId="77777777" w:rsidR="00C26D0A" w:rsidRPr="00D62248" w:rsidRDefault="00C26D0A" w:rsidP="00BF4E67">
            <w:pPr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D62248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History of autoimmune disease resulting in end organ injury or requiring systemic immunosuppression/systemic disease modifying agents within the last 2 years</w:t>
            </w:r>
          </w:p>
        </w:tc>
        <w:tc>
          <w:tcPr>
            <w:tcW w:w="4536" w:type="dxa"/>
          </w:tcPr>
          <w:p w14:paraId="5DD62438" w14:textId="77777777" w:rsidR="00C26D0A" w:rsidRPr="005E6EF6" w:rsidRDefault="00C26D0A" w:rsidP="00BF4E67">
            <w:pPr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E6EF6"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N</w:t>
            </w:r>
            <w:r w:rsidRPr="005E6EF6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/A</w:t>
            </w:r>
          </w:p>
        </w:tc>
      </w:tr>
      <w:tr w:rsidR="00C26D0A" w:rsidRPr="005E6EF6" w14:paraId="63D25919" w14:textId="77777777" w:rsidTr="00770758">
        <w:trPr>
          <w:trHeight w:val="192"/>
        </w:trPr>
        <w:tc>
          <w:tcPr>
            <w:tcW w:w="5949" w:type="dxa"/>
          </w:tcPr>
          <w:p w14:paraId="3D114B97" w14:textId="77777777" w:rsidR="00C26D0A" w:rsidRPr="00D62248" w:rsidRDefault="00C26D0A" w:rsidP="00BF4E67">
            <w:pPr>
              <w:tabs>
                <w:tab w:val="left" w:pos="1650"/>
              </w:tabs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D62248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History of symptomatic deep vein thrombosis or pulmonary embolism within 6 months of enrollment</w:t>
            </w:r>
          </w:p>
        </w:tc>
        <w:tc>
          <w:tcPr>
            <w:tcW w:w="4536" w:type="dxa"/>
          </w:tcPr>
          <w:p w14:paraId="5B8DA3D0" w14:textId="77777777" w:rsidR="00C26D0A" w:rsidRPr="005E6EF6" w:rsidRDefault="00C26D0A" w:rsidP="00BF4E67">
            <w:pPr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E6EF6"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N</w:t>
            </w:r>
            <w:r w:rsidRPr="005E6EF6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/A</w:t>
            </w:r>
          </w:p>
        </w:tc>
      </w:tr>
    </w:tbl>
    <w:p w14:paraId="7998D489" w14:textId="2CC056BD" w:rsidR="00770758" w:rsidRPr="00770758" w:rsidRDefault="00770758" w:rsidP="00770758">
      <w:pPr>
        <w:rPr>
          <w:rFonts w:ascii="Times New Roman" w:hAnsi="Times New Roman" w:cs="Times New Roman"/>
          <w:sz w:val="24"/>
          <w:szCs w:val="28"/>
        </w:rPr>
      </w:pPr>
    </w:p>
    <w:sectPr w:rsidR="00770758" w:rsidRPr="00770758" w:rsidSect="00770758"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D1AE82" w14:textId="77777777" w:rsidR="00502AE2" w:rsidRDefault="00502AE2" w:rsidP="00502AE2">
      <w:pPr>
        <w:spacing w:after="0" w:line="240" w:lineRule="auto"/>
      </w:pPr>
      <w:r>
        <w:separator/>
      </w:r>
    </w:p>
  </w:endnote>
  <w:endnote w:type="continuationSeparator" w:id="0">
    <w:p w14:paraId="5186FB30" w14:textId="77777777" w:rsidR="00502AE2" w:rsidRDefault="00502AE2" w:rsidP="00502A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8B62BD" w14:textId="77777777" w:rsidR="00502AE2" w:rsidRDefault="00502AE2" w:rsidP="00502AE2">
      <w:pPr>
        <w:spacing w:after="0" w:line="240" w:lineRule="auto"/>
      </w:pPr>
      <w:r>
        <w:separator/>
      </w:r>
    </w:p>
  </w:footnote>
  <w:footnote w:type="continuationSeparator" w:id="0">
    <w:p w14:paraId="15F388C0" w14:textId="77777777" w:rsidR="00502AE2" w:rsidRDefault="00502AE2" w:rsidP="00502AE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drawingGridHorizontalSpacing w:val="110"/>
  <w:displayHorizontalDrawingGridEvery w:val="2"/>
  <w:displayVerticalDrawingGridEvery w:val="2"/>
  <w:noPunctuationKerning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2C75"/>
    <w:rsid w:val="00007A04"/>
    <w:rsid w:val="00007BD7"/>
    <w:rsid w:val="00042239"/>
    <w:rsid w:val="000769CD"/>
    <w:rsid w:val="000B5217"/>
    <w:rsid w:val="000B7096"/>
    <w:rsid w:val="000D7584"/>
    <w:rsid w:val="00116DB9"/>
    <w:rsid w:val="00177437"/>
    <w:rsid w:val="00186A1F"/>
    <w:rsid w:val="001952F7"/>
    <w:rsid w:val="0019713C"/>
    <w:rsid w:val="001A1280"/>
    <w:rsid w:val="001D09A5"/>
    <w:rsid w:val="001E6D30"/>
    <w:rsid w:val="001F3D7F"/>
    <w:rsid w:val="002129B0"/>
    <w:rsid w:val="002309E1"/>
    <w:rsid w:val="002336DD"/>
    <w:rsid w:val="00282B33"/>
    <w:rsid w:val="002B5B2A"/>
    <w:rsid w:val="002D7E7F"/>
    <w:rsid w:val="0031545D"/>
    <w:rsid w:val="00336217"/>
    <w:rsid w:val="003408F4"/>
    <w:rsid w:val="00342CA7"/>
    <w:rsid w:val="003A59FB"/>
    <w:rsid w:val="003E2240"/>
    <w:rsid w:val="003E2B78"/>
    <w:rsid w:val="00402E93"/>
    <w:rsid w:val="0041408D"/>
    <w:rsid w:val="0041729B"/>
    <w:rsid w:val="0042524C"/>
    <w:rsid w:val="0044583B"/>
    <w:rsid w:val="004502F9"/>
    <w:rsid w:val="004515ED"/>
    <w:rsid w:val="00474BF3"/>
    <w:rsid w:val="004E1269"/>
    <w:rsid w:val="004E723D"/>
    <w:rsid w:val="004E7797"/>
    <w:rsid w:val="00502AE2"/>
    <w:rsid w:val="00502C75"/>
    <w:rsid w:val="00515505"/>
    <w:rsid w:val="00562799"/>
    <w:rsid w:val="00563660"/>
    <w:rsid w:val="0058143F"/>
    <w:rsid w:val="005A2426"/>
    <w:rsid w:val="005D03C2"/>
    <w:rsid w:val="00615FA8"/>
    <w:rsid w:val="00620EB0"/>
    <w:rsid w:val="00635377"/>
    <w:rsid w:val="00637E8B"/>
    <w:rsid w:val="00660180"/>
    <w:rsid w:val="00664857"/>
    <w:rsid w:val="00676A9E"/>
    <w:rsid w:val="006806F5"/>
    <w:rsid w:val="00687727"/>
    <w:rsid w:val="006A049D"/>
    <w:rsid w:val="006E5BC3"/>
    <w:rsid w:val="006F587B"/>
    <w:rsid w:val="00736FC1"/>
    <w:rsid w:val="00754C2E"/>
    <w:rsid w:val="00760625"/>
    <w:rsid w:val="00770758"/>
    <w:rsid w:val="00772933"/>
    <w:rsid w:val="00780944"/>
    <w:rsid w:val="00794CFD"/>
    <w:rsid w:val="0079631F"/>
    <w:rsid w:val="007B47C5"/>
    <w:rsid w:val="007C3065"/>
    <w:rsid w:val="007D5A23"/>
    <w:rsid w:val="007D7D35"/>
    <w:rsid w:val="007E1F4C"/>
    <w:rsid w:val="008015C9"/>
    <w:rsid w:val="00840110"/>
    <w:rsid w:val="008465BC"/>
    <w:rsid w:val="008827AE"/>
    <w:rsid w:val="0088682C"/>
    <w:rsid w:val="008D3A61"/>
    <w:rsid w:val="00913134"/>
    <w:rsid w:val="00914791"/>
    <w:rsid w:val="00914927"/>
    <w:rsid w:val="009244A7"/>
    <w:rsid w:val="00926902"/>
    <w:rsid w:val="0092748D"/>
    <w:rsid w:val="00937918"/>
    <w:rsid w:val="009403A0"/>
    <w:rsid w:val="00943CD1"/>
    <w:rsid w:val="00950DD8"/>
    <w:rsid w:val="009B5F04"/>
    <w:rsid w:val="009D2A84"/>
    <w:rsid w:val="009D3A02"/>
    <w:rsid w:val="009D3DFA"/>
    <w:rsid w:val="009F78C6"/>
    <w:rsid w:val="00A03B7E"/>
    <w:rsid w:val="00A07780"/>
    <w:rsid w:val="00A42858"/>
    <w:rsid w:val="00A566A3"/>
    <w:rsid w:val="00A67741"/>
    <w:rsid w:val="00A80374"/>
    <w:rsid w:val="00A909FA"/>
    <w:rsid w:val="00AD2637"/>
    <w:rsid w:val="00AF647A"/>
    <w:rsid w:val="00B26091"/>
    <w:rsid w:val="00B307A8"/>
    <w:rsid w:val="00B52FF2"/>
    <w:rsid w:val="00B55DC8"/>
    <w:rsid w:val="00B574FA"/>
    <w:rsid w:val="00B63D87"/>
    <w:rsid w:val="00B641C1"/>
    <w:rsid w:val="00B85E72"/>
    <w:rsid w:val="00BB7A34"/>
    <w:rsid w:val="00BD3FB5"/>
    <w:rsid w:val="00BE2391"/>
    <w:rsid w:val="00BF3ADE"/>
    <w:rsid w:val="00C2055B"/>
    <w:rsid w:val="00C255E9"/>
    <w:rsid w:val="00C26CE9"/>
    <w:rsid w:val="00C26D0A"/>
    <w:rsid w:val="00C51859"/>
    <w:rsid w:val="00C62746"/>
    <w:rsid w:val="00C64551"/>
    <w:rsid w:val="00C758A1"/>
    <w:rsid w:val="00C8216C"/>
    <w:rsid w:val="00C8778D"/>
    <w:rsid w:val="00C91745"/>
    <w:rsid w:val="00C940CA"/>
    <w:rsid w:val="00C94D0C"/>
    <w:rsid w:val="00CB13DA"/>
    <w:rsid w:val="00CC0D51"/>
    <w:rsid w:val="00CC1118"/>
    <w:rsid w:val="00CD5F48"/>
    <w:rsid w:val="00CD6F93"/>
    <w:rsid w:val="00CE6A8B"/>
    <w:rsid w:val="00CF28F1"/>
    <w:rsid w:val="00CF2FF9"/>
    <w:rsid w:val="00D108EB"/>
    <w:rsid w:val="00D12266"/>
    <w:rsid w:val="00D15AF5"/>
    <w:rsid w:val="00D94A7A"/>
    <w:rsid w:val="00D978A5"/>
    <w:rsid w:val="00DA5B6F"/>
    <w:rsid w:val="00DB6E16"/>
    <w:rsid w:val="00DC37BA"/>
    <w:rsid w:val="00DD1C28"/>
    <w:rsid w:val="00DD3F81"/>
    <w:rsid w:val="00DD775D"/>
    <w:rsid w:val="00DE531A"/>
    <w:rsid w:val="00DE5B90"/>
    <w:rsid w:val="00DF5757"/>
    <w:rsid w:val="00E07DB1"/>
    <w:rsid w:val="00E14CC0"/>
    <w:rsid w:val="00E2325A"/>
    <w:rsid w:val="00E37C21"/>
    <w:rsid w:val="00E43034"/>
    <w:rsid w:val="00E52830"/>
    <w:rsid w:val="00E54135"/>
    <w:rsid w:val="00EC511D"/>
    <w:rsid w:val="00ED19A9"/>
    <w:rsid w:val="00EE4946"/>
    <w:rsid w:val="00EF16B0"/>
    <w:rsid w:val="00EF2674"/>
    <w:rsid w:val="00F02524"/>
    <w:rsid w:val="00F17460"/>
    <w:rsid w:val="00F326CB"/>
    <w:rsid w:val="00F41403"/>
    <w:rsid w:val="00F41776"/>
    <w:rsid w:val="00F532DA"/>
    <w:rsid w:val="00F648D2"/>
    <w:rsid w:val="00F64ECF"/>
    <w:rsid w:val="00F81FDB"/>
    <w:rsid w:val="00FB233F"/>
    <w:rsid w:val="00FC70DC"/>
    <w:rsid w:val="00FE3D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373F6D13"/>
  <w15:chartTrackingRefBased/>
  <w15:docId w15:val="{3D6CF1E8-F224-43DE-8D36-BB447E970E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403A0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semiHidden/>
    <w:unhideWhenUsed/>
    <w:rsid w:val="00502C75"/>
  </w:style>
  <w:style w:type="table" w:styleId="a4">
    <w:name w:val="Table Grid"/>
    <w:basedOn w:val="a1"/>
    <w:uiPriority w:val="39"/>
    <w:rsid w:val="00502C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f01">
    <w:name w:val="cf01"/>
    <w:basedOn w:val="a0"/>
    <w:rsid w:val="00502C75"/>
    <w:rPr>
      <w:rFonts w:ascii="맑은 고딕" w:eastAsia="맑은 고딕" w:hAnsi="맑은 고딕" w:hint="eastAsia"/>
      <w:sz w:val="18"/>
      <w:szCs w:val="18"/>
    </w:rPr>
  </w:style>
  <w:style w:type="paragraph" w:styleId="a5">
    <w:name w:val="header"/>
    <w:basedOn w:val="a"/>
    <w:link w:val="Char"/>
    <w:uiPriority w:val="99"/>
    <w:unhideWhenUsed/>
    <w:rsid w:val="00502AE2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502AE2"/>
  </w:style>
  <w:style w:type="paragraph" w:styleId="a6">
    <w:name w:val="footer"/>
    <w:basedOn w:val="a"/>
    <w:link w:val="Char0"/>
    <w:uiPriority w:val="99"/>
    <w:unhideWhenUsed/>
    <w:rsid w:val="00502AE2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502AE2"/>
  </w:style>
  <w:style w:type="table" w:customStyle="1" w:styleId="3">
    <w:name w:val="표 구분선3"/>
    <w:basedOn w:val="a1"/>
    <w:next w:val="a4"/>
    <w:uiPriority w:val="39"/>
    <w:rsid w:val="00C26D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664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60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93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37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04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654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1267</TotalTime>
  <Pages>1</Pages>
  <Words>507</Words>
  <Characters>2890</Characters>
  <Application>Microsoft Office Word</Application>
  <DocSecurity>0</DocSecurity>
  <Lines>24</Lines>
  <Paragraphs>6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 Hwan Kim</dc:creator>
  <cp:keywords/>
  <dc:description/>
  <cp:lastModifiedBy>Ju Hwan Kim</cp:lastModifiedBy>
  <cp:revision>109</cp:revision>
  <dcterms:created xsi:type="dcterms:W3CDTF">2024-01-22T02:16:00Z</dcterms:created>
  <dcterms:modified xsi:type="dcterms:W3CDTF">2024-03-18T07:40:00Z</dcterms:modified>
</cp:coreProperties>
</file>