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73F9AF" w14:textId="77777777" w:rsidR="00E5683A" w:rsidRPr="006F3E3F" w:rsidRDefault="00E5683A" w:rsidP="00E568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743E8EEE" w14:textId="77777777" w:rsidR="00E5683A" w:rsidRPr="006F3E3F" w:rsidRDefault="00E5683A" w:rsidP="00E568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F3E3F">
        <w:rPr>
          <w:rFonts w:ascii="Times New Roman" w:hAnsi="Times New Roman"/>
          <w:noProof/>
          <w:lang w:val="en-IN" w:eastAsia="en-IN"/>
        </w:rPr>
        <w:drawing>
          <wp:inline distT="0" distB="0" distL="0" distR="0" wp14:anchorId="18A7E6AA" wp14:editId="7C48D72E">
            <wp:extent cx="5386070" cy="3211830"/>
            <wp:effectExtent l="0" t="0" r="5080" b="7620"/>
            <wp:docPr id="1" name="Chart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EFE30EE" w14:textId="77777777" w:rsidR="00E5683A" w:rsidRPr="006F3E3F" w:rsidRDefault="00E5683A" w:rsidP="00E568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noProof/>
        </w:rPr>
      </w:pPr>
      <w:r w:rsidRPr="006F3E3F">
        <w:rPr>
          <w:rFonts w:ascii="Times New Roman" w:hAnsi="Times New Roman"/>
          <w:b/>
          <w:noProof/>
        </w:rPr>
        <w:t xml:space="preserve">Graph 1. </w:t>
      </w:r>
      <w:r w:rsidRPr="006F3E3F">
        <w:rPr>
          <w:rFonts w:ascii="Times New Roman" w:hAnsi="Times New Roman"/>
          <w:b/>
          <w:iCs/>
        </w:rPr>
        <w:t xml:space="preserve"> </w:t>
      </w:r>
      <w:r w:rsidRPr="006F3E3F">
        <w:rPr>
          <w:rFonts w:ascii="Times New Roman" w:hAnsi="Times New Roman"/>
          <w:iCs/>
        </w:rPr>
        <w:t xml:space="preserve">Species-wise population trends of Swallowtails </w:t>
      </w:r>
      <w:r w:rsidRPr="006F3E3F">
        <w:rPr>
          <w:rFonts w:ascii="Times New Roman" w:hAnsi="Times New Roman"/>
        </w:rPr>
        <w:t>in the central region</w:t>
      </w:r>
    </w:p>
    <w:p w14:paraId="483D156C" w14:textId="77777777" w:rsidR="00755780" w:rsidRDefault="00755780"/>
    <w:p w14:paraId="69CD07AA" w14:textId="77777777" w:rsidR="00E5683A" w:rsidRPr="006F3E3F" w:rsidRDefault="00E5683A" w:rsidP="00E5683A">
      <w:pPr>
        <w:spacing w:line="240" w:lineRule="auto"/>
        <w:jc w:val="both"/>
        <w:rPr>
          <w:rFonts w:ascii="Times New Roman" w:hAnsi="Times New Roman"/>
          <w:noProof/>
        </w:rPr>
      </w:pPr>
      <w:r w:rsidRPr="006F3E3F">
        <w:rPr>
          <w:rFonts w:ascii="Times New Roman" w:hAnsi="Times New Roman"/>
          <w:noProof/>
          <w:lang w:val="en-IN" w:eastAsia="en-IN"/>
        </w:rPr>
        <w:drawing>
          <wp:inline distT="0" distB="0" distL="0" distR="0" wp14:anchorId="57050603" wp14:editId="76C48C9C">
            <wp:extent cx="5353050" cy="2632710"/>
            <wp:effectExtent l="0" t="0" r="0" b="15240"/>
            <wp:docPr id="2" name="Chart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9AC033C" w14:textId="77777777" w:rsidR="00E5683A" w:rsidRPr="006F3E3F" w:rsidRDefault="00E5683A" w:rsidP="00E5683A">
      <w:pPr>
        <w:spacing w:line="240" w:lineRule="auto"/>
        <w:jc w:val="both"/>
        <w:rPr>
          <w:rFonts w:ascii="Times New Roman" w:hAnsi="Times New Roman"/>
        </w:rPr>
      </w:pPr>
      <w:r w:rsidRPr="006F3E3F">
        <w:rPr>
          <w:rFonts w:ascii="Times New Roman" w:hAnsi="Times New Roman"/>
          <w:b/>
          <w:noProof/>
        </w:rPr>
        <w:t>Graph</w:t>
      </w:r>
      <w:r w:rsidRPr="006F3E3F">
        <w:rPr>
          <w:rFonts w:ascii="Times New Roman" w:hAnsi="Times New Roman"/>
          <w:b/>
        </w:rPr>
        <w:t xml:space="preserve"> 2. </w:t>
      </w:r>
      <w:r w:rsidRPr="006F3E3F">
        <w:rPr>
          <w:rFonts w:ascii="Times New Roman" w:hAnsi="Times New Roman"/>
        </w:rPr>
        <w:t>Seasonal abundance patterns of Papilionid butterflies on different months in the central region</w:t>
      </w:r>
    </w:p>
    <w:p w14:paraId="18E6D02D" w14:textId="77777777" w:rsidR="00E5683A" w:rsidRDefault="00E5683A"/>
    <w:sectPr w:rsidR="00E568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83A"/>
    <w:rsid w:val="00331A6B"/>
    <w:rsid w:val="00737E11"/>
    <w:rsid w:val="00755780"/>
    <w:rsid w:val="00857596"/>
    <w:rsid w:val="00E5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AF79A"/>
  <w15:chartTrackingRefBased/>
  <w15:docId w15:val="{321B09FB-39A8-449E-9E3F-4BEBFDD2B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83A"/>
    <w:pPr>
      <w:spacing w:after="200" w:line="276" w:lineRule="auto"/>
    </w:pPr>
    <w:rPr>
      <w:rFonts w:ascii="Calibri" w:eastAsia="Times New Roman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683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683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683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683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683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683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683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683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683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68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68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68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68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68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68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68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68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68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68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68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683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68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683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68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683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68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68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68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68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REVATHY-THESIS-LATEST%20new%203-3-14\ECOLOGY%20EXCELS%20FINAL\ECOLOGY%20EXCELS%20FINAL\peech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REVATHY-THESIS-LATEST%20new%203-3-14\ECOLOGY%20EXCELS%20FINAL\ECOLOGY%20EXCELS%20FINAL\peech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autoTitleDeleted val="1"/>
    <c:view3D>
      <c:rotX val="0"/>
      <c:rotY val="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4497462817147871"/>
          <c:y val="5.1400554097404488E-2"/>
          <c:w val="0.85502534165988431"/>
          <c:h val="0.68480854586395157"/>
        </c:manualLayout>
      </c:layout>
      <c:bar3DChart>
        <c:barDir val="col"/>
        <c:grouping val="clustered"/>
        <c:varyColors val="1"/>
        <c:ser>
          <c:idx val="0"/>
          <c:order val="0"/>
          <c:tx>
            <c:strRef>
              <c:f>'first year'!$B$20</c:f>
              <c:strCache>
                <c:ptCount val="1"/>
                <c:pt idx="0">
                  <c:v>2010-11</c:v>
                </c:pt>
              </c:strCache>
            </c:strRef>
          </c:tx>
          <c:spPr>
            <a:solidFill>
              <a:srgbClr val="00B050"/>
            </a:solidFill>
          </c:spPr>
          <c:invertIfNegative val="1"/>
          <c:cat>
            <c:strRef>
              <c:f>'first year'!$A$21:$A$32</c:f>
              <c:strCache>
                <c:ptCount val="12"/>
                <c:pt idx="0">
                  <c:v>T. minos </c:v>
                </c:pt>
                <c:pt idx="1">
                  <c:v>A. hector</c:v>
                </c:pt>
                <c:pt idx="2">
                  <c:v>A. pandiyana </c:v>
                </c:pt>
                <c:pt idx="3">
                  <c:v>A. aristolochiae</c:v>
                </c:pt>
                <c:pt idx="4">
                  <c:v>P. helenus </c:v>
                </c:pt>
                <c:pt idx="5">
                  <c:v>P. Polymnestor </c:v>
                </c:pt>
                <c:pt idx="6">
                  <c:v>P. buddha </c:v>
                </c:pt>
                <c:pt idx="7">
                  <c:v>P. clytia </c:v>
                </c:pt>
                <c:pt idx="8">
                  <c:v>P. polytes </c:v>
                </c:pt>
                <c:pt idx="9">
                  <c:v>P. demoleus </c:v>
                </c:pt>
                <c:pt idx="10">
                  <c:v>P. dravidarum</c:v>
                </c:pt>
                <c:pt idx="11">
                  <c:v>G. agamemnon </c:v>
                </c:pt>
              </c:strCache>
            </c:strRef>
          </c:cat>
          <c:val>
            <c:numRef>
              <c:f>'first year'!$B$21:$B$32</c:f>
              <c:numCache>
                <c:formatCode>General</c:formatCode>
                <c:ptCount val="12"/>
                <c:pt idx="0">
                  <c:v>326</c:v>
                </c:pt>
                <c:pt idx="1">
                  <c:v>50</c:v>
                </c:pt>
                <c:pt idx="2">
                  <c:v>235</c:v>
                </c:pt>
                <c:pt idx="3">
                  <c:v>303</c:v>
                </c:pt>
                <c:pt idx="4">
                  <c:v>103</c:v>
                </c:pt>
                <c:pt idx="5">
                  <c:v>107</c:v>
                </c:pt>
                <c:pt idx="6">
                  <c:v>45</c:v>
                </c:pt>
                <c:pt idx="7">
                  <c:v>88</c:v>
                </c:pt>
                <c:pt idx="8">
                  <c:v>210</c:v>
                </c:pt>
                <c:pt idx="9">
                  <c:v>29</c:v>
                </c:pt>
                <c:pt idx="10">
                  <c:v>0</c:v>
                </c:pt>
                <c:pt idx="11">
                  <c:v>14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</c14:spPr>
              </c14:invertSolidFillFmt>
            </c:ext>
            <c:ext xmlns:c16="http://schemas.microsoft.com/office/drawing/2014/chart" uri="{C3380CC4-5D6E-409C-BE32-E72D297353CC}">
              <c16:uniqueId val="{00000000-5FFB-4AA8-8A81-6C333FC6680C}"/>
            </c:ext>
          </c:extLst>
        </c:ser>
        <c:ser>
          <c:idx val="1"/>
          <c:order val="1"/>
          <c:tx>
            <c:strRef>
              <c:f>'first year'!$C$20</c:f>
              <c:strCache>
                <c:ptCount val="1"/>
                <c:pt idx="0">
                  <c:v>2011-12</c:v>
                </c:pt>
              </c:strCache>
            </c:strRef>
          </c:tx>
          <c:spPr>
            <a:solidFill>
              <a:srgbClr val="FF9933"/>
            </a:solidFill>
          </c:spPr>
          <c:invertIfNegative val="1"/>
          <c:cat>
            <c:strRef>
              <c:f>'first year'!$A$21:$A$32</c:f>
              <c:strCache>
                <c:ptCount val="12"/>
                <c:pt idx="0">
                  <c:v>T. minos </c:v>
                </c:pt>
                <c:pt idx="1">
                  <c:v>A. hector</c:v>
                </c:pt>
                <c:pt idx="2">
                  <c:v>A. pandiyana </c:v>
                </c:pt>
                <c:pt idx="3">
                  <c:v>A. aristolochiae</c:v>
                </c:pt>
                <c:pt idx="4">
                  <c:v>P. helenus </c:v>
                </c:pt>
                <c:pt idx="5">
                  <c:v>P. Polymnestor </c:v>
                </c:pt>
                <c:pt idx="6">
                  <c:v>P. buddha </c:v>
                </c:pt>
                <c:pt idx="7">
                  <c:v>P. clytia </c:v>
                </c:pt>
                <c:pt idx="8">
                  <c:v>P. polytes </c:v>
                </c:pt>
                <c:pt idx="9">
                  <c:v>P. demoleus </c:v>
                </c:pt>
                <c:pt idx="10">
                  <c:v>P. dravidarum</c:v>
                </c:pt>
                <c:pt idx="11">
                  <c:v>G. agamemnon </c:v>
                </c:pt>
              </c:strCache>
            </c:strRef>
          </c:cat>
          <c:val>
            <c:numRef>
              <c:f>'first year'!$C$21:$C$32</c:f>
              <c:numCache>
                <c:formatCode>General</c:formatCode>
                <c:ptCount val="12"/>
                <c:pt idx="0">
                  <c:v>346</c:v>
                </c:pt>
                <c:pt idx="1">
                  <c:v>67</c:v>
                </c:pt>
                <c:pt idx="2">
                  <c:v>166</c:v>
                </c:pt>
                <c:pt idx="3">
                  <c:v>272</c:v>
                </c:pt>
                <c:pt idx="4">
                  <c:v>112</c:v>
                </c:pt>
                <c:pt idx="5">
                  <c:v>152</c:v>
                </c:pt>
                <c:pt idx="6">
                  <c:v>83</c:v>
                </c:pt>
                <c:pt idx="7">
                  <c:v>115</c:v>
                </c:pt>
                <c:pt idx="8">
                  <c:v>250</c:v>
                </c:pt>
                <c:pt idx="9">
                  <c:v>28</c:v>
                </c:pt>
                <c:pt idx="10">
                  <c:v>2</c:v>
                </c:pt>
                <c:pt idx="11">
                  <c:v>25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</c14:spPr>
              </c14:invertSolidFillFmt>
            </c:ext>
            <c:ext xmlns:c16="http://schemas.microsoft.com/office/drawing/2014/chart" uri="{C3380CC4-5D6E-409C-BE32-E72D297353CC}">
              <c16:uniqueId val="{00000001-5FFB-4AA8-8A81-6C333FC668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shape val="box"/>
        <c:axId val="-14377168"/>
        <c:axId val="-14379888"/>
        <c:axId val="0"/>
      </c:bar3DChart>
      <c:catAx>
        <c:axId val="-14377168"/>
        <c:scaling>
          <c:orientation val="minMax"/>
        </c:scaling>
        <c:delete val="1"/>
        <c:axPos val="b"/>
        <c:numFmt formatCode="General" sourceLinked="0"/>
        <c:majorTickMark val="none"/>
        <c:minorTickMark val="cross"/>
        <c:tickLblPos val="nextTo"/>
        <c:crossAx val="-14379888"/>
        <c:crosses val="autoZero"/>
        <c:auto val="1"/>
        <c:lblAlgn val="ctr"/>
        <c:lblOffset val="100"/>
        <c:noMultiLvlLbl val="1"/>
      </c:catAx>
      <c:valAx>
        <c:axId val="-14379888"/>
        <c:scaling>
          <c:orientation val="minMax"/>
        </c:scaling>
        <c:delete val="1"/>
        <c:axPos val="l"/>
        <c:title>
          <c:tx>
            <c:rich>
              <a:bodyPr/>
              <a:lstStyle/>
              <a:p>
                <a:pPr>
                  <a:defRPr sz="1400">
                    <a:latin typeface="Bookman Old Style" pitchFamily="18" charset="0"/>
                  </a:defRPr>
                </a:pPr>
                <a:r>
                  <a:rPr lang="en-US" sz="1400">
                    <a:latin typeface="Bookman Old Style" pitchFamily="18" charset="0"/>
                  </a:rPr>
                  <a:t>Abundance of butterflies</a:t>
                </a:r>
              </a:p>
            </c:rich>
          </c:tx>
          <c:layout>
            <c:manualLayout>
              <c:xMode val="edge"/>
              <c:yMode val="edge"/>
              <c:x val="2.5096771723163422E-2"/>
              <c:y val="0.10636221602547262"/>
            </c:manualLayout>
          </c:layout>
          <c:overlay val="1"/>
        </c:title>
        <c:numFmt formatCode="General" sourceLinked="1"/>
        <c:majorTickMark val="cross"/>
        <c:minorTickMark val="cross"/>
        <c:tickLblPos val="nextTo"/>
        <c:crossAx val="-143771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982208623126353"/>
          <c:y val="5.9227646936070334E-2"/>
          <c:w val="0.14028401456449308"/>
          <c:h val="0.18881872812184824"/>
        </c:manualLayout>
      </c:layout>
      <c:overlay val="1"/>
      <c:txPr>
        <a:bodyPr/>
        <a:lstStyle/>
        <a:p>
          <a:pPr>
            <a:defRPr b="1">
              <a:latin typeface="Bookman Old Style" pitchFamily="18" charset="0"/>
            </a:defRPr>
          </a:pPr>
          <a:endParaRPr lang="en-US"/>
        </a:p>
      </c:txPr>
    </c:legend>
    <c:plotVisOnly val="1"/>
    <c:dispBlanksAs val="gap"/>
    <c:showDLblsOverMax val="1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0"/>
      <c:rotY val="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2350931852942815"/>
          <c:y val="4.9583051611449193E-2"/>
          <c:w val="0.84228327574160988"/>
          <c:h val="0.79301329727293157"/>
        </c:manualLayout>
      </c:layout>
      <c:bar3DChart>
        <c:barDir val="col"/>
        <c:grouping val="clustered"/>
        <c:varyColors val="1"/>
        <c:ser>
          <c:idx val="0"/>
          <c:order val="0"/>
          <c:tx>
            <c:strRef>
              <c:f>Sheet2!$A$35</c:f>
              <c:strCache>
                <c:ptCount val="1"/>
                <c:pt idx="0">
                  <c:v>2010</c:v>
                </c:pt>
              </c:strCache>
            </c:strRef>
          </c:tx>
          <c:spPr>
            <a:solidFill>
              <a:srgbClr val="4B27E5"/>
            </a:solidFill>
          </c:spPr>
          <c:invertIfNegative val="1"/>
          <c:cat>
            <c:strRef>
              <c:f>Sheet2!$B$34:$M$34</c:f>
              <c:strCache>
                <c:ptCount val="12"/>
                <c:pt idx="0">
                  <c:v>J</c:v>
                </c:pt>
                <c:pt idx="1">
                  <c:v>F</c:v>
                </c:pt>
                <c:pt idx="2">
                  <c:v>M</c:v>
                </c:pt>
                <c:pt idx="3">
                  <c:v>A</c:v>
                </c:pt>
                <c:pt idx="4">
                  <c:v>M</c:v>
                </c:pt>
                <c:pt idx="5">
                  <c:v>J</c:v>
                </c:pt>
                <c:pt idx="6">
                  <c:v>J</c:v>
                </c:pt>
                <c:pt idx="7">
                  <c:v>A</c:v>
                </c:pt>
                <c:pt idx="8">
                  <c:v>S</c:v>
                </c:pt>
                <c:pt idx="9">
                  <c:v>O</c:v>
                </c:pt>
                <c:pt idx="10">
                  <c:v>N</c:v>
                </c:pt>
                <c:pt idx="11">
                  <c:v>D</c:v>
                </c:pt>
              </c:strCache>
            </c:strRef>
          </c:cat>
          <c:val>
            <c:numRef>
              <c:f>Sheet2!$B$35:$M$35</c:f>
              <c:numCache>
                <c:formatCode>General</c:formatCode>
                <c:ptCount val="12"/>
                <c:pt idx="8">
                  <c:v>137</c:v>
                </c:pt>
                <c:pt idx="9">
                  <c:v>113</c:v>
                </c:pt>
                <c:pt idx="10">
                  <c:v>143</c:v>
                </c:pt>
                <c:pt idx="11">
                  <c:v>84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</c14:spPr>
              </c14:invertSolidFillFmt>
            </c:ext>
            <c:ext xmlns:c16="http://schemas.microsoft.com/office/drawing/2014/chart" uri="{C3380CC4-5D6E-409C-BE32-E72D297353CC}">
              <c16:uniqueId val="{00000000-60FB-41F8-951A-606AF325ACFC}"/>
            </c:ext>
          </c:extLst>
        </c:ser>
        <c:ser>
          <c:idx val="1"/>
          <c:order val="1"/>
          <c:tx>
            <c:strRef>
              <c:f>Sheet2!$A$36</c:f>
              <c:strCache>
                <c:ptCount val="1"/>
                <c:pt idx="0">
                  <c:v>2011</c:v>
                </c:pt>
              </c:strCache>
            </c:strRef>
          </c:tx>
          <c:spPr>
            <a:solidFill>
              <a:srgbClr val="CC0099"/>
            </a:solidFill>
          </c:spPr>
          <c:invertIfNegative val="1"/>
          <c:cat>
            <c:strRef>
              <c:f>Sheet2!$B$34:$M$34</c:f>
              <c:strCache>
                <c:ptCount val="12"/>
                <c:pt idx="0">
                  <c:v>J</c:v>
                </c:pt>
                <c:pt idx="1">
                  <c:v>F</c:v>
                </c:pt>
                <c:pt idx="2">
                  <c:v>M</c:v>
                </c:pt>
                <c:pt idx="3">
                  <c:v>A</c:v>
                </c:pt>
                <c:pt idx="4">
                  <c:v>M</c:v>
                </c:pt>
                <c:pt idx="5">
                  <c:v>J</c:v>
                </c:pt>
                <c:pt idx="6">
                  <c:v>J</c:v>
                </c:pt>
                <c:pt idx="7">
                  <c:v>A</c:v>
                </c:pt>
                <c:pt idx="8">
                  <c:v>S</c:v>
                </c:pt>
                <c:pt idx="9">
                  <c:v>O</c:v>
                </c:pt>
                <c:pt idx="10">
                  <c:v>N</c:v>
                </c:pt>
                <c:pt idx="11">
                  <c:v>D</c:v>
                </c:pt>
              </c:strCache>
            </c:strRef>
          </c:cat>
          <c:val>
            <c:numRef>
              <c:f>Sheet2!$B$36:$M$36</c:f>
              <c:numCache>
                <c:formatCode>General</c:formatCode>
                <c:ptCount val="12"/>
                <c:pt idx="0">
                  <c:v>75</c:v>
                </c:pt>
                <c:pt idx="1">
                  <c:v>67</c:v>
                </c:pt>
                <c:pt idx="2">
                  <c:v>87</c:v>
                </c:pt>
                <c:pt idx="3">
                  <c:v>63</c:v>
                </c:pt>
                <c:pt idx="4">
                  <c:v>99</c:v>
                </c:pt>
                <c:pt idx="5">
                  <c:v>98</c:v>
                </c:pt>
                <c:pt idx="6">
                  <c:v>95</c:v>
                </c:pt>
                <c:pt idx="7">
                  <c:v>118</c:v>
                </c:pt>
                <c:pt idx="8">
                  <c:v>191</c:v>
                </c:pt>
                <c:pt idx="9">
                  <c:v>140</c:v>
                </c:pt>
                <c:pt idx="10">
                  <c:v>185</c:v>
                </c:pt>
                <c:pt idx="11">
                  <c:v>110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</c14:spPr>
              </c14:invertSolidFillFmt>
            </c:ext>
            <c:ext xmlns:c16="http://schemas.microsoft.com/office/drawing/2014/chart" uri="{C3380CC4-5D6E-409C-BE32-E72D297353CC}">
              <c16:uniqueId val="{00000001-60FB-41F8-951A-606AF325ACFC}"/>
            </c:ext>
          </c:extLst>
        </c:ser>
        <c:ser>
          <c:idx val="2"/>
          <c:order val="2"/>
          <c:tx>
            <c:strRef>
              <c:f>Sheet2!$A$37</c:f>
              <c:strCache>
                <c:ptCount val="1"/>
                <c:pt idx="0">
                  <c:v>2012</c:v>
                </c:pt>
              </c:strCache>
            </c:strRef>
          </c:tx>
          <c:spPr>
            <a:solidFill>
              <a:srgbClr val="598600"/>
            </a:solidFill>
          </c:spPr>
          <c:invertIfNegative val="1"/>
          <c:cat>
            <c:strRef>
              <c:f>Sheet2!$B$34:$M$34</c:f>
              <c:strCache>
                <c:ptCount val="12"/>
                <c:pt idx="0">
                  <c:v>J</c:v>
                </c:pt>
                <c:pt idx="1">
                  <c:v>F</c:v>
                </c:pt>
                <c:pt idx="2">
                  <c:v>M</c:v>
                </c:pt>
                <c:pt idx="3">
                  <c:v>A</c:v>
                </c:pt>
                <c:pt idx="4">
                  <c:v>M</c:v>
                </c:pt>
                <c:pt idx="5">
                  <c:v>J</c:v>
                </c:pt>
                <c:pt idx="6">
                  <c:v>J</c:v>
                </c:pt>
                <c:pt idx="7">
                  <c:v>A</c:v>
                </c:pt>
                <c:pt idx="8">
                  <c:v>S</c:v>
                </c:pt>
                <c:pt idx="9">
                  <c:v>O</c:v>
                </c:pt>
                <c:pt idx="10">
                  <c:v>N</c:v>
                </c:pt>
                <c:pt idx="11">
                  <c:v>D</c:v>
                </c:pt>
              </c:strCache>
            </c:strRef>
          </c:cat>
          <c:val>
            <c:numRef>
              <c:f>Sheet2!$B$37:$M$37</c:f>
              <c:numCache>
                <c:formatCode>General</c:formatCode>
                <c:ptCount val="12"/>
                <c:pt idx="0">
                  <c:v>94</c:v>
                </c:pt>
                <c:pt idx="1">
                  <c:v>78</c:v>
                </c:pt>
                <c:pt idx="2">
                  <c:v>83</c:v>
                </c:pt>
                <c:pt idx="3">
                  <c:v>60</c:v>
                </c:pt>
                <c:pt idx="4">
                  <c:v>145</c:v>
                </c:pt>
                <c:pt idx="5">
                  <c:v>150</c:v>
                </c:pt>
                <c:pt idx="6">
                  <c:v>130</c:v>
                </c:pt>
                <c:pt idx="7">
                  <c:v>154</c:v>
                </c:pt>
                <c:pt idx="8">
                  <c:v>101</c:v>
                </c:pt>
                <c:pt idx="9">
                  <c:v>99</c:v>
                </c:pt>
                <c:pt idx="10">
                  <c:v>124</c:v>
                </c:pt>
                <c:pt idx="11">
                  <c:v>105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</c14:spPr>
              </c14:invertSolidFillFmt>
            </c:ext>
            <c:ext xmlns:c16="http://schemas.microsoft.com/office/drawing/2014/chart" uri="{C3380CC4-5D6E-409C-BE32-E72D297353CC}">
              <c16:uniqueId val="{00000002-60FB-41F8-951A-606AF325AC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shape val="box"/>
        <c:axId val="-14368464"/>
        <c:axId val="-14370640"/>
        <c:axId val="0"/>
      </c:bar3DChart>
      <c:catAx>
        <c:axId val="-14368464"/>
        <c:scaling>
          <c:orientation val="minMax"/>
        </c:scaling>
        <c:delete val="1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>
                    <a:latin typeface="Arial" pitchFamily="34" charset="0"/>
                    <a:cs typeface="Arial" pitchFamily="34" charset="0"/>
                  </a:rPr>
                  <a:t>Months</a:t>
                </a:r>
              </a:p>
            </c:rich>
          </c:tx>
          <c:overlay val="1"/>
        </c:title>
        <c:numFmt formatCode="General" sourceLinked="0"/>
        <c:majorTickMark val="none"/>
        <c:minorTickMark val="cross"/>
        <c:tickLblPos val="nextTo"/>
        <c:crossAx val="-14370640"/>
        <c:crosses val="autoZero"/>
        <c:auto val="1"/>
        <c:lblAlgn val="ctr"/>
        <c:lblOffset val="100"/>
        <c:noMultiLvlLbl val="1"/>
      </c:catAx>
      <c:valAx>
        <c:axId val="-14370640"/>
        <c:scaling>
          <c:orientation val="minMax"/>
        </c:scaling>
        <c:delete val="1"/>
        <c:axPos val="l"/>
        <c:majorGridlines/>
        <c:title>
          <c:tx>
            <c:rich>
              <a:bodyPr/>
              <a:lstStyle/>
              <a:p>
                <a:pPr>
                  <a:defRPr>
                    <a:latin typeface="Bookman Old Style" pitchFamily="18" charset="0"/>
                  </a:defRPr>
                </a:pPr>
                <a:r>
                  <a:rPr lang="en-US" sz="1200">
                    <a:latin typeface="Bookman Old Style" pitchFamily="18" charset="0"/>
                    <a:cs typeface="Arial" pitchFamily="34" charset="0"/>
                  </a:rPr>
                  <a:t>No.of sightings</a:t>
                </a:r>
              </a:p>
            </c:rich>
          </c:tx>
          <c:layout>
            <c:manualLayout>
              <c:xMode val="edge"/>
              <c:yMode val="edge"/>
              <c:x val="1.2580675616986798E-2"/>
              <c:y val="0.24508366474474666"/>
            </c:manualLayout>
          </c:layout>
          <c:overlay val="1"/>
        </c:title>
        <c:numFmt formatCode="General" sourceLinked="1"/>
        <c:majorTickMark val="cross"/>
        <c:minorTickMark val="cross"/>
        <c:tickLblPos val="nextTo"/>
        <c:crossAx val="-1436846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7748061051330328"/>
          <c:y val="3.6089238845144469E-3"/>
          <c:w val="0.11855734173359703"/>
          <c:h val="0.2445289166440402"/>
        </c:manualLayout>
      </c:layout>
      <c:overlay val="1"/>
      <c:txPr>
        <a:bodyPr/>
        <a:lstStyle/>
        <a:p>
          <a:pPr>
            <a:defRPr sz="1200" b="1">
              <a:latin typeface="Bookman Old Style" pitchFamily="18" charset="0"/>
            </a:defRPr>
          </a:pPr>
          <a:endParaRPr lang="en-US"/>
        </a:p>
      </c:txPr>
    </c:legend>
    <c:plotVisOnly val="1"/>
    <c:dispBlanksAs val="gap"/>
    <c:showDLblsOverMax val="1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Springer Nature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2024-10-01T17:25:00Z</dcterms:created>
  <dcterms:modified xsi:type="dcterms:W3CDTF">2024-10-01T17:25:00Z</dcterms:modified>
</cp:coreProperties>
</file>