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BCDD5" w14:textId="77500824" w:rsidR="00623AA3" w:rsidRDefault="00623AA3" w:rsidP="00623AA3">
      <w:pPr>
        <w:spacing w:line="360" w:lineRule="auto"/>
        <w:jc w:val="both"/>
        <w:rPr>
          <w:b/>
          <w:bCs/>
          <w:sz w:val="20"/>
          <w:szCs w:val="20"/>
          <w:lang w:val="en-US"/>
        </w:rPr>
      </w:pPr>
      <w:r>
        <w:rPr>
          <w:b/>
          <w:bCs/>
          <w:sz w:val="20"/>
          <w:szCs w:val="20"/>
          <w:lang w:val="en-US"/>
        </w:rPr>
        <w:t>Supplementa</w:t>
      </w:r>
      <w:r w:rsidR="008E01BC">
        <w:rPr>
          <w:b/>
          <w:bCs/>
          <w:sz w:val="20"/>
          <w:szCs w:val="20"/>
          <w:lang w:val="en-US"/>
        </w:rPr>
        <w:t>l</w:t>
      </w:r>
      <w:r>
        <w:rPr>
          <w:b/>
          <w:bCs/>
          <w:sz w:val="20"/>
          <w:szCs w:val="20"/>
          <w:lang w:val="en-US"/>
        </w:rPr>
        <w:t xml:space="preserve"> Fig. S1</w:t>
      </w:r>
    </w:p>
    <w:p w14:paraId="5FA41AED" w14:textId="2D9EF709" w:rsidR="00623AA3" w:rsidRDefault="00623AA3" w:rsidP="00623AA3">
      <w:pPr>
        <w:spacing w:line="360" w:lineRule="auto"/>
        <w:jc w:val="both"/>
        <w:rPr>
          <w:b/>
          <w:bCs/>
          <w:sz w:val="20"/>
          <w:szCs w:val="20"/>
          <w:lang w:val="en-US"/>
        </w:rPr>
      </w:pPr>
      <w:r>
        <w:rPr>
          <w:b/>
          <w:bCs/>
          <w:noProof/>
          <w:sz w:val="20"/>
          <w:szCs w:val="20"/>
          <w:lang w:val="en-US"/>
        </w:rPr>
        <w:drawing>
          <wp:inline distT="0" distB="0" distL="0" distR="0" wp14:anchorId="74777F0A" wp14:editId="56035C66">
            <wp:extent cx="3024000" cy="3641531"/>
            <wp:effectExtent l="0" t="0" r="0" b="0"/>
            <wp:docPr id="169501166"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4000" cy="3641531"/>
                    </a:xfrm>
                    <a:prstGeom prst="rect">
                      <a:avLst/>
                    </a:prstGeom>
                    <a:noFill/>
                  </pic:spPr>
                </pic:pic>
              </a:graphicData>
            </a:graphic>
          </wp:inline>
        </w:drawing>
      </w:r>
    </w:p>
    <w:p w14:paraId="2E395548" w14:textId="77777777" w:rsidR="00623AA3" w:rsidRDefault="00623AA3" w:rsidP="00623AA3">
      <w:pPr>
        <w:spacing w:line="360" w:lineRule="auto"/>
        <w:jc w:val="both"/>
        <w:rPr>
          <w:b/>
          <w:bCs/>
          <w:sz w:val="20"/>
          <w:szCs w:val="20"/>
          <w:u w:val="single"/>
          <w:lang w:val="en-US"/>
        </w:rPr>
      </w:pPr>
    </w:p>
    <w:p w14:paraId="5C9FE79D" w14:textId="77777777" w:rsidR="00623AA3" w:rsidRPr="00623AA3" w:rsidRDefault="00623AA3" w:rsidP="00623AA3">
      <w:pPr>
        <w:spacing w:line="360" w:lineRule="auto"/>
        <w:jc w:val="both"/>
        <w:rPr>
          <w:sz w:val="16"/>
          <w:szCs w:val="16"/>
          <w:lang w:val="en-US"/>
        </w:rPr>
      </w:pPr>
    </w:p>
    <w:p w14:paraId="405E7304" w14:textId="6485C120" w:rsidR="00623AA3" w:rsidRPr="00623AA3" w:rsidRDefault="00623AA3" w:rsidP="00623AA3">
      <w:pPr>
        <w:spacing w:line="360" w:lineRule="auto"/>
        <w:jc w:val="both"/>
        <w:rPr>
          <w:sz w:val="16"/>
          <w:szCs w:val="16"/>
          <w:lang w:val="en-US"/>
        </w:rPr>
      </w:pPr>
      <w:r w:rsidRPr="00623AA3">
        <w:rPr>
          <w:b/>
          <w:bCs/>
          <w:sz w:val="16"/>
          <w:szCs w:val="16"/>
          <w:lang w:val="en-US"/>
        </w:rPr>
        <w:t>Supplementa</w:t>
      </w:r>
      <w:r w:rsidR="008E01BC">
        <w:rPr>
          <w:b/>
          <w:bCs/>
          <w:sz w:val="16"/>
          <w:szCs w:val="16"/>
          <w:lang w:val="en-US"/>
        </w:rPr>
        <w:t>l</w:t>
      </w:r>
      <w:r w:rsidRPr="00623AA3">
        <w:rPr>
          <w:b/>
          <w:bCs/>
          <w:sz w:val="16"/>
          <w:szCs w:val="16"/>
          <w:lang w:val="en-US"/>
        </w:rPr>
        <w:t xml:space="preserve"> Fig. 1</w:t>
      </w:r>
      <w:r w:rsidRPr="00623AA3">
        <w:rPr>
          <w:sz w:val="16"/>
          <w:szCs w:val="16"/>
          <w:lang w:val="en-US"/>
        </w:rPr>
        <w:t xml:space="preserve"> TOM1 protein levels and subcellular localization do not differ between patient and healthy control cells. (</w:t>
      </w:r>
      <w:r w:rsidRPr="00623AA3">
        <w:rPr>
          <w:b/>
          <w:bCs/>
          <w:sz w:val="16"/>
          <w:szCs w:val="16"/>
          <w:lang w:val="en-US"/>
        </w:rPr>
        <w:t>A</w:t>
      </w:r>
      <w:r w:rsidRPr="00623AA3">
        <w:rPr>
          <w:sz w:val="16"/>
          <w:szCs w:val="16"/>
          <w:lang w:val="en-US"/>
        </w:rPr>
        <w:t>) TOM1 protein expression levels were evaluated in primary skin fibroblasts of two patients (P1 and P2) and two healthy controls (C1 and C2) using western blot. (</w:t>
      </w:r>
      <w:r w:rsidRPr="00623AA3">
        <w:rPr>
          <w:b/>
          <w:bCs/>
          <w:sz w:val="16"/>
          <w:szCs w:val="16"/>
          <w:lang w:val="en-US"/>
        </w:rPr>
        <w:t>B</w:t>
      </w:r>
      <w:r w:rsidRPr="00623AA3">
        <w:rPr>
          <w:sz w:val="16"/>
          <w:szCs w:val="16"/>
          <w:lang w:val="en-US"/>
        </w:rPr>
        <w:t>) Quantification of western blots. Data represent mean ± SEM from three independent experiments with duplicate samples. Band intensities were normalized to C1. (</w:t>
      </w:r>
      <w:r w:rsidRPr="00623AA3">
        <w:rPr>
          <w:b/>
          <w:bCs/>
          <w:sz w:val="16"/>
          <w:szCs w:val="16"/>
          <w:lang w:val="en-US"/>
        </w:rPr>
        <w:t>C</w:t>
      </w:r>
      <w:r w:rsidRPr="00623AA3">
        <w:rPr>
          <w:sz w:val="16"/>
          <w:szCs w:val="16"/>
          <w:lang w:val="en-US"/>
        </w:rPr>
        <w:t>) Endogenous TOM1 staining in primary skin fibroblasts from a healthy control (C1) and TOM1 G307D patient (P1).  (</w:t>
      </w:r>
      <w:r w:rsidRPr="00623AA3">
        <w:rPr>
          <w:b/>
          <w:bCs/>
          <w:sz w:val="16"/>
          <w:szCs w:val="16"/>
          <w:lang w:val="en-US"/>
        </w:rPr>
        <w:t>D</w:t>
      </w:r>
      <w:r w:rsidRPr="00623AA3">
        <w:rPr>
          <w:sz w:val="16"/>
          <w:szCs w:val="16"/>
          <w:lang w:val="en-US"/>
        </w:rPr>
        <w:t xml:space="preserve">) Transient overexpression of TOM1 WT or G307D mutant and anti-TOM1 immunostaining in U2OS cells. Scale bar: 10 </w:t>
      </w:r>
      <m:oMath>
        <m:r>
          <w:rPr>
            <w:rFonts w:ascii="Cambria Math" w:hAnsi="Cambria Math"/>
            <w:sz w:val="16"/>
            <w:szCs w:val="16"/>
            <w:lang w:val="en-US"/>
          </w:rPr>
          <m:t>µ</m:t>
        </m:r>
      </m:oMath>
      <w:r w:rsidRPr="00623AA3">
        <w:rPr>
          <w:sz w:val="16"/>
          <w:szCs w:val="16"/>
          <w:lang w:val="en-US"/>
        </w:rPr>
        <w:t>m.</w:t>
      </w:r>
    </w:p>
    <w:p w14:paraId="3F8E8BA5" w14:textId="77777777" w:rsidR="00623AA3" w:rsidRDefault="00623AA3" w:rsidP="00623AA3">
      <w:pPr>
        <w:spacing w:line="360" w:lineRule="auto"/>
        <w:jc w:val="both"/>
        <w:rPr>
          <w:b/>
          <w:bCs/>
          <w:sz w:val="20"/>
          <w:szCs w:val="20"/>
          <w:u w:val="single"/>
          <w:lang w:val="en-US"/>
        </w:rPr>
      </w:pPr>
    </w:p>
    <w:p w14:paraId="5F8DE372" w14:textId="77777777" w:rsidR="00623AA3" w:rsidRDefault="00623AA3" w:rsidP="00623AA3">
      <w:pPr>
        <w:spacing w:line="360" w:lineRule="auto"/>
        <w:jc w:val="both"/>
        <w:rPr>
          <w:b/>
          <w:bCs/>
          <w:sz w:val="20"/>
          <w:szCs w:val="20"/>
          <w:u w:val="single"/>
          <w:lang w:val="en-US"/>
        </w:rPr>
      </w:pPr>
    </w:p>
    <w:p w14:paraId="18B66D65" w14:textId="77777777" w:rsidR="00623AA3" w:rsidRDefault="00623AA3" w:rsidP="00623AA3">
      <w:pPr>
        <w:spacing w:line="360" w:lineRule="auto"/>
        <w:jc w:val="both"/>
        <w:rPr>
          <w:b/>
          <w:bCs/>
          <w:sz w:val="20"/>
          <w:szCs w:val="20"/>
          <w:u w:val="single"/>
          <w:lang w:val="en-US"/>
        </w:rPr>
      </w:pPr>
    </w:p>
    <w:p w14:paraId="46105F2D" w14:textId="77777777" w:rsidR="00623AA3" w:rsidRDefault="00623AA3" w:rsidP="00623AA3">
      <w:pPr>
        <w:spacing w:line="360" w:lineRule="auto"/>
        <w:jc w:val="both"/>
        <w:rPr>
          <w:b/>
          <w:bCs/>
          <w:sz w:val="20"/>
          <w:szCs w:val="20"/>
          <w:u w:val="single"/>
          <w:lang w:val="en-US"/>
        </w:rPr>
      </w:pPr>
    </w:p>
    <w:p w14:paraId="130430F4" w14:textId="711CFE93" w:rsidR="00623AA3" w:rsidRDefault="00623AA3">
      <w:pPr>
        <w:spacing w:after="160" w:line="259" w:lineRule="auto"/>
        <w:rPr>
          <w:b/>
          <w:bCs/>
          <w:sz w:val="20"/>
          <w:szCs w:val="20"/>
          <w:u w:val="single"/>
          <w:lang w:val="en-US"/>
        </w:rPr>
      </w:pPr>
      <w:r>
        <w:rPr>
          <w:b/>
          <w:bCs/>
          <w:sz w:val="20"/>
          <w:szCs w:val="20"/>
          <w:u w:val="single"/>
          <w:lang w:val="en-US"/>
        </w:rPr>
        <w:br w:type="page"/>
      </w:r>
    </w:p>
    <w:p w14:paraId="0FD14387" w14:textId="66C87DDB" w:rsidR="00953225" w:rsidRPr="00953225" w:rsidRDefault="00953225" w:rsidP="00623AA3">
      <w:pPr>
        <w:spacing w:line="360" w:lineRule="auto"/>
        <w:jc w:val="both"/>
        <w:rPr>
          <w:b/>
          <w:bCs/>
          <w:sz w:val="20"/>
          <w:szCs w:val="20"/>
          <w:lang w:val="en-US"/>
        </w:rPr>
      </w:pPr>
      <w:r w:rsidRPr="00953225">
        <w:rPr>
          <w:b/>
          <w:bCs/>
          <w:sz w:val="20"/>
          <w:szCs w:val="20"/>
          <w:lang w:val="en-US"/>
        </w:rPr>
        <w:lastRenderedPageBreak/>
        <w:t>Supplemental Fig. S2</w:t>
      </w:r>
    </w:p>
    <w:p w14:paraId="5CB83915" w14:textId="559D54F6" w:rsidR="00623AA3" w:rsidRDefault="00953225" w:rsidP="00623AA3">
      <w:pPr>
        <w:spacing w:line="360" w:lineRule="auto"/>
        <w:jc w:val="both"/>
        <w:rPr>
          <w:b/>
          <w:bCs/>
          <w:sz w:val="20"/>
          <w:szCs w:val="20"/>
          <w:u w:val="single"/>
          <w:lang w:val="en-US"/>
        </w:rPr>
      </w:pPr>
      <w:r>
        <w:rPr>
          <w:b/>
          <w:bCs/>
          <w:noProof/>
          <w:sz w:val="20"/>
          <w:szCs w:val="20"/>
          <w:u w:val="single"/>
          <w:lang w:val="en-US"/>
        </w:rPr>
        <w:drawing>
          <wp:inline distT="0" distB="0" distL="0" distR="0" wp14:anchorId="7897277A" wp14:editId="617B5D1A">
            <wp:extent cx="2566670" cy="4194175"/>
            <wp:effectExtent l="0" t="0" r="5080" b="0"/>
            <wp:docPr id="688946700"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6670" cy="4194175"/>
                    </a:xfrm>
                    <a:prstGeom prst="rect">
                      <a:avLst/>
                    </a:prstGeom>
                    <a:noFill/>
                  </pic:spPr>
                </pic:pic>
              </a:graphicData>
            </a:graphic>
          </wp:inline>
        </w:drawing>
      </w:r>
    </w:p>
    <w:p w14:paraId="7A74D286" w14:textId="77777777" w:rsidR="00623AA3" w:rsidRDefault="00623AA3" w:rsidP="00623AA3">
      <w:pPr>
        <w:spacing w:line="360" w:lineRule="auto"/>
        <w:jc w:val="both"/>
        <w:rPr>
          <w:b/>
          <w:bCs/>
          <w:sz w:val="20"/>
          <w:szCs w:val="20"/>
          <w:u w:val="single"/>
          <w:lang w:val="en-US"/>
        </w:rPr>
      </w:pPr>
    </w:p>
    <w:p w14:paraId="0E3721CC" w14:textId="522351A0" w:rsidR="00953225" w:rsidRPr="00953225" w:rsidRDefault="00953225" w:rsidP="00623AA3">
      <w:pPr>
        <w:spacing w:line="360" w:lineRule="auto"/>
        <w:jc w:val="both"/>
        <w:rPr>
          <w:b/>
          <w:bCs/>
          <w:sz w:val="16"/>
          <w:szCs w:val="16"/>
          <w:u w:val="single"/>
          <w:lang w:val="en-US"/>
        </w:rPr>
      </w:pPr>
      <w:r w:rsidRPr="00953225">
        <w:rPr>
          <w:b/>
          <w:bCs/>
          <w:sz w:val="16"/>
          <w:szCs w:val="16"/>
          <w:u w:val="single"/>
          <w:lang w:val="en-US"/>
        </w:rPr>
        <w:t>Supplementa</w:t>
      </w:r>
      <w:r w:rsidR="008E01BC">
        <w:rPr>
          <w:b/>
          <w:bCs/>
          <w:sz w:val="16"/>
          <w:szCs w:val="16"/>
          <w:u w:val="single"/>
          <w:lang w:val="en-US"/>
        </w:rPr>
        <w:t>l</w:t>
      </w:r>
      <w:r w:rsidRPr="00953225">
        <w:rPr>
          <w:b/>
          <w:bCs/>
          <w:sz w:val="16"/>
          <w:szCs w:val="16"/>
          <w:u w:val="single"/>
          <w:lang w:val="en-US"/>
        </w:rPr>
        <w:t xml:space="preserve"> Fig. S2 </w:t>
      </w:r>
      <w:r w:rsidRPr="00953225">
        <w:rPr>
          <w:sz w:val="16"/>
          <w:szCs w:val="16"/>
          <w:lang w:val="en-US"/>
        </w:rPr>
        <w:t>The G307D mutation in TOM1 does not alter TOLLIP nor ubiquitin binding. A-B. ITC thermograms representing the binding of TOM1 (A) and TOM1 G307D (B) to TOLLIP. Upper panels, raw titration data. Lower panels, integrated, normalized concentration, and corrected heat dilution data. The lines represent the best fit model for 1:1 binding. (C-D) ITC thermograms representing the binding of TOM1 (C) and TOM1 G307D (D) to ubiquitin. Upper panels, raw titration data. Lower panels, integrated, normalized concentration and corrected heat dilution data. The lines represent the best fit model for 1:1 binding.</w:t>
      </w:r>
    </w:p>
    <w:p w14:paraId="5CCAF236" w14:textId="77777777" w:rsidR="00623AA3" w:rsidRDefault="00623AA3" w:rsidP="00623AA3">
      <w:pPr>
        <w:spacing w:line="360" w:lineRule="auto"/>
        <w:jc w:val="both"/>
        <w:rPr>
          <w:b/>
          <w:bCs/>
          <w:sz w:val="20"/>
          <w:szCs w:val="20"/>
          <w:u w:val="single"/>
          <w:lang w:val="en-US"/>
        </w:rPr>
      </w:pPr>
    </w:p>
    <w:p w14:paraId="13EE6C7C" w14:textId="77777777" w:rsidR="00623AA3" w:rsidRDefault="00623AA3" w:rsidP="00623AA3">
      <w:pPr>
        <w:spacing w:line="360" w:lineRule="auto"/>
        <w:jc w:val="both"/>
        <w:rPr>
          <w:b/>
          <w:bCs/>
          <w:sz w:val="20"/>
          <w:szCs w:val="20"/>
          <w:u w:val="single"/>
          <w:lang w:val="en-US"/>
        </w:rPr>
      </w:pPr>
    </w:p>
    <w:p w14:paraId="4FD0AE57" w14:textId="77777777" w:rsidR="00623AA3" w:rsidRDefault="00623AA3" w:rsidP="00623AA3">
      <w:pPr>
        <w:spacing w:line="360" w:lineRule="auto"/>
        <w:jc w:val="both"/>
        <w:rPr>
          <w:b/>
          <w:bCs/>
          <w:sz w:val="20"/>
          <w:szCs w:val="20"/>
          <w:u w:val="single"/>
          <w:lang w:val="en-US"/>
        </w:rPr>
      </w:pPr>
    </w:p>
    <w:p w14:paraId="02712E31" w14:textId="77777777" w:rsidR="00623AA3" w:rsidRDefault="00623AA3" w:rsidP="00623AA3">
      <w:pPr>
        <w:spacing w:line="360" w:lineRule="auto"/>
        <w:jc w:val="both"/>
        <w:rPr>
          <w:b/>
          <w:bCs/>
          <w:sz w:val="20"/>
          <w:szCs w:val="20"/>
          <w:u w:val="single"/>
          <w:lang w:val="en-US"/>
        </w:rPr>
      </w:pPr>
    </w:p>
    <w:p w14:paraId="4657EA28" w14:textId="77777777" w:rsidR="00623AA3" w:rsidRDefault="00623AA3" w:rsidP="00623AA3">
      <w:pPr>
        <w:spacing w:line="360" w:lineRule="auto"/>
        <w:jc w:val="both"/>
        <w:rPr>
          <w:b/>
          <w:bCs/>
          <w:sz w:val="20"/>
          <w:szCs w:val="20"/>
          <w:u w:val="single"/>
          <w:lang w:val="en-US"/>
        </w:rPr>
      </w:pPr>
    </w:p>
    <w:p w14:paraId="13E3AC90" w14:textId="77777777" w:rsidR="00623AA3" w:rsidRDefault="00623AA3" w:rsidP="00623AA3">
      <w:pPr>
        <w:spacing w:line="360" w:lineRule="auto"/>
        <w:jc w:val="both"/>
        <w:rPr>
          <w:b/>
          <w:bCs/>
          <w:sz w:val="20"/>
          <w:szCs w:val="20"/>
          <w:u w:val="single"/>
          <w:lang w:val="en-US"/>
        </w:rPr>
      </w:pPr>
    </w:p>
    <w:p w14:paraId="48F4F84D" w14:textId="77777777" w:rsidR="00623AA3" w:rsidRDefault="00623AA3" w:rsidP="00623AA3">
      <w:pPr>
        <w:spacing w:line="360" w:lineRule="auto"/>
        <w:jc w:val="both"/>
        <w:rPr>
          <w:b/>
          <w:bCs/>
          <w:sz w:val="20"/>
          <w:szCs w:val="20"/>
          <w:u w:val="single"/>
          <w:lang w:val="en-US"/>
        </w:rPr>
      </w:pPr>
    </w:p>
    <w:p w14:paraId="62923308" w14:textId="77777777" w:rsidR="00623AA3" w:rsidRDefault="00623AA3" w:rsidP="00623AA3">
      <w:pPr>
        <w:spacing w:line="360" w:lineRule="auto"/>
        <w:jc w:val="both"/>
        <w:rPr>
          <w:b/>
          <w:bCs/>
          <w:sz w:val="20"/>
          <w:szCs w:val="20"/>
          <w:u w:val="single"/>
          <w:lang w:val="en-US"/>
        </w:rPr>
      </w:pPr>
    </w:p>
    <w:p w14:paraId="0D384634" w14:textId="77777777" w:rsidR="00623AA3" w:rsidRDefault="00623AA3" w:rsidP="00623AA3">
      <w:pPr>
        <w:spacing w:line="360" w:lineRule="auto"/>
        <w:jc w:val="both"/>
        <w:rPr>
          <w:b/>
          <w:bCs/>
          <w:sz w:val="20"/>
          <w:szCs w:val="20"/>
          <w:u w:val="single"/>
          <w:lang w:val="en-US"/>
        </w:rPr>
      </w:pPr>
    </w:p>
    <w:p w14:paraId="73FB1F9F" w14:textId="77777777" w:rsidR="00623AA3" w:rsidRDefault="00623AA3" w:rsidP="00623AA3">
      <w:pPr>
        <w:spacing w:line="360" w:lineRule="auto"/>
        <w:jc w:val="both"/>
        <w:rPr>
          <w:b/>
          <w:bCs/>
          <w:sz w:val="20"/>
          <w:szCs w:val="20"/>
          <w:u w:val="single"/>
          <w:lang w:val="en-US"/>
        </w:rPr>
      </w:pPr>
    </w:p>
    <w:p w14:paraId="0CD36523" w14:textId="77777777" w:rsidR="00623AA3" w:rsidRDefault="00623AA3" w:rsidP="00623AA3">
      <w:pPr>
        <w:spacing w:line="360" w:lineRule="auto"/>
        <w:jc w:val="both"/>
        <w:rPr>
          <w:b/>
          <w:bCs/>
          <w:sz w:val="20"/>
          <w:szCs w:val="20"/>
          <w:u w:val="single"/>
          <w:lang w:val="en-US"/>
        </w:rPr>
      </w:pPr>
    </w:p>
    <w:p w14:paraId="1AD9F402" w14:textId="77777777" w:rsidR="00623AA3" w:rsidRDefault="00623AA3" w:rsidP="00623AA3">
      <w:pPr>
        <w:spacing w:line="360" w:lineRule="auto"/>
        <w:jc w:val="both"/>
        <w:rPr>
          <w:b/>
          <w:bCs/>
          <w:sz w:val="20"/>
          <w:szCs w:val="20"/>
          <w:u w:val="single"/>
          <w:lang w:val="en-US"/>
        </w:rPr>
      </w:pPr>
    </w:p>
    <w:p w14:paraId="0C5A16DD" w14:textId="77777777" w:rsidR="00623AA3" w:rsidRDefault="00623AA3" w:rsidP="00623AA3">
      <w:pPr>
        <w:spacing w:line="360" w:lineRule="auto"/>
        <w:jc w:val="both"/>
        <w:rPr>
          <w:b/>
          <w:bCs/>
          <w:sz w:val="20"/>
          <w:szCs w:val="20"/>
          <w:u w:val="single"/>
          <w:lang w:val="en-US"/>
        </w:rPr>
      </w:pPr>
    </w:p>
    <w:p w14:paraId="0E89E690" w14:textId="569D80E0" w:rsidR="00953225" w:rsidRDefault="00953225">
      <w:pPr>
        <w:spacing w:after="160" w:line="259" w:lineRule="auto"/>
        <w:rPr>
          <w:b/>
          <w:bCs/>
          <w:sz w:val="20"/>
          <w:szCs w:val="20"/>
          <w:u w:val="single"/>
          <w:lang w:val="en-US"/>
        </w:rPr>
      </w:pPr>
      <w:r>
        <w:rPr>
          <w:b/>
          <w:bCs/>
          <w:sz w:val="20"/>
          <w:szCs w:val="20"/>
          <w:u w:val="single"/>
          <w:lang w:val="en-US"/>
        </w:rPr>
        <w:br w:type="page"/>
      </w:r>
    </w:p>
    <w:p w14:paraId="7365E538" w14:textId="7C676A2F" w:rsidR="00953225" w:rsidRPr="00953225" w:rsidRDefault="00953225" w:rsidP="00623AA3">
      <w:pPr>
        <w:spacing w:line="360" w:lineRule="auto"/>
        <w:jc w:val="both"/>
        <w:rPr>
          <w:b/>
          <w:bCs/>
          <w:sz w:val="20"/>
          <w:szCs w:val="20"/>
          <w:lang w:val="en-US"/>
        </w:rPr>
      </w:pPr>
      <w:r w:rsidRPr="00953225">
        <w:rPr>
          <w:b/>
          <w:bCs/>
          <w:sz w:val="20"/>
          <w:szCs w:val="20"/>
          <w:lang w:val="en-US"/>
        </w:rPr>
        <w:lastRenderedPageBreak/>
        <w:t>Supplementa</w:t>
      </w:r>
      <w:r w:rsidR="008E01BC">
        <w:rPr>
          <w:b/>
          <w:bCs/>
          <w:sz w:val="20"/>
          <w:szCs w:val="20"/>
          <w:lang w:val="en-US"/>
        </w:rPr>
        <w:t>l</w:t>
      </w:r>
      <w:r w:rsidRPr="00953225">
        <w:rPr>
          <w:b/>
          <w:bCs/>
          <w:sz w:val="20"/>
          <w:szCs w:val="20"/>
          <w:lang w:val="en-US"/>
        </w:rPr>
        <w:t xml:space="preserve"> Fig. S3</w:t>
      </w:r>
    </w:p>
    <w:p w14:paraId="7ACCE075" w14:textId="77777777" w:rsidR="00953225" w:rsidRDefault="00953225">
      <w:pPr>
        <w:spacing w:after="160" w:line="259" w:lineRule="auto"/>
        <w:rPr>
          <w:b/>
          <w:bCs/>
          <w:sz w:val="20"/>
          <w:szCs w:val="20"/>
          <w:u w:val="single"/>
          <w:lang w:val="en-US"/>
        </w:rPr>
      </w:pPr>
    </w:p>
    <w:p w14:paraId="02B1E6E9" w14:textId="77777777" w:rsidR="00953225" w:rsidRDefault="00953225">
      <w:pPr>
        <w:spacing w:after="160" w:line="259" w:lineRule="auto"/>
        <w:rPr>
          <w:b/>
          <w:bCs/>
          <w:sz w:val="20"/>
          <w:szCs w:val="20"/>
          <w:u w:val="single"/>
          <w:lang w:val="en-US"/>
        </w:rPr>
      </w:pPr>
      <w:r w:rsidRPr="00953225">
        <w:rPr>
          <w:b/>
          <w:bCs/>
          <w:noProof/>
          <w:sz w:val="20"/>
          <w:szCs w:val="20"/>
          <w:u w:val="single"/>
        </w:rPr>
        <w:drawing>
          <wp:inline distT="0" distB="0" distL="0" distR="0" wp14:anchorId="7944F1EC" wp14:editId="3F7A18AD">
            <wp:extent cx="3024000" cy="5133428"/>
            <wp:effectExtent l="0" t="0" r="5080" b="0"/>
            <wp:docPr id="3" name="Picture 2" descr="Diagram&#10;&#10;Description automatically generated">
              <a:extLst xmlns:a="http://schemas.openxmlformats.org/drawingml/2006/main">
                <a:ext uri="{FF2B5EF4-FFF2-40B4-BE49-F238E27FC236}">
                  <a16:creationId xmlns:a16="http://schemas.microsoft.com/office/drawing/2014/main" id="{3E126CEF-EC75-E6ED-E26C-8B96ECDE62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iagram&#10;&#10;Description automatically generated">
                      <a:extLst>
                        <a:ext uri="{FF2B5EF4-FFF2-40B4-BE49-F238E27FC236}">
                          <a16:creationId xmlns:a16="http://schemas.microsoft.com/office/drawing/2014/main" id="{3E126CEF-EC75-E6ED-E26C-8B96ECDE62A1}"/>
                        </a:ext>
                      </a:extLst>
                    </pic:cNvPr>
                    <pic:cNvPicPr>
                      <a:picLocks noChangeAspect="1"/>
                    </pic:cNvPicPr>
                  </pic:nvPicPr>
                  <pic:blipFill>
                    <a:blip r:embed="rId8"/>
                    <a:stretch>
                      <a:fillRect/>
                    </a:stretch>
                  </pic:blipFill>
                  <pic:spPr>
                    <a:xfrm>
                      <a:off x="0" y="0"/>
                      <a:ext cx="3024000" cy="5133428"/>
                    </a:xfrm>
                    <a:prstGeom prst="rect">
                      <a:avLst/>
                    </a:prstGeom>
                  </pic:spPr>
                </pic:pic>
              </a:graphicData>
            </a:graphic>
          </wp:inline>
        </w:drawing>
      </w:r>
    </w:p>
    <w:p w14:paraId="41D77A32" w14:textId="53B03A08" w:rsidR="00953225" w:rsidRDefault="00953225" w:rsidP="00953225">
      <w:pPr>
        <w:spacing w:after="160" w:line="360" w:lineRule="auto"/>
        <w:rPr>
          <w:sz w:val="16"/>
          <w:szCs w:val="16"/>
          <w:lang w:val="en-US"/>
        </w:rPr>
      </w:pPr>
      <w:r w:rsidRPr="00953225">
        <w:rPr>
          <w:b/>
          <w:bCs/>
          <w:sz w:val="16"/>
          <w:szCs w:val="16"/>
          <w:lang w:val="en-US"/>
        </w:rPr>
        <w:t>Supplementa</w:t>
      </w:r>
      <w:r w:rsidR="008E01BC">
        <w:rPr>
          <w:b/>
          <w:bCs/>
          <w:sz w:val="16"/>
          <w:szCs w:val="16"/>
          <w:lang w:val="en-US"/>
        </w:rPr>
        <w:t>l</w:t>
      </w:r>
      <w:r w:rsidRPr="00953225">
        <w:rPr>
          <w:b/>
          <w:bCs/>
          <w:sz w:val="16"/>
          <w:szCs w:val="16"/>
          <w:lang w:val="en-US"/>
        </w:rPr>
        <w:t xml:space="preserve"> Fig</w:t>
      </w:r>
      <w:r>
        <w:rPr>
          <w:b/>
          <w:bCs/>
          <w:sz w:val="16"/>
          <w:szCs w:val="16"/>
          <w:lang w:val="en-US"/>
        </w:rPr>
        <w:t>.</w:t>
      </w:r>
      <w:r w:rsidRPr="00953225">
        <w:rPr>
          <w:b/>
          <w:bCs/>
          <w:sz w:val="16"/>
          <w:szCs w:val="16"/>
          <w:lang w:val="en-US"/>
        </w:rPr>
        <w:t xml:space="preserve"> </w:t>
      </w:r>
      <w:r>
        <w:rPr>
          <w:b/>
          <w:bCs/>
          <w:sz w:val="16"/>
          <w:szCs w:val="16"/>
          <w:lang w:val="en-US"/>
        </w:rPr>
        <w:t>S</w:t>
      </w:r>
      <w:r w:rsidRPr="00953225">
        <w:rPr>
          <w:b/>
          <w:bCs/>
          <w:sz w:val="16"/>
          <w:szCs w:val="16"/>
          <w:lang w:val="en-US"/>
        </w:rPr>
        <w:t xml:space="preserve">3 </w:t>
      </w:r>
      <w:r w:rsidRPr="00953225">
        <w:rPr>
          <w:sz w:val="16"/>
          <w:szCs w:val="16"/>
          <w:lang w:val="en-US"/>
        </w:rPr>
        <w:t>The G307D mutation in TOM1 does not cause changes in oligomerization. (</w:t>
      </w:r>
      <w:r w:rsidRPr="00953225">
        <w:rPr>
          <w:b/>
          <w:bCs/>
          <w:sz w:val="16"/>
          <w:szCs w:val="16"/>
          <w:lang w:val="en-US"/>
        </w:rPr>
        <w:t>A</w:t>
      </w:r>
      <w:r w:rsidRPr="00953225">
        <w:rPr>
          <w:sz w:val="16"/>
          <w:szCs w:val="16"/>
          <w:lang w:val="en-US"/>
        </w:rPr>
        <w:t>) TOLLIP and GST (control) were incubated without and with glutaraldehyde (GA) at the indicated concentrations and oligomer formation was evaluated using SDS-PAGE. (B-C) TOM1 (</w:t>
      </w:r>
      <w:r w:rsidRPr="00953225">
        <w:rPr>
          <w:b/>
          <w:bCs/>
          <w:sz w:val="16"/>
          <w:szCs w:val="16"/>
          <w:lang w:val="en-US"/>
        </w:rPr>
        <w:t>B</w:t>
      </w:r>
      <w:r w:rsidRPr="00953225">
        <w:rPr>
          <w:sz w:val="16"/>
          <w:szCs w:val="16"/>
          <w:lang w:val="en-US"/>
        </w:rPr>
        <w:t>) and TOM1 G307D (</w:t>
      </w:r>
      <w:r w:rsidRPr="00953225">
        <w:rPr>
          <w:b/>
          <w:bCs/>
          <w:sz w:val="16"/>
          <w:szCs w:val="16"/>
          <w:lang w:val="en-US"/>
        </w:rPr>
        <w:t>C</w:t>
      </w:r>
      <w:r w:rsidRPr="00953225">
        <w:rPr>
          <w:sz w:val="16"/>
          <w:szCs w:val="16"/>
          <w:lang w:val="en-US"/>
        </w:rPr>
        <w:t>) were incubated in the absence and presence of the indicated GA concentrations and oligomer formation was tracked using SDS-PAGE. GST was used as a control. (</w:t>
      </w:r>
      <w:r w:rsidRPr="00953225">
        <w:rPr>
          <w:b/>
          <w:bCs/>
          <w:sz w:val="16"/>
          <w:szCs w:val="16"/>
          <w:lang w:val="en-US"/>
        </w:rPr>
        <w:t>D</w:t>
      </w:r>
      <w:r w:rsidRPr="00953225">
        <w:rPr>
          <w:sz w:val="16"/>
          <w:szCs w:val="16"/>
          <w:lang w:val="en-US"/>
        </w:rPr>
        <w:t>) TOLLIP was incubated in the absence and presence of either TOM1 or TOM1 G307D at the indicated GA concentrations and the presence of the complexes detected using SDS-PAGE.</w:t>
      </w:r>
    </w:p>
    <w:p w14:paraId="42184D2D" w14:textId="77777777" w:rsidR="00953225" w:rsidRDefault="00953225">
      <w:pPr>
        <w:spacing w:after="160" w:line="259" w:lineRule="auto"/>
        <w:rPr>
          <w:sz w:val="16"/>
          <w:szCs w:val="16"/>
          <w:lang w:val="en-US"/>
        </w:rPr>
      </w:pPr>
      <w:r>
        <w:rPr>
          <w:sz w:val="16"/>
          <w:szCs w:val="16"/>
          <w:lang w:val="en-US"/>
        </w:rPr>
        <w:br w:type="page"/>
      </w:r>
    </w:p>
    <w:p w14:paraId="22090E9E" w14:textId="6189F525" w:rsidR="00953225" w:rsidRDefault="00953225" w:rsidP="00953225">
      <w:pPr>
        <w:spacing w:after="160" w:line="360" w:lineRule="auto"/>
        <w:rPr>
          <w:b/>
          <w:bCs/>
          <w:sz w:val="20"/>
          <w:szCs w:val="20"/>
          <w:lang w:val="en-US"/>
        </w:rPr>
      </w:pPr>
      <w:r w:rsidRPr="00953225">
        <w:rPr>
          <w:b/>
          <w:bCs/>
          <w:sz w:val="20"/>
          <w:szCs w:val="20"/>
          <w:lang w:val="en-US"/>
        </w:rPr>
        <w:lastRenderedPageBreak/>
        <w:t>Supplementa</w:t>
      </w:r>
      <w:r w:rsidR="008E01BC">
        <w:rPr>
          <w:b/>
          <w:bCs/>
          <w:sz w:val="20"/>
          <w:szCs w:val="20"/>
          <w:lang w:val="en-US"/>
        </w:rPr>
        <w:t>l</w:t>
      </w:r>
      <w:r w:rsidRPr="00953225">
        <w:rPr>
          <w:b/>
          <w:bCs/>
          <w:sz w:val="20"/>
          <w:szCs w:val="20"/>
          <w:lang w:val="en-US"/>
        </w:rPr>
        <w:t xml:space="preserve"> Fig. S4</w:t>
      </w:r>
    </w:p>
    <w:p w14:paraId="52EA1C1B" w14:textId="77777777" w:rsidR="00953225" w:rsidRDefault="00953225" w:rsidP="00953225">
      <w:pPr>
        <w:spacing w:after="160" w:line="360" w:lineRule="auto"/>
        <w:rPr>
          <w:b/>
          <w:bCs/>
          <w:sz w:val="20"/>
          <w:szCs w:val="20"/>
          <w:lang w:val="en-US"/>
        </w:rPr>
      </w:pPr>
    </w:p>
    <w:p w14:paraId="6711F8D5" w14:textId="5BD2C850" w:rsidR="00953225" w:rsidRPr="00953225" w:rsidRDefault="00953225" w:rsidP="00953225">
      <w:pPr>
        <w:spacing w:after="160" w:line="360" w:lineRule="auto"/>
        <w:rPr>
          <w:b/>
          <w:bCs/>
          <w:sz w:val="20"/>
          <w:szCs w:val="20"/>
          <w:lang w:val="en-US"/>
        </w:rPr>
      </w:pPr>
      <w:r w:rsidRPr="00953225">
        <w:rPr>
          <w:b/>
          <w:bCs/>
          <w:noProof/>
          <w:sz w:val="20"/>
          <w:szCs w:val="20"/>
        </w:rPr>
        <w:drawing>
          <wp:inline distT="0" distB="0" distL="0" distR="0" wp14:anchorId="405B7DA1" wp14:editId="21110655">
            <wp:extent cx="3024000" cy="4888539"/>
            <wp:effectExtent l="0" t="0" r="5080" b="7620"/>
            <wp:docPr id="1889970229" name="Kuva 1889970229" descr="Diagram&#10;&#10;Description automatically generated">
              <a:extLst xmlns:a="http://schemas.openxmlformats.org/drawingml/2006/main">
                <a:ext uri="{FF2B5EF4-FFF2-40B4-BE49-F238E27FC236}">
                  <a16:creationId xmlns:a16="http://schemas.microsoft.com/office/drawing/2014/main" id="{CEB6764E-75F9-9924-06C5-814B8A72A7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iagram&#10;&#10;Description automatically generated">
                      <a:extLst>
                        <a:ext uri="{FF2B5EF4-FFF2-40B4-BE49-F238E27FC236}">
                          <a16:creationId xmlns:a16="http://schemas.microsoft.com/office/drawing/2014/main" id="{CEB6764E-75F9-9924-06C5-814B8A72A769}"/>
                        </a:ext>
                      </a:extLst>
                    </pic:cNvPr>
                    <pic:cNvPicPr>
                      <a:picLocks noChangeAspect="1"/>
                    </pic:cNvPicPr>
                  </pic:nvPicPr>
                  <pic:blipFill>
                    <a:blip r:embed="rId9"/>
                    <a:stretch>
                      <a:fillRect/>
                    </a:stretch>
                  </pic:blipFill>
                  <pic:spPr>
                    <a:xfrm>
                      <a:off x="0" y="0"/>
                      <a:ext cx="3024000" cy="4888539"/>
                    </a:xfrm>
                    <a:prstGeom prst="rect">
                      <a:avLst/>
                    </a:prstGeom>
                  </pic:spPr>
                </pic:pic>
              </a:graphicData>
            </a:graphic>
          </wp:inline>
        </w:drawing>
      </w:r>
    </w:p>
    <w:p w14:paraId="68B435EF" w14:textId="25501CF6" w:rsidR="00953225" w:rsidRPr="00953225" w:rsidRDefault="00953225" w:rsidP="00953225">
      <w:pPr>
        <w:spacing w:after="160" w:line="360" w:lineRule="auto"/>
        <w:rPr>
          <w:sz w:val="16"/>
          <w:szCs w:val="16"/>
          <w:lang w:val="en-US"/>
        </w:rPr>
      </w:pPr>
      <w:r w:rsidRPr="00953225">
        <w:rPr>
          <w:b/>
          <w:bCs/>
          <w:sz w:val="16"/>
          <w:szCs w:val="16"/>
          <w:lang w:val="en-US"/>
        </w:rPr>
        <w:t>Supplementa</w:t>
      </w:r>
      <w:r w:rsidR="008E01BC">
        <w:rPr>
          <w:b/>
          <w:bCs/>
          <w:sz w:val="16"/>
          <w:szCs w:val="16"/>
          <w:lang w:val="en-US"/>
        </w:rPr>
        <w:t>l</w:t>
      </w:r>
      <w:r w:rsidRPr="00953225">
        <w:rPr>
          <w:b/>
          <w:bCs/>
          <w:sz w:val="16"/>
          <w:szCs w:val="16"/>
          <w:lang w:val="en-US"/>
        </w:rPr>
        <w:t xml:space="preserve"> Fig</w:t>
      </w:r>
      <w:r>
        <w:rPr>
          <w:b/>
          <w:bCs/>
          <w:sz w:val="16"/>
          <w:szCs w:val="16"/>
          <w:lang w:val="en-US"/>
        </w:rPr>
        <w:t>.</w:t>
      </w:r>
      <w:r w:rsidRPr="00953225">
        <w:rPr>
          <w:b/>
          <w:bCs/>
          <w:sz w:val="16"/>
          <w:szCs w:val="16"/>
          <w:lang w:val="en-US"/>
        </w:rPr>
        <w:t xml:space="preserve"> </w:t>
      </w:r>
      <w:r>
        <w:rPr>
          <w:b/>
          <w:bCs/>
          <w:sz w:val="16"/>
          <w:szCs w:val="16"/>
          <w:lang w:val="en-US"/>
        </w:rPr>
        <w:t>S</w:t>
      </w:r>
      <w:r w:rsidRPr="00953225">
        <w:rPr>
          <w:b/>
          <w:bCs/>
          <w:sz w:val="16"/>
          <w:szCs w:val="16"/>
          <w:lang w:val="en-US"/>
        </w:rPr>
        <w:t>4</w:t>
      </w:r>
      <w:r>
        <w:rPr>
          <w:b/>
          <w:bCs/>
          <w:sz w:val="16"/>
          <w:szCs w:val="16"/>
          <w:lang w:val="en-US"/>
        </w:rPr>
        <w:t xml:space="preserve"> </w:t>
      </w:r>
      <w:r w:rsidRPr="00953225">
        <w:rPr>
          <w:sz w:val="16"/>
          <w:szCs w:val="16"/>
          <w:lang w:val="en-US"/>
        </w:rPr>
        <w:t>The G307D mutation in TOM1 does not cause changes in oligomerization</w:t>
      </w:r>
      <w:r w:rsidRPr="00953225">
        <w:rPr>
          <w:b/>
          <w:bCs/>
          <w:sz w:val="16"/>
          <w:szCs w:val="16"/>
          <w:lang w:val="en-US"/>
        </w:rPr>
        <w:t xml:space="preserve">. </w:t>
      </w:r>
      <w:r w:rsidRPr="00953225">
        <w:rPr>
          <w:sz w:val="16"/>
          <w:szCs w:val="16"/>
          <w:lang w:val="en-US"/>
        </w:rPr>
        <w:t>A-B. TOM1 (</w:t>
      </w:r>
      <w:r w:rsidRPr="00953225">
        <w:rPr>
          <w:b/>
          <w:bCs/>
          <w:sz w:val="16"/>
          <w:szCs w:val="16"/>
          <w:lang w:val="en-US"/>
        </w:rPr>
        <w:t>A</w:t>
      </w:r>
      <w:r w:rsidRPr="00953225">
        <w:rPr>
          <w:sz w:val="16"/>
          <w:szCs w:val="16"/>
          <w:lang w:val="en-US"/>
        </w:rPr>
        <w:t>) and TOM1 G307D (</w:t>
      </w:r>
      <w:r w:rsidRPr="00953225">
        <w:rPr>
          <w:b/>
          <w:bCs/>
          <w:sz w:val="16"/>
          <w:szCs w:val="16"/>
          <w:lang w:val="en-US"/>
        </w:rPr>
        <w:t>B</w:t>
      </w:r>
      <w:r w:rsidRPr="00953225">
        <w:rPr>
          <w:sz w:val="16"/>
          <w:szCs w:val="16"/>
          <w:lang w:val="en-US"/>
        </w:rPr>
        <w:t>) were incubated in the absence and presence of the indicated BS3 concentrations. Oligomer formation was tracked using SDS-PAGE. GST was used as a control. (</w:t>
      </w:r>
      <w:r w:rsidRPr="00953225">
        <w:rPr>
          <w:b/>
          <w:bCs/>
          <w:sz w:val="16"/>
          <w:szCs w:val="16"/>
          <w:lang w:val="en-US"/>
        </w:rPr>
        <w:t>C</w:t>
      </w:r>
      <w:r w:rsidRPr="00953225">
        <w:rPr>
          <w:sz w:val="16"/>
          <w:szCs w:val="16"/>
          <w:lang w:val="en-US"/>
        </w:rPr>
        <w:t>) TOLLIP was incubated in the absence and presence of either TOM1 or TOM1 G307D at the indicated BS3 concentrations and the presence of the complexes detected using SDS-PAGE. </w:t>
      </w:r>
    </w:p>
    <w:p w14:paraId="37FD6236" w14:textId="77777777" w:rsidR="00953225" w:rsidRDefault="00953225">
      <w:pPr>
        <w:spacing w:after="160" w:line="259" w:lineRule="auto"/>
        <w:rPr>
          <w:sz w:val="16"/>
          <w:szCs w:val="16"/>
          <w:lang w:val="en-US"/>
        </w:rPr>
      </w:pPr>
      <w:r>
        <w:rPr>
          <w:sz w:val="16"/>
          <w:szCs w:val="16"/>
          <w:lang w:val="en-US"/>
        </w:rPr>
        <w:br w:type="page"/>
      </w:r>
    </w:p>
    <w:p w14:paraId="2F2C75AF" w14:textId="64372074" w:rsidR="00953225" w:rsidRDefault="00953225" w:rsidP="00953225">
      <w:pPr>
        <w:spacing w:after="160" w:line="360" w:lineRule="auto"/>
        <w:rPr>
          <w:b/>
          <w:bCs/>
          <w:sz w:val="20"/>
          <w:szCs w:val="20"/>
          <w:lang w:val="en-US"/>
        </w:rPr>
      </w:pPr>
      <w:r w:rsidRPr="00953225">
        <w:rPr>
          <w:b/>
          <w:bCs/>
          <w:sz w:val="20"/>
          <w:szCs w:val="20"/>
          <w:lang w:val="en-US"/>
        </w:rPr>
        <w:lastRenderedPageBreak/>
        <w:t>Supplementa</w:t>
      </w:r>
      <w:r w:rsidR="008E01BC">
        <w:rPr>
          <w:b/>
          <w:bCs/>
          <w:sz w:val="20"/>
          <w:szCs w:val="20"/>
          <w:lang w:val="en-US"/>
        </w:rPr>
        <w:t>l</w:t>
      </w:r>
      <w:r w:rsidRPr="00953225">
        <w:rPr>
          <w:b/>
          <w:bCs/>
          <w:sz w:val="20"/>
          <w:szCs w:val="20"/>
          <w:lang w:val="en-US"/>
        </w:rPr>
        <w:t xml:space="preserve"> Fig. S</w:t>
      </w:r>
      <w:r>
        <w:rPr>
          <w:b/>
          <w:bCs/>
          <w:sz w:val="20"/>
          <w:szCs w:val="20"/>
          <w:lang w:val="en-US"/>
        </w:rPr>
        <w:t>5</w:t>
      </w:r>
    </w:p>
    <w:p w14:paraId="53AF39AB" w14:textId="40007CE0" w:rsidR="00953225" w:rsidRDefault="00953225" w:rsidP="00953225">
      <w:pPr>
        <w:spacing w:after="160" w:line="360" w:lineRule="auto"/>
        <w:rPr>
          <w:b/>
          <w:bCs/>
          <w:sz w:val="20"/>
          <w:szCs w:val="20"/>
          <w:lang w:val="en-US"/>
        </w:rPr>
      </w:pPr>
      <w:r>
        <w:rPr>
          <w:b/>
          <w:bCs/>
          <w:noProof/>
          <w:sz w:val="20"/>
          <w:szCs w:val="20"/>
          <w:lang w:val="en-US"/>
        </w:rPr>
        <w:drawing>
          <wp:inline distT="0" distB="0" distL="0" distR="0" wp14:anchorId="5FDFBFD7" wp14:editId="0B29070F">
            <wp:extent cx="3389630" cy="1292225"/>
            <wp:effectExtent l="0" t="0" r="1270" b="3175"/>
            <wp:docPr id="1181158152"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89630" cy="1292225"/>
                    </a:xfrm>
                    <a:prstGeom prst="rect">
                      <a:avLst/>
                    </a:prstGeom>
                    <a:noFill/>
                  </pic:spPr>
                </pic:pic>
              </a:graphicData>
            </a:graphic>
          </wp:inline>
        </w:drawing>
      </w:r>
    </w:p>
    <w:p w14:paraId="6CF4AD3C" w14:textId="77777777" w:rsidR="00953225" w:rsidRDefault="00953225" w:rsidP="00953225">
      <w:pPr>
        <w:spacing w:after="160" w:line="360" w:lineRule="auto"/>
        <w:rPr>
          <w:b/>
          <w:bCs/>
          <w:sz w:val="16"/>
          <w:szCs w:val="16"/>
          <w:lang w:val="en-US"/>
        </w:rPr>
      </w:pPr>
    </w:p>
    <w:p w14:paraId="74D897AE" w14:textId="17C1E34B" w:rsidR="00953225" w:rsidRPr="00953225" w:rsidRDefault="00953225" w:rsidP="00953225">
      <w:pPr>
        <w:spacing w:after="160" w:line="360" w:lineRule="auto"/>
        <w:rPr>
          <w:sz w:val="16"/>
          <w:szCs w:val="16"/>
          <w:lang w:val="en-US"/>
        </w:rPr>
      </w:pPr>
      <w:r w:rsidRPr="00953225">
        <w:rPr>
          <w:b/>
          <w:bCs/>
          <w:sz w:val="16"/>
          <w:szCs w:val="16"/>
          <w:lang w:val="en-US"/>
        </w:rPr>
        <w:t>Supplementa</w:t>
      </w:r>
      <w:r w:rsidR="008E01BC">
        <w:rPr>
          <w:b/>
          <w:bCs/>
          <w:sz w:val="16"/>
          <w:szCs w:val="16"/>
          <w:lang w:val="en-US"/>
        </w:rPr>
        <w:t>l</w:t>
      </w:r>
      <w:r w:rsidRPr="00953225">
        <w:rPr>
          <w:b/>
          <w:bCs/>
          <w:sz w:val="16"/>
          <w:szCs w:val="16"/>
          <w:lang w:val="en-US"/>
        </w:rPr>
        <w:t xml:space="preserve"> Fig. S5</w:t>
      </w:r>
      <w:r w:rsidRPr="00953225">
        <w:rPr>
          <w:sz w:val="16"/>
          <w:szCs w:val="16"/>
          <w:lang w:val="en-US"/>
        </w:rPr>
        <w:t xml:space="preserve"> TOLLIP colocalizes with EEA1. TOLLIP-EGFP expressing HEK293 cell and endogenous anti-EEA1 (early endosomes) staining. Scale bar: 10 </w:t>
      </w:r>
      <w:r>
        <w:rPr>
          <w:sz w:val="16"/>
          <w:szCs w:val="16"/>
          <w:lang w:val="en-US"/>
        </w:rPr>
        <w:t>µ</w:t>
      </w:r>
      <w:r w:rsidRPr="00953225">
        <w:rPr>
          <w:sz w:val="16"/>
          <w:szCs w:val="16"/>
          <w:lang w:val="en-US"/>
        </w:rPr>
        <w:t>m.</w:t>
      </w:r>
      <w:r w:rsidRPr="00953225">
        <w:rPr>
          <w:sz w:val="16"/>
          <w:szCs w:val="16"/>
          <w:lang w:val="en-US"/>
        </w:rPr>
        <w:br w:type="page"/>
      </w:r>
    </w:p>
    <w:p w14:paraId="78143C7A" w14:textId="4E1A4667" w:rsidR="008E01BC" w:rsidRDefault="008E01BC" w:rsidP="008E01BC">
      <w:pPr>
        <w:spacing w:after="160" w:line="360" w:lineRule="auto"/>
        <w:rPr>
          <w:b/>
          <w:bCs/>
          <w:sz w:val="20"/>
          <w:szCs w:val="20"/>
          <w:lang w:val="en-US"/>
        </w:rPr>
      </w:pPr>
      <w:r w:rsidRPr="00953225">
        <w:rPr>
          <w:b/>
          <w:bCs/>
          <w:sz w:val="20"/>
          <w:szCs w:val="20"/>
          <w:lang w:val="en-US"/>
        </w:rPr>
        <w:lastRenderedPageBreak/>
        <w:t>Supplementa</w:t>
      </w:r>
      <w:r>
        <w:rPr>
          <w:b/>
          <w:bCs/>
          <w:sz w:val="20"/>
          <w:szCs w:val="20"/>
          <w:lang w:val="en-US"/>
        </w:rPr>
        <w:t>l</w:t>
      </w:r>
      <w:r w:rsidRPr="00953225">
        <w:rPr>
          <w:b/>
          <w:bCs/>
          <w:sz w:val="20"/>
          <w:szCs w:val="20"/>
          <w:lang w:val="en-US"/>
        </w:rPr>
        <w:t xml:space="preserve"> Fig. S</w:t>
      </w:r>
      <w:r>
        <w:rPr>
          <w:b/>
          <w:bCs/>
          <w:sz w:val="20"/>
          <w:szCs w:val="20"/>
          <w:lang w:val="en-US"/>
        </w:rPr>
        <w:t>6</w:t>
      </w:r>
    </w:p>
    <w:p w14:paraId="48087C68" w14:textId="0B3E822A" w:rsidR="008E01BC" w:rsidRDefault="008E01BC" w:rsidP="008E01BC">
      <w:pPr>
        <w:spacing w:after="160" w:line="360" w:lineRule="auto"/>
        <w:rPr>
          <w:b/>
          <w:bCs/>
          <w:sz w:val="20"/>
          <w:szCs w:val="20"/>
          <w:lang w:val="en-US"/>
        </w:rPr>
      </w:pPr>
      <w:r>
        <w:rPr>
          <w:b/>
          <w:bCs/>
          <w:noProof/>
          <w:sz w:val="20"/>
          <w:szCs w:val="20"/>
          <w:lang w:val="en-US"/>
        </w:rPr>
        <w:drawing>
          <wp:inline distT="0" distB="0" distL="0" distR="0" wp14:anchorId="493FF8A9" wp14:editId="219D65AE">
            <wp:extent cx="5535930" cy="4864735"/>
            <wp:effectExtent l="0" t="0" r="0" b="0"/>
            <wp:docPr id="1013787236"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35930" cy="4864735"/>
                    </a:xfrm>
                    <a:prstGeom prst="rect">
                      <a:avLst/>
                    </a:prstGeom>
                    <a:noFill/>
                  </pic:spPr>
                </pic:pic>
              </a:graphicData>
            </a:graphic>
          </wp:inline>
        </w:drawing>
      </w:r>
    </w:p>
    <w:p w14:paraId="442642C1" w14:textId="472228FF" w:rsidR="008E01BC" w:rsidRPr="008E01BC" w:rsidRDefault="008E01BC" w:rsidP="008E01BC">
      <w:pPr>
        <w:spacing w:after="160" w:line="360" w:lineRule="auto"/>
        <w:rPr>
          <w:sz w:val="16"/>
          <w:szCs w:val="16"/>
          <w:lang w:val="en-US"/>
        </w:rPr>
      </w:pPr>
      <w:r w:rsidRPr="008E01BC">
        <w:rPr>
          <w:b/>
          <w:bCs/>
          <w:sz w:val="16"/>
          <w:szCs w:val="16"/>
          <w:lang w:val="en-US"/>
        </w:rPr>
        <w:t>Supplementa</w:t>
      </w:r>
      <w:r>
        <w:rPr>
          <w:b/>
          <w:bCs/>
          <w:sz w:val="16"/>
          <w:szCs w:val="16"/>
          <w:lang w:val="en-US"/>
        </w:rPr>
        <w:t>l</w:t>
      </w:r>
      <w:r w:rsidRPr="008E01BC">
        <w:rPr>
          <w:b/>
          <w:bCs/>
          <w:sz w:val="16"/>
          <w:szCs w:val="16"/>
          <w:lang w:val="en-US"/>
        </w:rPr>
        <w:t xml:space="preserve"> Fig. S6</w:t>
      </w:r>
      <w:r w:rsidRPr="008E01BC">
        <w:rPr>
          <w:sz w:val="16"/>
          <w:szCs w:val="16"/>
          <w:lang w:val="en-US"/>
        </w:rPr>
        <w:t xml:space="preserve"> TOM1 G307D patient cells show AKT hyperphosphorylation after LPS or IL-1β stimulation compared to healthy control cells. (A) Representative western blots of fibroblasts after stimulation with LPS (1µg/ml). (B) Quantification of p-AKT ratio to total AKT after LPS stimulation. Patient samples and control samples are pooled together and normalized to control samples 10 min time point. (C) Time points from 10 to 120 min pooled together indicate that AKT phosphorylation in patient cells is more robust than in control cells. Data represent mean ± SEM from one experiment with duplicate samples (D) Representative western blot of fibroblasts after stimulation with IL-1β (10 ng/ml). (E) Quantification of p-AKT ratio to total AKT after IL-1β stimulation. Patient samples and control samples are pooled together and normalized to control samples 10 min time point. (F) Time points from 10 to 120 min pooled together indicate that AKT phosphorylation in patient cells is more robust than in controls. Data represent mean ± SEM from one experiment with duplicate samples.</w:t>
      </w:r>
    </w:p>
    <w:p w14:paraId="0C0EC3FF" w14:textId="404FEECA" w:rsidR="008E01BC" w:rsidRDefault="00953225" w:rsidP="00953225">
      <w:pPr>
        <w:spacing w:after="160" w:line="360" w:lineRule="auto"/>
        <w:rPr>
          <w:b/>
          <w:bCs/>
          <w:sz w:val="16"/>
          <w:szCs w:val="16"/>
          <w:lang w:val="en-US"/>
        </w:rPr>
      </w:pPr>
      <w:r w:rsidRPr="00953225">
        <w:rPr>
          <w:b/>
          <w:bCs/>
          <w:sz w:val="16"/>
          <w:szCs w:val="16"/>
          <w:lang w:val="en-US"/>
        </w:rPr>
        <w:br w:type="page"/>
      </w:r>
    </w:p>
    <w:p w14:paraId="1E8F011C" w14:textId="7EA11F06" w:rsidR="008E01BC" w:rsidRDefault="008E01BC">
      <w:pPr>
        <w:spacing w:after="160" w:line="259" w:lineRule="auto"/>
        <w:rPr>
          <w:b/>
          <w:bCs/>
          <w:sz w:val="20"/>
          <w:szCs w:val="20"/>
          <w:lang w:val="en-US"/>
        </w:rPr>
      </w:pPr>
      <w:r w:rsidRPr="008E01BC">
        <w:rPr>
          <w:b/>
          <w:bCs/>
          <w:sz w:val="20"/>
          <w:szCs w:val="20"/>
          <w:lang w:val="en-US"/>
        </w:rPr>
        <w:lastRenderedPageBreak/>
        <w:t>Supplementa</w:t>
      </w:r>
      <w:r>
        <w:rPr>
          <w:b/>
          <w:bCs/>
          <w:sz w:val="20"/>
          <w:szCs w:val="20"/>
          <w:lang w:val="en-US"/>
        </w:rPr>
        <w:t>l</w:t>
      </w:r>
      <w:r w:rsidRPr="008E01BC">
        <w:rPr>
          <w:b/>
          <w:bCs/>
          <w:sz w:val="20"/>
          <w:szCs w:val="20"/>
          <w:lang w:val="en-US"/>
        </w:rPr>
        <w:t xml:space="preserve"> Fig. S7</w:t>
      </w:r>
    </w:p>
    <w:p w14:paraId="744EDFAB" w14:textId="77777777" w:rsidR="008E01BC" w:rsidRDefault="008E01BC">
      <w:pPr>
        <w:spacing w:after="160" w:line="259" w:lineRule="auto"/>
        <w:rPr>
          <w:b/>
          <w:bCs/>
          <w:sz w:val="20"/>
          <w:szCs w:val="20"/>
          <w:lang w:val="en-US"/>
        </w:rPr>
      </w:pPr>
      <w:r>
        <w:rPr>
          <w:b/>
          <w:bCs/>
          <w:noProof/>
          <w:sz w:val="20"/>
          <w:szCs w:val="20"/>
          <w:lang w:val="en-US"/>
        </w:rPr>
        <w:drawing>
          <wp:inline distT="0" distB="0" distL="0" distR="0" wp14:anchorId="71435FB0" wp14:editId="5D2ED27D">
            <wp:extent cx="5297805" cy="1066800"/>
            <wp:effectExtent l="0" t="0" r="0" b="0"/>
            <wp:docPr id="1406144460"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97805" cy="1066800"/>
                    </a:xfrm>
                    <a:prstGeom prst="rect">
                      <a:avLst/>
                    </a:prstGeom>
                    <a:noFill/>
                  </pic:spPr>
                </pic:pic>
              </a:graphicData>
            </a:graphic>
          </wp:inline>
        </w:drawing>
      </w:r>
    </w:p>
    <w:p w14:paraId="4DC1BD72" w14:textId="77777777" w:rsidR="008E01BC" w:rsidRDefault="008E01BC">
      <w:pPr>
        <w:spacing w:after="160" w:line="259" w:lineRule="auto"/>
        <w:rPr>
          <w:b/>
          <w:bCs/>
          <w:sz w:val="20"/>
          <w:szCs w:val="20"/>
          <w:lang w:val="en-US"/>
        </w:rPr>
      </w:pPr>
    </w:p>
    <w:p w14:paraId="38F75F4C" w14:textId="45429EFF" w:rsidR="008E01BC" w:rsidRPr="008E01BC" w:rsidRDefault="008E01BC" w:rsidP="008E01BC">
      <w:pPr>
        <w:spacing w:after="160" w:line="360" w:lineRule="auto"/>
        <w:rPr>
          <w:sz w:val="16"/>
          <w:szCs w:val="16"/>
          <w:lang w:val="en-US"/>
        </w:rPr>
      </w:pPr>
      <w:r w:rsidRPr="008E01BC">
        <w:rPr>
          <w:b/>
          <w:bCs/>
          <w:sz w:val="16"/>
          <w:szCs w:val="16"/>
          <w:lang w:val="en-US"/>
        </w:rPr>
        <w:t>Supplementa</w:t>
      </w:r>
      <w:r>
        <w:rPr>
          <w:b/>
          <w:bCs/>
          <w:sz w:val="16"/>
          <w:szCs w:val="16"/>
          <w:lang w:val="en-US"/>
        </w:rPr>
        <w:t>l</w:t>
      </w:r>
      <w:r w:rsidRPr="008E01BC">
        <w:rPr>
          <w:b/>
          <w:bCs/>
          <w:sz w:val="16"/>
          <w:szCs w:val="16"/>
          <w:lang w:val="en-US"/>
        </w:rPr>
        <w:t xml:space="preserve"> Fig. S7</w:t>
      </w:r>
      <w:r w:rsidRPr="008E01BC">
        <w:rPr>
          <w:sz w:val="16"/>
          <w:szCs w:val="16"/>
          <w:lang w:val="en-US"/>
        </w:rPr>
        <w:t xml:space="preserve"> TOM1 G307D pathogenic variant does not affect IKB-a phosphorylation. Representative western blots of primary skin fibroblasts of patients and controls were stimulated with IL-1β as described previously. </w:t>
      </w:r>
    </w:p>
    <w:p w14:paraId="4889C42A" w14:textId="5DCFD3B6" w:rsidR="00623AA3" w:rsidRDefault="008E01BC" w:rsidP="008E01BC">
      <w:pPr>
        <w:spacing w:after="160" w:line="259" w:lineRule="auto"/>
        <w:rPr>
          <w:b/>
          <w:bCs/>
          <w:sz w:val="20"/>
          <w:szCs w:val="20"/>
          <w:lang w:val="en-US"/>
        </w:rPr>
      </w:pPr>
      <w:r w:rsidRPr="008E01BC">
        <w:rPr>
          <w:b/>
          <w:bCs/>
          <w:sz w:val="20"/>
          <w:szCs w:val="20"/>
          <w:lang w:val="en-US"/>
        </w:rPr>
        <w:br w:type="page"/>
      </w:r>
    </w:p>
    <w:p w14:paraId="68375965" w14:textId="77777777" w:rsidR="00623AA3" w:rsidRPr="00AD5879" w:rsidRDefault="00623AA3" w:rsidP="00623AA3">
      <w:pPr>
        <w:spacing w:line="360" w:lineRule="auto"/>
        <w:jc w:val="both"/>
        <w:rPr>
          <w:b/>
          <w:bCs/>
          <w:sz w:val="20"/>
          <w:szCs w:val="20"/>
          <w:lang w:val="en-US"/>
        </w:rPr>
      </w:pPr>
      <w:r w:rsidRPr="00AD5879">
        <w:rPr>
          <w:b/>
          <w:bCs/>
          <w:sz w:val="20"/>
          <w:szCs w:val="20"/>
          <w:lang w:val="en-US"/>
        </w:rPr>
        <w:lastRenderedPageBreak/>
        <w:t>Supplementa</w:t>
      </w:r>
      <w:r>
        <w:rPr>
          <w:b/>
          <w:bCs/>
          <w:sz w:val="20"/>
          <w:szCs w:val="20"/>
          <w:lang w:val="en-US"/>
        </w:rPr>
        <w:t>l</w:t>
      </w:r>
      <w:r w:rsidRPr="00AD5879">
        <w:rPr>
          <w:b/>
          <w:bCs/>
          <w:sz w:val="20"/>
          <w:szCs w:val="20"/>
          <w:lang w:val="en-US"/>
        </w:rPr>
        <w:t xml:space="preserve"> Table </w:t>
      </w:r>
      <w:r>
        <w:rPr>
          <w:b/>
          <w:bCs/>
          <w:sz w:val="20"/>
          <w:szCs w:val="20"/>
          <w:lang w:val="en-US"/>
        </w:rPr>
        <w:t>1</w:t>
      </w:r>
    </w:p>
    <w:p w14:paraId="2E6D653D" w14:textId="77777777" w:rsidR="00623AA3" w:rsidRDefault="00623AA3" w:rsidP="00623AA3">
      <w:pPr>
        <w:spacing w:line="360" w:lineRule="auto"/>
        <w:jc w:val="both"/>
        <w:rPr>
          <w:sz w:val="20"/>
          <w:szCs w:val="20"/>
          <w:lang w:val="en-US"/>
        </w:rPr>
      </w:pPr>
      <w:r>
        <w:rPr>
          <w:sz w:val="20"/>
          <w:szCs w:val="20"/>
          <w:lang w:val="en-US"/>
        </w:rPr>
        <w:t>Kinetic analysis</w:t>
      </w:r>
      <w:r w:rsidRPr="00AD5879">
        <w:rPr>
          <w:sz w:val="20"/>
          <w:szCs w:val="20"/>
          <w:lang w:val="en-US"/>
        </w:rPr>
        <w:t xml:space="preserve"> for the binding of TOM1 and TOM1 G307D to </w:t>
      </w:r>
      <w:r>
        <w:rPr>
          <w:sz w:val="20"/>
          <w:szCs w:val="20"/>
          <w:lang w:val="en-US"/>
        </w:rPr>
        <w:t>TOLLIP using SPR</w:t>
      </w:r>
      <w:r w:rsidRPr="00AD5879">
        <w:rPr>
          <w:sz w:val="20"/>
          <w:szCs w:val="20"/>
          <w:lang w:val="en-US"/>
        </w:rPr>
        <w:t>. Values represent the mean of three independent experiments</w:t>
      </w:r>
      <w:r w:rsidRPr="00AD5879">
        <w:rPr>
          <w:sz w:val="20"/>
          <w:szCs w:val="20"/>
        </w:rPr>
        <w:t>.</w:t>
      </w:r>
      <w:r>
        <w:rPr>
          <w:sz w:val="20"/>
          <w:szCs w:val="20"/>
        </w:rPr>
        <w:t xml:space="preserve"> </w:t>
      </w:r>
    </w:p>
    <w:p w14:paraId="35D19E11" w14:textId="77777777" w:rsidR="00623AA3" w:rsidRPr="00AD5879" w:rsidRDefault="00623AA3" w:rsidP="00623AA3">
      <w:pPr>
        <w:spacing w:line="360" w:lineRule="auto"/>
        <w:jc w:val="both"/>
        <w:rPr>
          <w:sz w:val="20"/>
          <w:szCs w:val="20"/>
        </w:rPr>
      </w:pPr>
    </w:p>
    <w:p w14:paraId="45A9C1E6" w14:textId="77777777" w:rsidR="00623AA3" w:rsidRPr="00AD5879" w:rsidRDefault="00623AA3" w:rsidP="00623AA3">
      <w:pPr>
        <w:spacing w:line="360" w:lineRule="auto"/>
        <w:rPr>
          <w:sz w:val="20"/>
          <w:szCs w:val="20"/>
        </w:rPr>
      </w:pPr>
    </w:p>
    <w:tbl>
      <w:tblPr>
        <w:tblStyle w:val="Yksinkertainentaulukko3"/>
        <w:tblW w:w="5562" w:type="dxa"/>
        <w:tblLayout w:type="fixed"/>
        <w:tblLook w:val="04A0" w:firstRow="1" w:lastRow="0" w:firstColumn="1" w:lastColumn="0" w:noHBand="0" w:noVBand="1"/>
      </w:tblPr>
      <w:tblGrid>
        <w:gridCol w:w="1854"/>
        <w:gridCol w:w="1854"/>
        <w:gridCol w:w="1854"/>
      </w:tblGrid>
      <w:tr w:rsidR="00623AA3" w:rsidRPr="00AD5879" w14:paraId="0E2B7C57" w14:textId="77777777" w:rsidTr="00323915">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0" w:type="dxa"/>
          </w:tcPr>
          <w:p w14:paraId="1C807896" w14:textId="77777777" w:rsidR="00623AA3" w:rsidRPr="00AD5879" w:rsidRDefault="00623AA3" w:rsidP="00323915">
            <w:pPr>
              <w:spacing w:line="360" w:lineRule="auto"/>
              <w:jc w:val="center"/>
              <w:rPr>
                <w:b w:val="0"/>
                <w:bCs w:val="0"/>
                <w:sz w:val="20"/>
                <w:szCs w:val="20"/>
              </w:rPr>
            </w:pPr>
            <w:r w:rsidRPr="00AD5879">
              <w:rPr>
                <w:b w:val="0"/>
                <w:bCs w:val="0"/>
                <w:caps w:val="0"/>
                <w:sz w:val="20"/>
                <w:szCs w:val="20"/>
              </w:rPr>
              <w:t>Interaction</w:t>
            </w:r>
          </w:p>
        </w:tc>
        <w:tc>
          <w:tcPr>
            <w:tcW w:w="0" w:type="dxa"/>
          </w:tcPr>
          <w:p w14:paraId="079ED8C7"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caps w:val="0"/>
                <w:sz w:val="20"/>
                <w:szCs w:val="20"/>
                <w:vertAlign w:val="subscript"/>
              </w:rPr>
            </w:pPr>
            <w:r w:rsidRPr="00AD5879">
              <w:rPr>
                <w:b w:val="0"/>
                <w:bCs w:val="0"/>
                <w:i/>
                <w:iCs/>
                <w:sz w:val="20"/>
                <w:szCs w:val="20"/>
              </w:rPr>
              <w:t>K</w:t>
            </w:r>
            <w:r w:rsidRPr="00AD5879">
              <w:rPr>
                <w:b w:val="0"/>
                <w:bCs w:val="0"/>
                <w:sz w:val="20"/>
                <w:szCs w:val="20"/>
                <w:vertAlign w:val="subscript"/>
              </w:rPr>
              <w:t xml:space="preserve">D </w:t>
            </w:r>
          </w:p>
          <w:p w14:paraId="73EF0C4D"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AD5879">
              <w:rPr>
                <w:b w:val="0"/>
                <w:bCs w:val="0"/>
                <w:sz w:val="20"/>
                <w:szCs w:val="20"/>
              </w:rPr>
              <w:t>(</w:t>
            </w:r>
            <w:proofErr w:type="spellStart"/>
            <w:r w:rsidRPr="008E01BC">
              <w:rPr>
                <w:b w:val="0"/>
                <w:bCs w:val="0"/>
                <w:caps w:val="0"/>
                <w:color w:val="000000" w:themeColor="text1"/>
                <w:sz w:val="20"/>
                <w:szCs w:val="20"/>
              </w:rPr>
              <w:t>fM</w:t>
            </w:r>
            <w:proofErr w:type="spellEnd"/>
            <w:r w:rsidRPr="008E01BC">
              <w:rPr>
                <w:b w:val="0"/>
                <w:bCs w:val="0"/>
                <w:color w:val="000000" w:themeColor="text1"/>
                <w:sz w:val="20"/>
                <w:szCs w:val="20"/>
              </w:rPr>
              <w:t>)</w:t>
            </w:r>
          </w:p>
        </w:tc>
        <w:tc>
          <w:tcPr>
            <w:tcW w:w="0" w:type="dxa"/>
          </w:tcPr>
          <w:p w14:paraId="34B7E726"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Pr>
                <w:rFonts w:eastAsia="Symbol"/>
                <w:b w:val="0"/>
                <w:bCs w:val="0"/>
                <w:sz w:val="20"/>
                <w:szCs w:val="20"/>
              </w:rPr>
              <w:t>C</w:t>
            </w:r>
            <w:r>
              <w:rPr>
                <w:rFonts w:eastAsia="Symbol"/>
                <w:b w:val="0"/>
                <w:bCs w:val="0"/>
                <w:caps w:val="0"/>
                <w:sz w:val="20"/>
                <w:szCs w:val="20"/>
              </w:rPr>
              <w:t>hi</w:t>
            </w:r>
            <w:r w:rsidRPr="00506D7A">
              <w:rPr>
                <w:rFonts w:eastAsia="Symbol"/>
                <w:sz w:val="20"/>
                <w:szCs w:val="20"/>
                <w:vertAlign w:val="superscript"/>
              </w:rPr>
              <w:t>2</w:t>
            </w:r>
          </w:p>
        </w:tc>
      </w:tr>
      <w:tr w:rsidR="00623AA3" w:rsidRPr="00AD5879" w14:paraId="456C7E73" w14:textId="77777777" w:rsidTr="003239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dxa"/>
            <w:shd w:val="clear" w:color="auto" w:fill="auto"/>
          </w:tcPr>
          <w:p w14:paraId="354DDFC9" w14:textId="77777777" w:rsidR="00623AA3" w:rsidRPr="00AD5879" w:rsidRDefault="00623AA3" w:rsidP="00323915">
            <w:pPr>
              <w:spacing w:line="360" w:lineRule="auto"/>
              <w:rPr>
                <w:b w:val="0"/>
                <w:bCs w:val="0"/>
                <w:color w:val="000000" w:themeColor="text1"/>
                <w:sz w:val="20"/>
                <w:szCs w:val="20"/>
              </w:rPr>
            </w:pPr>
            <w:r w:rsidRPr="00AD5879">
              <w:rPr>
                <w:b w:val="0"/>
                <w:bCs w:val="0"/>
                <w:caps w:val="0"/>
                <w:color w:val="000000" w:themeColor="text1"/>
                <w:sz w:val="20"/>
                <w:szCs w:val="20"/>
              </w:rPr>
              <w:t>TOM1-</w:t>
            </w:r>
            <w:r>
              <w:rPr>
                <w:b w:val="0"/>
                <w:bCs w:val="0"/>
                <w:caps w:val="0"/>
                <w:color w:val="000000" w:themeColor="text1"/>
                <w:sz w:val="20"/>
                <w:szCs w:val="20"/>
              </w:rPr>
              <w:t>TOLLIP</w:t>
            </w:r>
          </w:p>
        </w:tc>
        <w:tc>
          <w:tcPr>
            <w:tcW w:w="0" w:type="dxa"/>
            <w:shd w:val="clear" w:color="auto" w:fill="auto"/>
          </w:tcPr>
          <w:p w14:paraId="078EF51E" w14:textId="77777777" w:rsidR="00623AA3" w:rsidRPr="008E01BC" w:rsidRDefault="00623AA3" w:rsidP="00323915">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8E01BC">
              <w:rPr>
                <w:color w:val="000000" w:themeColor="text1"/>
                <w:sz w:val="20"/>
                <w:szCs w:val="20"/>
              </w:rPr>
              <w:t xml:space="preserve">             3.0</w:t>
            </w:r>
          </w:p>
        </w:tc>
        <w:tc>
          <w:tcPr>
            <w:tcW w:w="0" w:type="dxa"/>
            <w:shd w:val="clear" w:color="auto" w:fill="auto"/>
          </w:tcPr>
          <w:p w14:paraId="125E443C" w14:textId="77777777" w:rsidR="00623AA3" w:rsidRPr="008E01BC" w:rsidRDefault="00623AA3" w:rsidP="00323915">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8E01BC">
              <w:rPr>
                <w:color w:val="000000" w:themeColor="text1"/>
                <w:sz w:val="20"/>
                <w:szCs w:val="20"/>
              </w:rPr>
              <w:t>0.3</w:t>
            </w:r>
          </w:p>
        </w:tc>
      </w:tr>
      <w:tr w:rsidR="00623AA3" w:rsidRPr="00AD5879" w14:paraId="796FB2B2" w14:textId="77777777" w:rsidTr="00323915">
        <w:trPr>
          <w:trHeight w:val="300"/>
        </w:trPr>
        <w:tc>
          <w:tcPr>
            <w:cnfStyle w:val="001000000000" w:firstRow="0" w:lastRow="0" w:firstColumn="1" w:lastColumn="0" w:oddVBand="0" w:evenVBand="0" w:oddHBand="0" w:evenHBand="0" w:firstRowFirstColumn="0" w:firstRowLastColumn="0" w:lastRowFirstColumn="0" w:lastRowLastColumn="0"/>
            <w:tcW w:w="0" w:type="dxa"/>
            <w:shd w:val="clear" w:color="auto" w:fill="auto"/>
          </w:tcPr>
          <w:p w14:paraId="6E3BD4A5" w14:textId="77777777" w:rsidR="00623AA3" w:rsidRPr="00AD5879" w:rsidRDefault="00623AA3" w:rsidP="00323915">
            <w:pPr>
              <w:spacing w:line="360" w:lineRule="auto"/>
              <w:rPr>
                <w:b w:val="0"/>
                <w:bCs w:val="0"/>
                <w:color w:val="000000" w:themeColor="text1"/>
                <w:sz w:val="20"/>
                <w:szCs w:val="20"/>
              </w:rPr>
            </w:pPr>
            <w:r w:rsidRPr="00AD5879">
              <w:rPr>
                <w:b w:val="0"/>
                <w:bCs w:val="0"/>
                <w:color w:val="000000" w:themeColor="text1"/>
                <w:sz w:val="20"/>
                <w:szCs w:val="20"/>
              </w:rPr>
              <w:t>TOM1 G307D-</w:t>
            </w:r>
            <w:r>
              <w:rPr>
                <w:b w:val="0"/>
                <w:bCs w:val="0"/>
                <w:caps w:val="0"/>
                <w:color w:val="000000" w:themeColor="text1"/>
                <w:sz w:val="20"/>
                <w:szCs w:val="20"/>
              </w:rPr>
              <w:t>TOLLIP</w:t>
            </w:r>
          </w:p>
        </w:tc>
        <w:tc>
          <w:tcPr>
            <w:tcW w:w="0" w:type="dxa"/>
            <w:shd w:val="clear" w:color="auto" w:fill="auto"/>
          </w:tcPr>
          <w:p w14:paraId="0859BA1A" w14:textId="77777777" w:rsidR="00623AA3" w:rsidRPr="008E01BC" w:rsidRDefault="00623AA3" w:rsidP="00323915">
            <w:pPr>
              <w:spacing w:line="36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8E01BC">
              <w:rPr>
                <w:color w:val="000000" w:themeColor="text1"/>
                <w:sz w:val="20"/>
                <w:szCs w:val="20"/>
              </w:rPr>
              <w:t xml:space="preserve">             3.5</w:t>
            </w:r>
          </w:p>
        </w:tc>
        <w:tc>
          <w:tcPr>
            <w:tcW w:w="0" w:type="dxa"/>
            <w:shd w:val="clear" w:color="auto" w:fill="auto"/>
          </w:tcPr>
          <w:p w14:paraId="75452A2B" w14:textId="77777777" w:rsidR="00623AA3" w:rsidRPr="008E01BC" w:rsidRDefault="00623AA3" w:rsidP="0032391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8E01BC">
              <w:rPr>
                <w:color w:val="000000" w:themeColor="text1"/>
                <w:sz w:val="20"/>
                <w:szCs w:val="20"/>
              </w:rPr>
              <w:t>0.3</w:t>
            </w:r>
          </w:p>
        </w:tc>
      </w:tr>
    </w:tbl>
    <w:p w14:paraId="4D275943" w14:textId="77777777" w:rsidR="00623AA3" w:rsidRDefault="00623AA3" w:rsidP="00623AA3">
      <w:pPr>
        <w:spacing w:line="360" w:lineRule="auto"/>
        <w:jc w:val="both"/>
        <w:rPr>
          <w:b/>
          <w:bCs/>
          <w:sz w:val="20"/>
          <w:szCs w:val="20"/>
          <w:lang w:val="en-US"/>
        </w:rPr>
      </w:pPr>
    </w:p>
    <w:p w14:paraId="79985041" w14:textId="77777777" w:rsidR="00623AA3" w:rsidRPr="00AD5879" w:rsidRDefault="00623AA3" w:rsidP="00623AA3">
      <w:pPr>
        <w:spacing w:line="360" w:lineRule="auto"/>
        <w:jc w:val="both"/>
        <w:rPr>
          <w:b/>
          <w:bCs/>
          <w:sz w:val="20"/>
          <w:szCs w:val="20"/>
          <w:lang w:val="en-US"/>
        </w:rPr>
      </w:pPr>
      <w:r w:rsidRPr="00AD5879">
        <w:rPr>
          <w:b/>
          <w:bCs/>
          <w:sz w:val="20"/>
          <w:szCs w:val="20"/>
          <w:lang w:val="en-US"/>
        </w:rPr>
        <w:t>Supplementa</w:t>
      </w:r>
      <w:r>
        <w:rPr>
          <w:b/>
          <w:bCs/>
          <w:sz w:val="20"/>
          <w:szCs w:val="20"/>
          <w:lang w:val="en-US"/>
        </w:rPr>
        <w:t>l</w:t>
      </w:r>
      <w:r w:rsidRPr="00AD5879">
        <w:rPr>
          <w:b/>
          <w:bCs/>
          <w:sz w:val="20"/>
          <w:szCs w:val="20"/>
          <w:lang w:val="en-US"/>
        </w:rPr>
        <w:t xml:space="preserve"> Table </w:t>
      </w:r>
      <w:r>
        <w:rPr>
          <w:b/>
          <w:bCs/>
          <w:sz w:val="20"/>
          <w:szCs w:val="20"/>
          <w:lang w:val="en-US"/>
        </w:rPr>
        <w:t>2</w:t>
      </w:r>
    </w:p>
    <w:p w14:paraId="634BC38C" w14:textId="77777777" w:rsidR="00623AA3" w:rsidRPr="00AD5879" w:rsidRDefault="00623AA3" w:rsidP="00623AA3">
      <w:pPr>
        <w:spacing w:line="360" w:lineRule="auto"/>
        <w:jc w:val="both"/>
        <w:rPr>
          <w:sz w:val="20"/>
          <w:szCs w:val="20"/>
        </w:rPr>
      </w:pPr>
      <w:r w:rsidRPr="00AD5879">
        <w:rPr>
          <w:sz w:val="20"/>
          <w:szCs w:val="20"/>
          <w:lang w:val="en-US"/>
        </w:rPr>
        <w:t>Thermodynamic parameters for the binding of TOM1 and TOM1 G307D to ubiquitin</w:t>
      </w:r>
      <w:r>
        <w:rPr>
          <w:sz w:val="20"/>
          <w:szCs w:val="20"/>
          <w:lang w:val="en-US"/>
        </w:rPr>
        <w:t xml:space="preserve"> using ITC</w:t>
      </w:r>
      <w:r w:rsidRPr="00AD5879">
        <w:rPr>
          <w:sz w:val="20"/>
          <w:szCs w:val="20"/>
          <w:lang w:val="en-US"/>
        </w:rPr>
        <w:t xml:space="preserve">. Values represent the mean of at least three independent experiments. </w:t>
      </w:r>
      <w:proofErr w:type="spellStart"/>
      <w:r w:rsidRPr="00AD5879">
        <w:rPr>
          <w:sz w:val="20"/>
          <w:szCs w:val="20"/>
        </w:rPr>
        <w:t>Error</w:t>
      </w:r>
      <w:proofErr w:type="spellEnd"/>
      <w:r w:rsidRPr="00AD5879">
        <w:rPr>
          <w:sz w:val="20"/>
          <w:szCs w:val="20"/>
        </w:rPr>
        <w:t xml:space="preserve"> </w:t>
      </w:r>
      <w:proofErr w:type="spellStart"/>
      <w:r w:rsidRPr="00AD5879">
        <w:rPr>
          <w:sz w:val="20"/>
          <w:szCs w:val="20"/>
        </w:rPr>
        <w:t>margins</w:t>
      </w:r>
      <w:proofErr w:type="spellEnd"/>
      <w:r w:rsidRPr="00AD5879">
        <w:rPr>
          <w:sz w:val="20"/>
          <w:szCs w:val="20"/>
        </w:rPr>
        <w:t xml:space="preserve"> </w:t>
      </w:r>
      <w:proofErr w:type="spellStart"/>
      <w:r w:rsidRPr="00AD5879">
        <w:rPr>
          <w:sz w:val="20"/>
          <w:szCs w:val="20"/>
        </w:rPr>
        <w:t>are</w:t>
      </w:r>
      <w:proofErr w:type="spellEnd"/>
      <w:r w:rsidRPr="00AD5879">
        <w:rPr>
          <w:sz w:val="20"/>
          <w:szCs w:val="20"/>
        </w:rPr>
        <w:t xml:space="preserve"> </w:t>
      </w:r>
      <w:proofErr w:type="spellStart"/>
      <w:r w:rsidRPr="00AD5879">
        <w:rPr>
          <w:sz w:val="20"/>
          <w:szCs w:val="20"/>
        </w:rPr>
        <w:t>displayed</w:t>
      </w:r>
      <w:proofErr w:type="spellEnd"/>
      <w:r w:rsidRPr="00AD5879">
        <w:rPr>
          <w:sz w:val="20"/>
          <w:szCs w:val="20"/>
        </w:rPr>
        <w:t xml:space="preserve"> as </w:t>
      </w:r>
      <w:proofErr w:type="spellStart"/>
      <w:r w:rsidRPr="00AD5879">
        <w:rPr>
          <w:sz w:val="20"/>
          <w:szCs w:val="20"/>
        </w:rPr>
        <w:t>standard</w:t>
      </w:r>
      <w:proofErr w:type="spellEnd"/>
      <w:r w:rsidRPr="00AD5879">
        <w:rPr>
          <w:sz w:val="20"/>
          <w:szCs w:val="20"/>
        </w:rPr>
        <w:t xml:space="preserve"> </w:t>
      </w:r>
      <w:proofErr w:type="spellStart"/>
      <w:r w:rsidRPr="00AD5879">
        <w:rPr>
          <w:sz w:val="20"/>
          <w:szCs w:val="20"/>
        </w:rPr>
        <w:t>deviation</w:t>
      </w:r>
      <w:proofErr w:type="spellEnd"/>
      <w:r w:rsidRPr="00AD5879">
        <w:rPr>
          <w:sz w:val="20"/>
          <w:szCs w:val="20"/>
        </w:rPr>
        <w:t xml:space="preserve"> </w:t>
      </w:r>
      <w:proofErr w:type="spellStart"/>
      <w:r w:rsidRPr="00AD5879">
        <w:rPr>
          <w:sz w:val="20"/>
          <w:szCs w:val="20"/>
        </w:rPr>
        <w:t>values</w:t>
      </w:r>
      <w:proofErr w:type="spellEnd"/>
      <w:r w:rsidRPr="00AD5879">
        <w:rPr>
          <w:sz w:val="20"/>
          <w:szCs w:val="20"/>
        </w:rPr>
        <w:t>.</w:t>
      </w:r>
    </w:p>
    <w:p w14:paraId="6C99CE76" w14:textId="77777777" w:rsidR="00623AA3" w:rsidRPr="00AD5879" w:rsidRDefault="00623AA3" w:rsidP="00623AA3">
      <w:pPr>
        <w:spacing w:line="360" w:lineRule="auto"/>
        <w:rPr>
          <w:sz w:val="20"/>
          <w:szCs w:val="20"/>
        </w:rPr>
      </w:pPr>
    </w:p>
    <w:tbl>
      <w:tblPr>
        <w:tblStyle w:val="Yksinkertainentaulukko3"/>
        <w:tblW w:w="5562" w:type="dxa"/>
        <w:tblLayout w:type="fixed"/>
        <w:tblLook w:val="04A0" w:firstRow="1" w:lastRow="0" w:firstColumn="1" w:lastColumn="0" w:noHBand="0" w:noVBand="1"/>
      </w:tblPr>
      <w:tblGrid>
        <w:gridCol w:w="1854"/>
        <w:gridCol w:w="1854"/>
        <w:gridCol w:w="1854"/>
      </w:tblGrid>
      <w:tr w:rsidR="00623AA3" w:rsidRPr="00AD5879" w14:paraId="1D333322" w14:textId="77777777" w:rsidTr="00323915">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854" w:type="dxa"/>
          </w:tcPr>
          <w:p w14:paraId="639287B1" w14:textId="77777777" w:rsidR="00623AA3" w:rsidRPr="00AD5879" w:rsidRDefault="00623AA3" w:rsidP="00323915">
            <w:pPr>
              <w:spacing w:line="360" w:lineRule="auto"/>
              <w:jc w:val="center"/>
              <w:rPr>
                <w:b w:val="0"/>
                <w:bCs w:val="0"/>
                <w:sz w:val="20"/>
                <w:szCs w:val="20"/>
              </w:rPr>
            </w:pPr>
            <w:r w:rsidRPr="00AD5879">
              <w:rPr>
                <w:b w:val="0"/>
                <w:bCs w:val="0"/>
                <w:caps w:val="0"/>
                <w:sz w:val="20"/>
                <w:szCs w:val="20"/>
              </w:rPr>
              <w:t>Interaction</w:t>
            </w:r>
          </w:p>
        </w:tc>
        <w:tc>
          <w:tcPr>
            <w:tcW w:w="1854" w:type="dxa"/>
          </w:tcPr>
          <w:p w14:paraId="076C70D7"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caps w:val="0"/>
                <w:sz w:val="20"/>
                <w:szCs w:val="20"/>
                <w:vertAlign w:val="subscript"/>
              </w:rPr>
            </w:pPr>
            <w:r w:rsidRPr="00AD5879">
              <w:rPr>
                <w:b w:val="0"/>
                <w:bCs w:val="0"/>
                <w:i/>
                <w:iCs/>
                <w:sz w:val="20"/>
                <w:szCs w:val="20"/>
              </w:rPr>
              <w:t>K</w:t>
            </w:r>
            <w:r w:rsidRPr="00AD5879">
              <w:rPr>
                <w:b w:val="0"/>
                <w:bCs w:val="0"/>
                <w:sz w:val="20"/>
                <w:szCs w:val="20"/>
                <w:vertAlign w:val="subscript"/>
              </w:rPr>
              <w:t xml:space="preserve">D </w:t>
            </w:r>
          </w:p>
          <w:p w14:paraId="66318BEB"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01BC">
              <w:rPr>
                <w:b w:val="0"/>
                <w:bCs w:val="0"/>
                <w:color w:val="000000" w:themeColor="text1"/>
                <w:sz w:val="20"/>
                <w:szCs w:val="20"/>
              </w:rPr>
              <w:t>(</w:t>
            </w:r>
            <w:r w:rsidRPr="008E01BC">
              <w:rPr>
                <w:rFonts w:ascii="Symbol" w:hAnsi="Symbol"/>
                <w:b w:val="0"/>
                <w:bCs w:val="0"/>
                <w:caps w:val="0"/>
                <w:color w:val="000000" w:themeColor="text1"/>
                <w:sz w:val="20"/>
                <w:szCs w:val="20"/>
              </w:rPr>
              <w:t>m</w:t>
            </w:r>
            <w:r w:rsidRPr="008E01BC">
              <w:rPr>
                <w:b w:val="0"/>
                <w:bCs w:val="0"/>
                <w:caps w:val="0"/>
                <w:color w:val="000000" w:themeColor="text1"/>
                <w:sz w:val="20"/>
                <w:szCs w:val="20"/>
              </w:rPr>
              <w:t>M</w:t>
            </w:r>
            <w:r w:rsidRPr="008E01BC">
              <w:rPr>
                <w:b w:val="0"/>
                <w:bCs w:val="0"/>
                <w:color w:val="000000" w:themeColor="text1"/>
                <w:sz w:val="20"/>
                <w:szCs w:val="20"/>
              </w:rPr>
              <w:t>)</w:t>
            </w:r>
          </w:p>
        </w:tc>
        <w:tc>
          <w:tcPr>
            <w:tcW w:w="1854" w:type="dxa"/>
          </w:tcPr>
          <w:p w14:paraId="15D1AFD5"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caps w:val="0"/>
                <w:sz w:val="20"/>
                <w:szCs w:val="20"/>
              </w:rPr>
            </w:pPr>
            <w:r>
              <w:rPr>
                <w:rFonts w:eastAsia="Symbol"/>
                <w:b w:val="0"/>
                <w:bCs w:val="0"/>
                <w:sz w:val="20"/>
                <w:szCs w:val="20"/>
              </w:rPr>
              <w:sym w:font="Symbol" w:char="F044"/>
            </w:r>
            <w:r w:rsidRPr="00AD5879">
              <w:rPr>
                <w:b w:val="0"/>
                <w:bCs w:val="0"/>
                <w:sz w:val="20"/>
                <w:szCs w:val="20"/>
              </w:rPr>
              <w:t xml:space="preserve">G </w:t>
            </w:r>
          </w:p>
          <w:p w14:paraId="285342B7" w14:textId="77777777" w:rsidR="00623AA3" w:rsidRPr="00AD5879" w:rsidRDefault="00623AA3" w:rsidP="0032391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AD5879">
              <w:rPr>
                <w:b w:val="0"/>
                <w:bCs w:val="0"/>
                <w:sz w:val="20"/>
                <w:szCs w:val="20"/>
              </w:rPr>
              <w:t>(</w:t>
            </w:r>
            <w:proofErr w:type="gramStart"/>
            <w:r w:rsidRPr="00AD5879">
              <w:rPr>
                <w:b w:val="0"/>
                <w:bCs w:val="0"/>
                <w:caps w:val="0"/>
                <w:sz w:val="20"/>
                <w:szCs w:val="20"/>
              </w:rPr>
              <w:t>kcal</w:t>
            </w:r>
            <w:proofErr w:type="gramEnd"/>
            <w:r w:rsidRPr="00AD5879">
              <w:rPr>
                <w:b w:val="0"/>
                <w:bCs w:val="0"/>
                <w:sz w:val="20"/>
                <w:szCs w:val="20"/>
              </w:rPr>
              <w:t xml:space="preserve">. </w:t>
            </w:r>
            <w:r w:rsidRPr="00AD5879">
              <w:rPr>
                <w:b w:val="0"/>
                <w:bCs w:val="0"/>
                <w:caps w:val="0"/>
                <w:sz w:val="20"/>
                <w:szCs w:val="20"/>
              </w:rPr>
              <w:t>mol</w:t>
            </w:r>
            <w:r w:rsidRPr="00AD5879">
              <w:rPr>
                <w:b w:val="0"/>
                <w:bCs w:val="0"/>
                <w:caps w:val="0"/>
                <w:sz w:val="20"/>
                <w:szCs w:val="20"/>
                <w:vertAlign w:val="superscript"/>
              </w:rPr>
              <w:t>-1</w:t>
            </w:r>
            <w:r w:rsidRPr="00AD5879">
              <w:rPr>
                <w:b w:val="0"/>
                <w:bCs w:val="0"/>
                <w:caps w:val="0"/>
                <w:sz w:val="20"/>
                <w:szCs w:val="20"/>
              </w:rPr>
              <w:t>)</w:t>
            </w:r>
          </w:p>
        </w:tc>
      </w:tr>
      <w:tr w:rsidR="00623AA3" w:rsidRPr="00AD5879" w14:paraId="6AB8BEB3" w14:textId="77777777" w:rsidTr="003239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4" w:type="dxa"/>
            <w:shd w:val="clear" w:color="auto" w:fill="auto"/>
          </w:tcPr>
          <w:p w14:paraId="503D7239" w14:textId="77777777" w:rsidR="00623AA3" w:rsidRPr="00AD5879" w:rsidRDefault="00623AA3" w:rsidP="00323915">
            <w:pPr>
              <w:spacing w:line="360" w:lineRule="auto"/>
              <w:rPr>
                <w:b w:val="0"/>
                <w:bCs w:val="0"/>
                <w:color w:val="000000" w:themeColor="text1"/>
                <w:sz w:val="20"/>
                <w:szCs w:val="20"/>
              </w:rPr>
            </w:pPr>
            <w:r w:rsidRPr="00AD5879">
              <w:rPr>
                <w:b w:val="0"/>
                <w:bCs w:val="0"/>
                <w:caps w:val="0"/>
                <w:color w:val="000000" w:themeColor="text1"/>
                <w:sz w:val="20"/>
                <w:szCs w:val="20"/>
              </w:rPr>
              <w:t>TOM1-ubiquitin</w:t>
            </w:r>
          </w:p>
        </w:tc>
        <w:tc>
          <w:tcPr>
            <w:tcW w:w="1854" w:type="dxa"/>
            <w:shd w:val="clear" w:color="auto" w:fill="auto"/>
          </w:tcPr>
          <w:p w14:paraId="6053CA80" w14:textId="77777777" w:rsidR="00623AA3" w:rsidRPr="00AD5879" w:rsidRDefault="00623AA3" w:rsidP="00323915">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5879">
              <w:rPr>
                <w:color w:val="000000" w:themeColor="text1"/>
                <w:sz w:val="20"/>
                <w:szCs w:val="20"/>
              </w:rPr>
              <w:t xml:space="preserve"> </w:t>
            </w:r>
            <w:r>
              <w:rPr>
                <w:color w:val="000000" w:themeColor="text1"/>
                <w:sz w:val="20"/>
                <w:szCs w:val="20"/>
              </w:rPr>
              <w:t xml:space="preserve">       </w:t>
            </w:r>
            <w:r w:rsidRPr="00AD5879">
              <w:rPr>
                <w:color w:val="000000" w:themeColor="text1"/>
                <w:sz w:val="20"/>
                <w:szCs w:val="20"/>
              </w:rPr>
              <w:t>77.7±18.8</w:t>
            </w:r>
          </w:p>
        </w:tc>
        <w:tc>
          <w:tcPr>
            <w:tcW w:w="1854" w:type="dxa"/>
            <w:shd w:val="clear" w:color="auto" w:fill="auto"/>
          </w:tcPr>
          <w:p w14:paraId="098C6985" w14:textId="77777777" w:rsidR="00623AA3" w:rsidRPr="00AD5879" w:rsidRDefault="00623AA3" w:rsidP="00323915">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5879">
              <w:rPr>
                <w:color w:val="000000" w:themeColor="text1"/>
                <w:sz w:val="20"/>
                <w:szCs w:val="20"/>
              </w:rPr>
              <w:t>-5.6±0.1</w:t>
            </w:r>
          </w:p>
        </w:tc>
      </w:tr>
      <w:tr w:rsidR="00623AA3" w:rsidRPr="00AD5879" w14:paraId="142F6B94" w14:textId="77777777" w:rsidTr="00323915">
        <w:trPr>
          <w:trHeight w:val="300"/>
        </w:trPr>
        <w:tc>
          <w:tcPr>
            <w:cnfStyle w:val="001000000000" w:firstRow="0" w:lastRow="0" w:firstColumn="1" w:lastColumn="0" w:oddVBand="0" w:evenVBand="0" w:oddHBand="0" w:evenHBand="0" w:firstRowFirstColumn="0" w:firstRowLastColumn="0" w:lastRowFirstColumn="0" w:lastRowLastColumn="0"/>
            <w:tcW w:w="1854" w:type="dxa"/>
            <w:shd w:val="clear" w:color="auto" w:fill="auto"/>
          </w:tcPr>
          <w:p w14:paraId="4C78B962" w14:textId="77777777" w:rsidR="00623AA3" w:rsidRPr="00AD5879" w:rsidRDefault="00623AA3" w:rsidP="00323915">
            <w:pPr>
              <w:spacing w:line="360" w:lineRule="auto"/>
              <w:rPr>
                <w:b w:val="0"/>
                <w:bCs w:val="0"/>
                <w:color w:val="000000" w:themeColor="text1"/>
                <w:sz w:val="20"/>
                <w:szCs w:val="20"/>
              </w:rPr>
            </w:pPr>
            <w:r w:rsidRPr="00AD5879">
              <w:rPr>
                <w:b w:val="0"/>
                <w:bCs w:val="0"/>
                <w:color w:val="000000" w:themeColor="text1"/>
                <w:sz w:val="20"/>
                <w:szCs w:val="20"/>
              </w:rPr>
              <w:t>TOM1 G307D-</w:t>
            </w:r>
            <w:r w:rsidRPr="00AD5879">
              <w:rPr>
                <w:b w:val="0"/>
                <w:bCs w:val="0"/>
                <w:caps w:val="0"/>
                <w:color w:val="000000" w:themeColor="text1"/>
                <w:sz w:val="20"/>
                <w:szCs w:val="20"/>
              </w:rPr>
              <w:t>ubiquitin</w:t>
            </w:r>
          </w:p>
        </w:tc>
        <w:tc>
          <w:tcPr>
            <w:tcW w:w="1854" w:type="dxa"/>
            <w:shd w:val="clear" w:color="auto" w:fill="auto"/>
          </w:tcPr>
          <w:p w14:paraId="4E6CD512" w14:textId="77777777" w:rsidR="00623AA3" w:rsidRPr="00AD5879" w:rsidRDefault="00623AA3" w:rsidP="0032391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5879">
              <w:rPr>
                <w:color w:val="000000" w:themeColor="text1"/>
                <w:sz w:val="20"/>
                <w:szCs w:val="20"/>
              </w:rPr>
              <w:t>104.3±17.0</w:t>
            </w:r>
          </w:p>
        </w:tc>
        <w:tc>
          <w:tcPr>
            <w:tcW w:w="1854" w:type="dxa"/>
            <w:shd w:val="clear" w:color="auto" w:fill="auto"/>
          </w:tcPr>
          <w:p w14:paraId="4036DFAB" w14:textId="77777777" w:rsidR="00623AA3" w:rsidRPr="00AD5879" w:rsidRDefault="00623AA3" w:rsidP="0032391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5879">
              <w:rPr>
                <w:color w:val="000000" w:themeColor="text1"/>
                <w:sz w:val="20"/>
                <w:szCs w:val="20"/>
              </w:rPr>
              <w:t>-5.4±0.1</w:t>
            </w:r>
          </w:p>
        </w:tc>
      </w:tr>
    </w:tbl>
    <w:p w14:paraId="7A3ED90A" w14:textId="77777777" w:rsidR="00623AA3" w:rsidRDefault="00623AA3" w:rsidP="00623AA3">
      <w:pPr>
        <w:spacing w:line="360" w:lineRule="auto"/>
        <w:jc w:val="both"/>
        <w:rPr>
          <w:sz w:val="20"/>
          <w:szCs w:val="20"/>
          <w:lang w:val="en-US"/>
        </w:rPr>
      </w:pPr>
    </w:p>
    <w:p w14:paraId="58195163" w14:textId="77777777" w:rsidR="00623AA3" w:rsidRDefault="00623AA3" w:rsidP="00623AA3">
      <w:pPr>
        <w:spacing w:line="360" w:lineRule="auto"/>
        <w:jc w:val="both"/>
        <w:rPr>
          <w:sz w:val="20"/>
          <w:szCs w:val="20"/>
          <w:lang w:val="en-US"/>
        </w:rPr>
      </w:pPr>
    </w:p>
    <w:p w14:paraId="5E542D70" w14:textId="77777777" w:rsidR="00623AA3" w:rsidRDefault="00623AA3" w:rsidP="00623AA3">
      <w:pPr>
        <w:spacing w:line="360" w:lineRule="auto"/>
        <w:jc w:val="both"/>
        <w:rPr>
          <w:sz w:val="20"/>
          <w:szCs w:val="20"/>
          <w:lang w:val="en-US"/>
        </w:rPr>
      </w:pPr>
    </w:p>
    <w:p w14:paraId="5E5FFFCC" w14:textId="77777777" w:rsidR="00623AA3" w:rsidRPr="00F73DCC" w:rsidRDefault="00623AA3" w:rsidP="00623AA3">
      <w:pPr>
        <w:spacing w:after="160" w:line="259" w:lineRule="auto"/>
        <w:rPr>
          <w:sz w:val="20"/>
          <w:szCs w:val="20"/>
          <w:lang w:val="en-US"/>
        </w:rPr>
      </w:pPr>
      <w:r>
        <w:rPr>
          <w:sz w:val="20"/>
          <w:szCs w:val="20"/>
          <w:lang w:val="en-US"/>
        </w:rPr>
        <w:br w:type="page"/>
      </w:r>
    </w:p>
    <w:p w14:paraId="0C954AF8" w14:textId="21C82C99" w:rsidR="008E01BC" w:rsidRDefault="008E01BC" w:rsidP="008E01BC">
      <w:pPr>
        <w:spacing w:line="360" w:lineRule="auto"/>
        <w:jc w:val="both"/>
        <w:rPr>
          <w:b/>
          <w:bCs/>
          <w:sz w:val="20"/>
          <w:szCs w:val="20"/>
          <w:lang w:val="en-US"/>
        </w:rPr>
      </w:pPr>
      <w:r>
        <w:rPr>
          <w:b/>
          <w:bCs/>
          <w:sz w:val="20"/>
          <w:szCs w:val="20"/>
          <w:lang w:val="en-US"/>
        </w:rPr>
        <w:lastRenderedPageBreak/>
        <w:t>Supplementary Materials and Methods</w:t>
      </w:r>
    </w:p>
    <w:p w14:paraId="5669B381" w14:textId="77777777" w:rsidR="008E01BC" w:rsidRDefault="008E01BC" w:rsidP="008E01BC">
      <w:pPr>
        <w:spacing w:line="360" w:lineRule="auto"/>
        <w:jc w:val="both"/>
        <w:rPr>
          <w:b/>
          <w:bCs/>
          <w:sz w:val="20"/>
          <w:szCs w:val="20"/>
          <w:lang w:val="en-US"/>
        </w:rPr>
      </w:pPr>
    </w:p>
    <w:p w14:paraId="30184A89" w14:textId="77777777" w:rsidR="008E01BC" w:rsidRPr="008E01BC" w:rsidRDefault="008E01BC" w:rsidP="008E01BC">
      <w:pPr>
        <w:spacing w:line="360" w:lineRule="auto"/>
        <w:jc w:val="both"/>
        <w:rPr>
          <w:sz w:val="20"/>
          <w:szCs w:val="20"/>
          <w:u w:val="single"/>
          <w:lang w:val="en-US"/>
        </w:rPr>
      </w:pPr>
      <w:r w:rsidRPr="008E01BC">
        <w:rPr>
          <w:sz w:val="20"/>
          <w:szCs w:val="20"/>
          <w:u w:val="single"/>
          <w:lang w:val="en-US"/>
        </w:rPr>
        <w:t xml:space="preserve">In-gel crosslinking </w:t>
      </w:r>
    </w:p>
    <w:p w14:paraId="2EF0281C" w14:textId="77777777" w:rsidR="008E01BC" w:rsidRPr="00AD5879" w:rsidRDefault="008E01BC" w:rsidP="008E01BC">
      <w:pPr>
        <w:spacing w:line="360" w:lineRule="auto"/>
        <w:jc w:val="both"/>
        <w:rPr>
          <w:sz w:val="20"/>
          <w:szCs w:val="20"/>
          <w:lang w:val="en-US"/>
        </w:rPr>
      </w:pPr>
      <w:r w:rsidRPr="00AD5879">
        <w:rPr>
          <w:sz w:val="20"/>
          <w:szCs w:val="20"/>
          <w:lang w:val="en-US"/>
        </w:rPr>
        <w:t>Protein oligomerization was evaluated using either bis(</w:t>
      </w:r>
      <w:proofErr w:type="spellStart"/>
      <w:r w:rsidRPr="00AD5879">
        <w:rPr>
          <w:sz w:val="20"/>
          <w:szCs w:val="20"/>
          <w:lang w:val="en-US"/>
        </w:rPr>
        <w:t>sulfosuccinimidyl</w:t>
      </w:r>
      <w:proofErr w:type="spellEnd"/>
      <w:r w:rsidRPr="00AD5879">
        <w:rPr>
          <w:sz w:val="20"/>
          <w:szCs w:val="20"/>
          <w:lang w:val="en-US"/>
        </w:rPr>
        <w:t>) suberate (BS</w:t>
      </w:r>
      <w:r w:rsidRPr="00AD5879">
        <w:rPr>
          <w:sz w:val="20"/>
          <w:szCs w:val="20"/>
          <w:vertAlign w:val="superscript"/>
          <w:lang w:val="en-US"/>
        </w:rPr>
        <w:t>3</w:t>
      </w:r>
      <w:r w:rsidRPr="00AD5879">
        <w:rPr>
          <w:sz w:val="20"/>
          <w:szCs w:val="20"/>
          <w:lang w:val="en-US"/>
        </w:rPr>
        <w:t>) (</w:t>
      </w:r>
      <w:proofErr w:type="spellStart"/>
      <w:r w:rsidRPr="00AD5879">
        <w:rPr>
          <w:sz w:val="20"/>
          <w:szCs w:val="20"/>
          <w:lang w:val="en-US"/>
        </w:rPr>
        <w:t>ThermoFisher</w:t>
      </w:r>
      <w:proofErr w:type="spellEnd"/>
      <w:r w:rsidRPr="00AD5879">
        <w:rPr>
          <w:sz w:val="20"/>
          <w:szCs w:val="20"/>
          <w:lang w:val="en-US"/>
        </w:rPr>
        <w:t xml:space="preserve"> Scientific) or glutaraldehyde (MP Biomedicals). BS</w:t>
      </w:r>
      <w:r w:rsidRPr="00AD5879">
        <w:rPr>
          <w:sz w:val="20"/>
          <w:szCs w:val="20"/>
          <w:vertAlign w:val="superscript"/>
          <w:lang w:val="en-US"/>
        </w:rPr>
        <w:t>3</w:t>
      </w:r>
      <w:r w:rsidRPr="00AD5879">
        <w:rPr>
          <w:sz w:val="20"/>
          <w:szCs w:val="20"/>
          <w:lang w:val="en-US"/>
        </w:rPr>
        <w:t xml:space="preserve"> crosslinks e-amino groups that are 11.4 Å apart, whereas glutaraldehyde covalently associates proteins with a variety of their side chain functional groups, such as amine, phenol, thiol, and imidazole groups [19]. </w:t>
      </w:r>
      <w:r>
        <w:rPr>
          <w:sz w:val="20"/>
          <w:szCs w:val="20"/>
          <w:lang w:val="en-US"/>
        </w:rPr>
        <w:t>P</w:t>
      </w:r>
      <w:r w:rsidRPr="00AD5879">
        <w:rPr>
          <w:sz w:val="20"/>
          <w:szCs w:val="20"/>
          <w:lang w:val="en-US"/>
        </w:rPr>
        <w:t>roteins were incubated with the indicated concentrations of BS</w:t>
      </w:r>
      <w:r w:rsidRPr="00AD5879">
        <w:rPr>
          <w:sz w:val="20"/>
          <w:szCs w:val="20"/>
          <w:vertAlign w:val="superscript"/>
          <w:lang w:val="en-US"/>
        </w:rPr>
        <w:t>3</w:t>
      </w:r>
      <w:r w:rsidRPr="00AD5879">
        <w:rPr>
          <w:sz w:val="20"/>
          <w:szCs w:val="20"/>
          <w:lang w:val="en-US"/>
        </w:rPr>
        <w:t xml:space="preserve"> for 30 min at room temperature. The same procedure was followed when crosslinking the TOLLIP-TOM1 complexes by preincubating </w:t>
      </w:r>
      <w:r>
        <w:rPr>
          <w:sz w:val="20"/>
          <w:szCs w:val="20"/>
          <w:lang w:val="en-US"/>
        </w:rPr>
        <w:t>proteins</w:t>
      </w:r>
      <w:r w:rsidRPr="00AD5879">
        <w:rPr>
          <w:sz w:val="20"/>
          <w:szCs w:val="20"/>
          <w:lang w:val="en-US"/>
        </w:rPr>
        <w:t xml:space="preserve"> for 30 min before the addition of BS</w:t>
      </w:r>
      <w:r w:rsidRPr="00AD5879">
        <w:rPr>
          <w:sz w:val="20"/>
          <w:szCs w:val="20"/>
          <w:vertAlign w:val="superscript"/>
          <w:lang w:val="en-US"/>
        </w:rPr>
        <w:t>3</w:t>
      </w:r>
      <w:r w:rsidRPr="00AD5879">
        <w:rPr>
          <w:sz w:val="20"/>
          <w:szCs w:val="20"/>
          <w:lang w:val="en-US"/>
        </w:rPr>
        <w:t>. Proteins were also treated with a dilution series of glutaraldehyde and the mixtures incubated for 5 min at 37</w:t>
      </w:r>
      <w:r w:rsidRPr="00AD5879">
        <w:rPr>
          <w:sz w:val="20"/>
          <w:szCs w:val="20"/>
          <w:vertAlign w:val="superscript"/>
          <w:lang w:val="en-US"/>
        </w:rPr>
        <w:t>o</w:t>
      </w:r>
      <w:r w:rsidRPr="00AD5879">
        <w:rPr>
          <w:sz w:val="20"/>
          <w:szCs w:val="20"/>
          <w:lang w:val="en-US"/>
        </w:rPr>
        <w:t xml:space="preserve">C. </w:t>
      </w:r>
      <w:r>
        <w:rPr>
          <w:sz w:val="20"/>
          <w:szCs w:val="20"/>
          <w:lang w:val="en-US"/>
        </w:rPr>
        <w:t xml:space="preserve">All samples were run on SDS-PAGE, imaged with </w:t>
      </w:r>
      <w:r w:rsidRPr="00AD5879">
        <w:rPr>
          <w:sz w:val="20"/>
          <w:szCs w:val="20"/>
          <w:lang w:val="en-US"/>
        </w:rPr>
        <w:t xml:space="preserve">a </w:t>
      </w:r>
      <w:proofErr w:type="spellStart"/>
      <w:r w:rsidRPr="00AD5879">
        <w:rPr>
          <w:sz w:val="20"/>
          <w:szCs w:val="20"/>
          <w:lang w:val="en-US"/>
        </w:rPr>
        <w:t>GelDoc</w:t>
      </w:r>
      <w:proofErr w:type="spellEnd"/>
      <w:r w:rsidRPr="00AD5879">
        <w:rPr>
          <w:sz w:val="20"/>
          <w:szCs w:val="20"/>
          <w:lang w:val="en-US"/>
        </w:rPr>
        <w:t xml:space="preserve"> Go system (Bio-Rad) and</w:t>
      </w:r>
      <w:r>
        <w:rPr>
          <w:sz w:val="20"/>
          <w:szCs w:val="20"/>
          <w:lang w:val="en-US"/>
        </w:rPr>
        <w:t xml:space="preserve"> analyzed with</w:t>
      </w:r>
      <w:r w:rsidRPr="00AD5879">
        <w:rPr>
          <w:sz w:val="20"/>
          <w:szCs w:val="20"/>
          <w:lang w:val="en-US"/>
        </w:rPr>
        <w:t xml:space="preserve"> </w:t>
      </w:r>
      <w:proofErr w:type="spellStart"/>
      <w:r w:rsidRPr="00AD5879">
        <w:rPr>
          <w:sz w:val="20"/>
          <w:szCs w:val="20"/>
          <w:lang w:val="en-US"/>
        </w:rPr>
        <w:t>ImageLab</w:t>
      </w:r>
      <w:proofErr w:type="spellEnd"/>
      <w:r w:rsidRPr="00AD5879">
        <w:rPr>
          <w:sz w:val="20"/>
          <w:szCs w:val="20"/>
          <w:lang w:val="en-US"/>
        </w:rPr>
        <w:t xml:space="preserve"> 6.1 software (RRID:SCR_014210).</w:t>
      </w:r>
    </w:p>
    <w:p w14:paraId="4E3F98CE" w14:textId="77777777" w:rsidR="008E01BC" w:rsidRDefault="008E01BC" w:rsidP="008E01BC">
      <w:pPr>
        <w:spacing w:line="360" w:lineRule="auto"/>
        <w:jc w:val="both"/>
        <w:rPr>
          <w:b/>
          <w:bCs/>
          <w:sz w:val="20"/>
          <w:szCs w:val="20"/>
          <w:lang w:val="en-US"/>
        </w:rPr>
      </w:pPr>
    </w:p>
    <w:p w14:paraId="46642296" w14:textId="0B7C554B" w:rsidR="00623AA3" w:rsidRPr="008E01BC" w:rsidRDefault="00623AA3" w:rsidP="008E01BC">
      <w:pPr>
        <w:spacing w:after="160" w:line="259" w:lineRule="auto"/>
        <w:rPr>
          <w:sz w:val="20"/>
          <w:szCs w:val="20"/>
          <w:u w:val="single"/>
          <w:lang w:val="en-US"/>
        </w:rPr>
      </w:pPr>
      <w:r w:rsidRPr="008E01BC">
        <w:rPr>
          <w:sz w:val="20"/>
          <w:szCs w:val="20"/>
          <w:u w:val="single"/>
          <w:lang w:val="en-US"/>
        </w:rPr>
        <w:t>List of antibodies</w:t>
      </w:r>
      <w:r w:rsidR="008E01BC" w:rsidRPr="008E01BC">
        <w:rPr>
          <w:sz w:val="20"/>
          <w:szCs w:val="20"/>
          <w:u w:val="single"/>
          <w:lang w:val="en-US"/>
        </w:rPr>
        <w:t>:</w:t>
      </w:r>
    </w:p>
    <w:p w14:paraId="0A8FA6EB" w14:textId="77777777" w:rsidR="00623AA3" w:rsidRDefault="00623AA3" w:rsidP="00623AA3">
      <w:pPr>
        <w:spacing w:line="360" w:lineRule="auto"/>
        <w:jc w:val="both"/>
        <w:rPr>
          <w:sz w:val="20"/>
          <w:szCs w:val="20"/>
          <w:lang w:val="en-US"/>
        </w:rPr>
      </w:pPr>
      <w:r w:rsidRPr="00F250E1">
        <w:rPr>
          <w:i/>
          <w:iCs/>
          <w:sz w:val="20"/>
          <w:szCs w:val="20"/>
          <w:lang w:val="en-US"/>
        </w:rPr>
        <w:t>Lipid protein overlay assay</w:t>
      </w:r>
      <w:r>
        <w:rPr>
          <w:sz w:val="20"/>
          <w:szCs w:val="20"/>
          <w:lang w:val="en-US"/>
        </w:rPr>
        <w:t>: “Primary” r</w:t>
      </w:r>
      <w:r w:rsidRPr="00AD5879">
        <w:rPr>
          <w:sz w:val="20"/>
          <w:szCs w:val="20"/>
          <w:lang w:val="en-US"/>
        </w:rPr>
        <w:t>abbit anti-GST antibody (</w:t>
      </w:r>
      <w:proofErr w:type="spellStart"/>
      <w:r w:rsidRPr="00556EEC">
        <w:rPr>
          <w:sz w:val="20"/>
          <w:szCs w:val="20"/>
          <w:lang w:val="en-US"/>
        </w:rPr>
        <w:t>Proteintech</w:t>
      </w:r>
      <w:proofErr w:type="spellEnd"/>
      <w:r w:rsidRPr="00556EEC">
        <w:rPr>
          <w:sz w:val="20"/>
          <w:szCs w:val="20"/>
          <w:lang w:val="en-US"/>
        </w:rPr>
        <w:t xml:space="preserve"> Cat# 10000-0-AP,</w:t>
      </w:r>
      <w:r>
        <w:rPr>
          <w:sz w:val="20"/>
          <w:szCs w:val="20"/>
          <w:lang w:val="en-US"/>
        </w:rPr>
        <w:t xml:space="preserve"> </w:t>
      </w:r>
      <w:proofErr w:type="gramStart"/>
      <w:r w:rsidRPr="00AD5879">
        <w:rPr>
          <w:sz w:val="20"/>
          <w:szCs w:val="20"/>
          <w:lang w:val="en-US"/>
        </w:rPr>
        <w:t>RRID:AB</w:t>
      </w:r>
      <w:proofErr w:type="gramEnd"/>
      <w:r w:rsidRPr="00AD5879">
        <w:rPr>
          <w:sz w:val="20"/>
          <w:szCs w:val="20"/>
          <w:lang w:val="en-US"/>
        </w:rPr>
        <w:t>_11042316</w:t>
      </w:r>
      <w:r>
        <w:rPr>
          <w:sz w:val="20"/>
          <w:szCs w:val="20"/>
          <w:lang w:val="en-US"/>
        </w:rPr>
        <w:t>, 1:6665</w:t>
      </w:r>
      <w:r w:rsidRPr="00AD5879">
        <w:rPr>
          <w:sz w:val="20"/>
          <w:szCs w:val="20"/>
          <w:lang w:val="en-US"/>
        </w:rPr>
        <w:t>)</w:t>
      </w:r>
      <w:r>
        <w:rPr>
          <w:sz w:val="20"/>
          <w:szCs w:val="20"/>
          <w:lang w:val="en-US"/>
        </w:rPr>
        <w:t xml:space="preserve">, “Secondary” </w:t>
      </w:r>
      <w:r w:rsidRPr="00AD5879">
        <w:rPr>
          <w:sz w:val="20"/>
          <w:szCs w:val="20"/>
          <w:lang w:val="en-US"/>
        </w:rPr>
        <w:t xml:space="preserve">anti-rabbit HRP-conjugated antibody </w:t>
      </w:r>
      <w:r w:rsidRPr="00556EEC">
        <w:rPr>
          <w:sz w:val="20"/>
          <w:szCs w:val="20"/>
          <w:lang w:val="en-US"/>
        </w:rPr>
        <w:t xml:space="preserve">(Promega Cat# W4011, </w:t>
      </w:r>
      <w:r w:rsidRPr="00AD5879">
        <w:rPr>
          <w:sz w:val="20"/>
          <w:szCs w:val="20"/>
          <w:lang w:val="en-US"/>
        </w:rPr>
        <w:t>RRID:AB_430833</w:t>
      </w:r>
      <w:r>
        <w:rPr>
          <w:sz w:val="20"/>
          <w:szCs w:val="20"/>
          <w:lang w:val="en-US"/>
        </w:rPr>
        <w:t>, 1:2500</w:t>
      </w:r>
      <w:r w:rsidRPr="00AD5879">
        <w:rPr>
          <w:sz w:val="20"/>
          <w:szCs w:val="20"/>
          <w:lang w:val="en-US"/>
        </w:rPr>
        <w:t>)</w:t>
      </w:r>
      <w:r>
        <w:rPr>
          <w:sz w:val="20"/>
          <w:szCs w:val="20"/>
          <w:lang w:val="en-US"/>
        </w:rPr>
        <w:t>.</w:t>
      </w:r>
    </w:p>
    <w:p w14:paraId="4403315B" w14:textId="77777777" w:rsidR="00623AA3" w:rsidRDefault="00623AA3" w:rsidP="00623AA3">
      <w:pPr>
        <w:spacing w:line="360" w:lineRule="auto"/>
        <w:jc w:val="both"/>
        <w:rPr>
          <w:sz w:val="20"/>
          <w:szCs w:val="20"/>
          <w:lang w:val="en-US"/>
        </w:rPr>
      </w:pPr>
    </w:p>
    <w:p w14:paraId="49893B70" w14:textId="77777777" w:rsidR="00623AA3" w:rsidRDefault="00623AA3" w:rsidP="00623AA3">
      <w:pPr>
        <w:spacing w:line="360" w:lineRule="auto"/>
        <w:jc w:val="both"/>
        <w:rPr>
          <w:sz w:val="20"/>
          <w:szCs w:val="20"/>
          <w:lang w:val="en-US"/>
        </w:rPr>
      </w:pPr>
      <w:r w:rsidRPr="00F250E1">
        <w:rPr>
          <w:i/>
          <w:iCs/>
          <w:sz w:val="20"/>
          <w:szCs w:val="20"/>
          <w:lang w:val="en-US"/>
        </w:rPr>
        <w:t>Immunofluorescence:</w:t>
      </w:r>
      <w:r>
        <w:rPr>
          <w:sz w:val="20"/>
          <w:szCs w:val="20"/>
          <w:lang w:val="en-US"/>
        </w:rPr>
        <w:t xml:space="preserve"> </w:t>
      </w:r>
      <w:r w:rsidRPr="00AD5879">
        <w:rPr>
          <w:sz w:val="20"/>
          <w:szCs w:val="20"/>
          <w:lang w:val="en-US"/>
        </w:rPr>
        <w:t xml:space="preserve">anti-TOM1 rabbit </w:t>
      </w:r>
      <w:proofErr w:type="spellStart"/>
      <w:r w:rsidRPr="00AD5879">
        <w:rPr>
          <w:sz w:val="20"/>
          <w:szCs w:val="20"/>
          <w:lang w:val="en-US"/>
        </w:rPr>
        <w:t>mAb</w:t>
      </w:r>
      <w:proofErr w:type="spellEnd"/>
      <w:r w:rsidRPr="00AD5879">
        <w:rPr>
          <w:sz w:val="20"/>
          <w:szCs w:val="20"/>
          <w:lang w:val="en-US"/>
        </w:rPr>
        <w:t xml:space="preserve"> (Abcam Cat# ab170928, </w:t>
      </w:r>
      <w:proofErr w:type="gramStart"/>
      <w:r w:rsidRPr="00AD5879">
        <w:rPr>
          <w:sz w:val="20"/>
          <w:szCs w:val="20"/>
          <w:lang w:val="en-US"/>
        </w:rPr>
        <w:t>RRID:AB</w:t>
      </w:r>
      <w:proofErr w:type="gramEnd"/>
      <w:r w:rsidRPr="00AD5879">
        <w:rPr>
          <w:sz w:val="20"/>
          <w:szCs w:val="20"/>
          <w:lang w:val="en-US"/>
        </w:rPr>
        <w:t xml:space="preserve">_2687908, 1:100), anti-EEA1 mouse </w:t>
      </w:r>
      <w:proofErr w:type="spellStart"/>
      <w:r w:rsidRPr="00AD5879">
        <w:rPr>
          <w:sz w:val="20"/>
          <w:szCs w:val="20"/>
          <w:lang w:val="en-US"/>
        </w:rPr>
        <w:t>mAb</w:t>
      </w:r>
      <w:proofErr w:type="spellEnd"/>
      <w:r w:rsidRPr="00AD5879">
        <w:rPr>
          <w:sz w:val="20"/>
          <w:szCs w:val="20"/>
          <w:lang w:val="en-US"/>
        </w:rPr>
        <w:t xml:space="preserve"> (BD Biosciences Cat# 610457, RRID:AB_397830, 1:50), anti-HA-Tag rabbit </w:t>
      </w:r>
      <w:proofErr w:type="spellStart"/>
      <w:r w:rsidRPr="00AD5879">
        <w:rPr>
          <w:sz w:val="20"/>
          <w:szCs w:val="20"/>
          <w:lang w:val="en-US"/>
        </w:rPr>
        <w:t>mAb</w:t>
      </w:r>
      <w:proofErr w:type="spellEnd"/>
      <w:r w:rsidRPr="00AD5879">
        <w:rPr>
          <w:sz w:val="20"/>
          <w:szCs w:val="20"/>
          <w:lang w:val="en-US"/>
        </w:rPr>
        <w:t xml:space="preserve"> (Cell Signaling Technology Cat# 3724, RRID:AB_1549585, 1:1000), anti-Lamp1 mouse </w:t>
      </w:r>
      <w:proofErr w:type="spellStart"/>
      <w:r w:rsidRPr="00AD5879">
        <w:rPr>
          <w:sz w:val="20"/>
          <w:szCs w:val="20"/>
          <w:lang w:val="en-US"/>
        </w:rPr>
        <w:t>mAb</w:t>
      </w:r>
      <w:proofErr w:type="spellEnd"/>
      <w:r w:rsidRPr="00AD5879">
        <w:rPr>
          <w:sz w:val="20"/>
          <w:szCs w:val="20"/>
          <w:lang w:val="en-US"/>
        </w:rPr>
        <w:t xml:space="preserve"> (DSHB Cat# H4A3, RRID:AB_2296838, 1:200)</w:t>
      </w:r>
      <w:r>
        <w:rPr>
          <w:sz w:val="20"/>
          <w:szCs w:val="20"/>
          <w:lang w:val="en-US"/>
        </w:rPr>
        <w:t>.</w:t>
      </w:r>
    </w:p>
    <w:p w14:paraId="30BA0730" w14:textId="77777777" w:rsidR="00623AA3" w:rsidRDefault="00623AA3" w:rsidP="00623AA3">
      <w:pPr>
        <w:spacing w:line="360" w:lineRule="auto"/>
        <w:jc w:val="both"/>
        <w:rPr>
          <w:sz w:val="20"/>
          <w:szCs w:val="20"/>
          <w:lang w:val="en-US"/>
        </w:rPr>
      </w:pPr>
      <w:r>
        <w:rPr>
          <w:sz w:val="20"/>
          <w:szCs w:val="20"/>
          <w:lang w:val="en-US"/>
        </w:rPr>
        <w:t>Western blotting:</w:t>
      </w:r>
      <w:r w:rsidRPr="00AD5879">
        <w:rPr>
          <w:sz w:val="20"/>
          <w:szCs w:val="20"/>
          <w:lang w:val="en-US"/>
        </w:rPr>
        <w:t xml:space="preserve"> anti-TOM1 rabbit </w:t>
      </w:r>
      <w:proofErr w:type="spellStart"/>
      <w:r w:rsidRPr="00AD5879">
        <w:rPr>
          <w:sz w:val="20"/>
          <w:szCs w:val="20"/>
          <w:lang w:val="en-US"/>
        </w:rPr>
        <w:t>mAb</w:t>
      </w:r>
      <w:proofErr w:type="spellEnd"/>
      <w:r w:rsidRPr="00AD5879">
        <w:rPr>
          <w:sz w:val="20"/>
          <w:szCs w:val="20"/>
          <w:lang w:val="en-US"/>
        </w:rPr>
        <w:t xml:space="preserve"> (Abcam Cat# ab170928, RRID:AB_2687908, 1:5000)</w:t>
      </w:r>
      <w:r>
        <w:rPr>
          <w:sz w:val="20"/>
          <w:szCs w:val="20"/>
          <w:lang w:val="en-US"/>
        </w:rPr>
        <w:t>,</w:t>
      </w:r>
      <w:r w:rsidRPr="00AD5879">
        <w:rPr>
          <w:sz w:val="20"/>
          <w:szCs w:val="20"/>
          <w:lang w:val="en-US"/>
        </w:rPr>
        <w:t xml:space="preserve"> anti-LC3 rabbit </w:t>
      </w:r>
      <w:proofErr w:type="spellStart"/>
      <w:r w:rsidRPr="00AD5879">
        <w:rPr>
          <w:sz w:val="20"/>
          <w:szCs w:val="20"/>
          <w:lang w:val="en-US"/>
        </w:rPr>
        <w:t>mAb</w:t>
      </w:r>
      <w:proofErr w:type="spellEnd"/>
      <w:r w:rsidRPr="00AD5879">
        <w:rPr>
          <w:sz w:val="20"/>
          <w:szCs w:val="20"/>
          <w:lang w:val="en-US"/>
        </w:rPr>
        <w:t xml:space="preserve"> (Cell Signaling Technology Cat# 3868, RRID:AB_2137707, 1:1000)</w:t>
      </w:r>
      <w:r>
        <w:rPr>
          <w:sz w:val="20"/>
          <w:szCs w:val="20"/>
          <w:lang w:val="en-US"/>
        </w:rPr>
        <w:t xml:space="preserve">, </w:t>
      </w:r>
      <w:r w:rsidRPr="00AD5879">
        <w:rPr>
          <w:sz w:val="20"/>
          <w:szCs w:val="20"/>
          <w:lang w:val="en-US"/>
        </w:rPr>
        <w:t xml:space="preserve">anti Phospho-p44/42 MAPK (Erk1/2) rabbit </w:t>
      </w:r>
      <w:proofErr w:type="spellStart"/>
      <w:r w:rsidRPr="00AD5879">
        <w:rPr>
          <w:sz w:val="20"/>
          <w:szCs w:val="20"/>
          <w:lang w:val="en-US"/>
        </w:rPr>
        <w:t>polyAb</w:t>
      </w:r>
      <w:proofErr w:type="spellEnd"/>
      <w:r w:rsidRPr="00AD5879">
        <w:rPr>
          <w:sz w:val="20"/>
          <w:szCs w:val="20"/>
          <w:lang w:val="en-US"/>
        </w:rPr>
        <w:t xml:space="preserve"> (Cell Signaling Technology Cat# 9101, RRID:AB_331646, 1:1000), Phospho-Akt (Ser473) rabbit </w:t>
      </w:r>
      <w:proofErr w:type="spellStart"/>
      <w:r w:rsidRPr="00AD5879">
        <w:rPr>
          <w:sz w:val="20"/>
          <w:szCs w:val="20"/>
          <w:lang w:val="en-US"/>
        </w:rPr>
        <w:t>mAb</w:t>
      </w:r>
      <w:proofErr w:type="spellEnd"/>
      <w:r w:rsidRPr="00AD5879">
        <w:rPr>
          <w:sz w:val="20"/>
          <w:szCs w:val="20"/>
          <w:lang w:val="en-US"/>
        </w:rPr>
        <w:t xml:space="preserve"> (Cell Signaling Technology Cat# 4060, RRID:AB_2315049, 1:2000)</w:t>
      </w:r>
      <w:r>
        <w:rPr>
          <w:sz w:val="20"/>
          <w:szCs w:val="20"/>
          <w:lang w:val="en-US"/>
        </w:rPr>
        <w:t xml:space="preserve"> </w:t>
      </w:r>
      <w:r w:rsidRPr="00AD5879">
        <w:rPr>
          <w:sz w:val="20"/>
          <w:szCs w:val="20"/>
          <w:lang w:val="en-US"/>
        </w:rPr>
        <w:t>Phospho-</w:t>
      </w:r>
      <w:proofErr w:type="spellStart"/>
      <w:r w:rsidRPr="00AD5879">
        <w:rPr>
          <w:sz w:val="20"/>
          <w:szCs w:val="20"/>
          <w:lang w:val="en-US"/>
        </w:rPr>
        <w:t>IκB</w:t>
      </w:r>
      <w:proofErr w:type="spellEnd"/>
      <w:r w:rsidRPr="00AD5879">
        <w:rPr>
          <w:sz w:val="20"/>
          <w:szCs w:val="20"/>
          <w:lang w:val="en-US"/>
        </w:rPr>
        <w:t xml:space="preserve">α (Ser32) rabbit </w:t>
      </w:r>
      <w:proofErr w:type="spellStart"/>
      <w:r w:rsidRPr="00AD5879">
        <w:rPr>
          <w:sz w:val="20"/>
          <w:szCs w:val="20"/>
          <w:lang w:val="en-US"/>
        </w:rPr>
        <w:t>mAb</w:t>
      </w:r>
      <w:proofErr w:type="spellEnd"/>
      <w:r w:rsidRPr="00AD5879">
        <w:rPr>
          <w:sz w:val="20"/>
          <w:szCs w:val="20"/>
          <w:lang w:val="en-US"/>
        </w:rPr>
        <w:t xml:space="preserve"> (Cell Signaling Technology Cat# 2859, RRID:AB_561111, 1:1000)</w:t>
      </w:r>
      <w:r>
        <w:rPr>
          <w:sz w:val="20"/>
          <w:szCs w:val="20"/>
          <w:lang w:val="en-US"/>
        </w:rPr>
        <w:t xml:space="preserve">, </w:t>
      </w:r>
      <w:r w:rsidRPr="00AD5879">
        <w:rPr>
          <w:sz w:val="20"/>
          <w:szCs w:val="20"/>
          <w:lang w:val="en-US"/>
        </w:rPr>
        <w:t xml:space="preserve">p44/42 MAPK (Erk1/2) rabbit </w:t>
      </w:r>
      <w:proofErr w:type="spellStart"/>
      <w:r w:rsidRPr="00AD5879">
        <w:rPr>
          <w:sz w:val="20"/>
          <w:szCs w:val="20"/>
          <w:lang w:val="en-US"/>
        </w:rPr>
        <w:t>mAb</w:t>
      </w:r>
      <w:proofErr w:type="spellEnd"/>
      <w:r w:rsidRPr="00AD5879">
        <w:rPr>
          <w:sz w:val="20"/>
          <w:szCs w:val="20"/>
          <w:lang w:val="en-US"/>
        </w:rPr>
        <w:t xml:space="preserve"> (Cell Signaling Technology Cat# 4695, RRID:AB_390779, 1:1000)</w:t>
      </w:r>
      <w:r>
        <w:rPr>
          <w:sz w:val="20"/>
          <w:szCs w:val="20"/>
          <w:lang w:val="en-US"/>
        </w:rPr>
        <w:t xml:space="preserve">, </w:t>
      </w:r>
      <w:r w:rsidRPr="00AD5879">
        <w:rPr>
          <w:sz w:val="20"/>
          <w:szCs w:val="20"/>
          <w:lang w:val="en-US"/>
        </w:rPr>
        <w:t xml:space="preserve">Akt (pan) rabbit </w:t>
      </w:r>
      <w:proofErr w:type="spellStart"/>
      <w:r w:rsidRPr="00AD5879">
        <w:rPr>
          <w:sz w:val="20"/>
          <w:szCs w:val="20"/>
          <w:lang w:val="en-US"/>
        </w:rPr>
        <w:t>mAb</w:t>
      </w:r>
      <w:proofErr w:type="spellEnd"/>
      <w:r w:rsidRPr="00AD5879">
        <w:rPr>
          <w:sz w:val="20"/>
          <w:szCs w:val="20"/>
          <w:lang w:val="en-US"/>
        </w:rPr>
        <w:t xml:space="preserve"> (Cell Signaling Technology Cat# 4691, RRID:AB_915783, 1:2000)</w:t>
      </w:r>
      <w:r>
        <w:rPr>
          <w:sz w:val="20"/>
          <w:szCs w:val="20"/>
          <w:lang w:val="en-US"/>
        </w:rPr>
        <w:t>.</w:t>
      </w:r>
    </w:p>
    <w:p w14:paraId="6BB28B8F" w14:textId="77777777" w:rsidR="00623AA3" w:rsidRDefault="00623AA3" w:rsidP="00623AA3">
      <w:pPr>
        <w:spacing w:line="360" w:lineRule="auto"/>
        <w:jc w:val="both"/>
        <w:rPr>
          <w:sz w:val="20"/>
          <w:szCs w:val="20"/>
          <w:lang w:val="en-US"/>
        </w:rPr>
      </w:pPr>
    </w:p>
    <w:p w14:paraId="3BA0E5F6" w14:textId="77777777" w:rsidR="00623AA3" w:rsidRPr="00F250E1" w:rsidRDefault="00623AA3" w:rsidP="00623AA3">
      <w:pPr>
        <w:spacing w:line="360" w:lineRule="auto"/>
        <w:jc w:val="both"/>
        <w:rPr>
          <w:sz w:val="20"/>
          <w:szCs w:val="20"/>
          <w:u w:val="single"/>
          <w:lang w:val="en-US"/>
        </w:rPr>
      </w:pPr>
      <w:r w:rsidRPr="00F250E1">
        <w:rPr>
          <w:sz w:val="20"/>
          <w:szCs w:val="20"/>
          <w:u w:val="single"/>
          <w:lang w:val="en-US"/>
        </w:rPr>
        <w:t>List of reagents:</w:t>
      </w:r>
    </w:p>
    <w:p w14:paraId="26A2CF55" w14:textId="77777777" w:rsidR="00623AA3" w:rsidRDefault="00623AA3" w:rsidP="00623AA3">
      <w:pPr>
        <w:spacing w:line="360" w:lineRule="auto"/>
        <w:jc w:val="both"/>
        <w:rPr>
          <w:sz w:val="20"/>
          <w:szCs w:val="20"/>
          <w:lang w:val="en-US"/>
        </w:rPr>
      </w:pPr>
      <w:r>
        <w:rPr>
          <w:sz w:val="20"/>
          <w:szCs w:val="20"/>
          <w:lang w:val="en-US"/>
        </w:rPr>
        <w:t xml:space="preserve">Western Blot lysis buffer 1: </w:t>
      </w:r>
      <w:r w:rsidRPr="00AD5879">
        <w:rPr>
          <w:sz w:val="20"/>
          <w:szCs w:val="20"/>
          <w:lang w:val="en-US"/>
        </w:rPr>
        <w:t xml:space="preserve"> HEPES (pH 7.4), 1% NP40, 150 mM NaCl, 5 mM EDTA, 25 </w:t>
      </w:r>
      <w:r w:rsidRPr="00AD5879">
        <w:rPr>
          <w:sz w:val="20"/>
          <w:szCs w:val="20"/>
        </w:rPr>
        <w:t>μ</w:t>
      </w:r>
      <w:r w:rsidRPr="00AD5879">
        <w:rPr>
          <w:sz w:val="20"/>
          <w:szCs w:val="20"/>
          <w:lang w:val="en-US"/>
        </w:rPr>
        <w:t>g/ml chymostatin, 25 </w:t>
      </w:r>
      <w:r w:rsidRPr="00AD5879">
        <w:rPr>
          <w:sz w:val="20"/>
          <w:szCs w:val="20"/>
        </w:rPr>
        <w:t>μ</w:t>
      </w:r>
      <w:r w:rsidRPr="00AD5879">
        <w:rPr>
          <w:sz w:val="20"/>
          <w:szCs w:val="20"/>
          <w:lang w:val="en-US"/>
        </w:rPr>
        <w:t>g/ml leupeptin, 25 </w:t>
      </w:r>
      <w:r w:rsidRPr="00AD5879">
        <w:rPr>
          <w:sz w:val="20"/>
          <w:szCs w:val="20"/>
        </w:rPr>
        <w:t>μ</w:t>
      </w:r>
      <w:r w:rsidRPr="00AD5879">
        <w:rPr>
          <w:sz w:val="20"/>
          <w:szCs w:val="20"/>
          <w:lang w:val="en-US"/>
        </w:rPr>
        <w:t>g/ml antipain hydrochloride, 25 </w:t>
      </w:r>
      <w:r w:rsidRPr="00AD5879">
        <w:rPr>
          <w:sz w:val="20"/>
          <w:szCs w:val="20"/>
        </w:rPr>
        <w:t>μ</w:t>
      </w:r>
      <w:r w:rsidRPr="00AD5879">
        <w:rPr>
          <w:sz w:val="20"/>
          <w:szCs w:val="20"/>
          <w:lang w:val="en-US"/>
        </w:rPr>
        <w:t xml:space="preserve">g/ml </w:t>
      </w:r>
      <w:proofErr w:type="spellStart"/>
      <w:r w:rsidRPr="00AD5879">
        <w:rPr>
          <w:sz w:val="20"/>
          <w:szCs w:val="20"/>
          <w:lang w:val="en-US"/>
        </w:rPr>
        <w:t>pepstatin</w:t>
      </w:r>
      <w:proofErr w:type="spellEnd"/>
      <w:r w:rsidRPr="00AD5879">
        <w:rPr>
          <w:sz w:val="20"/>
          <w:szCs w:val="20"/>
          <w:lang w:val="en-US"/>
        </w:rPr>
        <w:t xml:space="preserve"> A, 10 mM sodium fluoride, 10 mM orthovanadate, and 1 mM PMSF</w:t>
      </w:r>
      <w:r>
        <w:rPr>
          <w:sz w:val="20"/>
          <w:szCs w:val="20"/>
          <w:lang w:val="en-US"/>
        </w:rPr>
        <w:t>.</w:t>
      </w:r>
      <w:r w:rsidRPr="00AD5879">
        <w:rPr>
          <w:sz w:val="20"/>
          <w:szCs w:val="20"/>
          <w:lang w:val="en-US"/>
        </w:rPr>
        <w:t xml:space="preserve"> </w:t>
      </w:r>
    </w:p>
    <w:p w14:paraId="4EF8B5DD" w14:textId="77777777" w:rsidR="00623AA3" w:rsidRDefault="00623AA3" w:rsidP="00623AA3">
      <w:pPr>
        <w:spacing w:line="360" w:lineRule="auto"/>
        <w:jc w:val="both"/>
        <w:rPr>
          <w:sz w:val="20"/>
          <w:szCs w:val="20"/>
          <w:lang w:val="en-US"/>
        </w:rPr>
      </w:pPr>
      <w:r>
        <w:rPr>
          <w:sz w:val="20"/>
          <w:szCs w:val="20"/>
          <w:lang w:val="en-US"/>
        </w:rPr>
        <w:t xml:space="preserve">Western Blot lysis buffer 2: </w:t>
      </w:r>
      <w:r w:rsidRPr="00AD5879">
        <w:rPr>
          <w:sz w:val="20"/>
          <w:szCs w:val="20"/>
          <w:lang w:val="en-US"/>
        </w:rPr>
        <w:t xml:space="preserve">RIPA lysis buffer containing 1x TBS, 1% NP-40, 0.1% SDS and supplemented with 10% </w:t>
      </w:r>
      <w:proofErr w:type="spellStart"/>
      <w:r w:rsidRPr="00AD5879">
        <w:rPr>
          <w:sz w:val="20"/>
          <w:szCs w:val="20"/>
          <w:lang w:val="en-US"/>
        </w:rPr>
        <w:t>NaDoc</w:t>
      </w:r>
      <w:proofErr w:type="spellEnd"/>
      <w:r w:rsidRPr="00AD5879">
        <w:rPr>
          <w:sz w:val="20"/>
          <w:szCs w:val="20"/>
          <w:lang w:val="en-US"/>
        </w:rPr>
        <w:t xml:space="preserve"> and 1:100 protease inhibitor cocktail (CLAP).</w:t>
      </w:r>
    </w:p>
    <w:p w14:paraId="3665ABCA" w14:textId="77777777" w:rsidR="00623AA3" w:rsidRDefault="00623AA3" w:rsidP="00623AA3">
      <w:pPr>
        <w:spacing w:line="360" w:lineRule="auto"/>
        <w:jc w:val="both"/>
        <w:rPr>
          <w:sz w:val="20"/>
          <w:szCs w:val="20"/>
          <w:lang w:val="en-US"/>
        </w:rPr>
      </w:pPr>
      <w:r>
        <w:rPr>
          <w:sz w:val="20"/>
          <w:szCs w:val="20"/>
          <w:lang w:val="en-US"/>
        </w:rPr>
        <w:t xml:space="preserve">Western Blot lysis buffer 3: SDS boiling buffer containing </w:t>
      </w:r>
      <w:r w:rsidRPr="00AD5879">
        <w:rPr>
          <w:sz w:val="20"/>
          <w:szCs w:val="20"/>
          <w:lang w:val="en-US"/>
        </w:rPr>
        <w:t>2.5% SDS, 250 mM</w:t>
      </w:r>
      <w:r w:rsidRPr="00AD5879">
        <w:rPr>
          <w:color w:val="FF0000"/>
          <w:sz w:val="20"/>
          <w:szCs w:val="20"/>
          <w:lang w:val="en-US"/>
        </w:rPr>
        <w:t xml:space="preserve"> </w:t>
      </w:r>
      <w:r w:rsidRPr="00AD5879">
        <w:rPr>
          <w:color w:val="000000" w:themeColor="text1"/>
          <w:sz w:val="20"/>
          <w:szCs w:val="20"/>
          <w:lang w:val="en-US"/>
        </w:rPr>
        <w:t>Tris</w:t>
      </w:r>
      <w:r w:rsidRPr="00AD5879">
        <w:rPr>
          <w:sz w:val="20"/>
          <w:szCs w:val="20"/>
          <w:lang w:val="en-US"/>
        </w:rPr>
        <w:t xml:space="preserve">/HCl (pH 6.8), including 50 mM NaF, 10 mM, </w:t>
      </w:r>
      <w:r w:rsidRPr="00256315">
        <w:rPr>
          <w:rFonts w:ascii="Symbol" w:hAnsi="Symbol"/>
          <w:sz w:val="20"/>
          <w:szCs w:val="20"/>
          <w:lang w:val="en-US"/>
        </w:rPr>
        <w:t>b</w:t>
      </w:r>
      <w:r w:rsidRPr="00AD5879">
        <w:rPr>
          <w:sz w:val="20"/>
          <w:szCs w:val="20"/>
          <w:lang w:val="en-US"/>
        </w:rPr>
        <w:t>-glycerophosphate, 0.5 mM DTT, and 0.5 mM PMSF</w:t>
      </w:r>
      <w:r>
        <w:rPr>
          <w:sz w:val="20"/>
          <w:szCs w:val="20"/>
          <w:lang w:val="en-US"/>
        </w:rPr>
        <w:t>.</w:t>
      </w:r>
    </w:p>
    <w:p w14:paraId="757C2950" w14:textId="77777777" w:rsidR="00623AA3" w:rsidRPr="00AD5879" w:rsidRDefault="00623AA3" w:rsidP="00623AA3">
      <w:pPr>
        <w:spacing w:line="360" w:lineRule="auto"/>
        <w:jc w:val="both"/>
        <w:rPr>
          <w:sz w:val="20"/>
          <w:szCs w:val="20"/>
          <w:lang w:val="en-US"/>
        </w:rPr>
      </w:pPr>
      <w:r>
        <w:rPr>
          <w:sz w:val="20"/>
          <w:szCs w:val="20"/>
          <w:lang w:val="en-US"/>
        </w:rPr>
        <w:t>Stripping solution:</w:t>
      </w:r>
      <w:r w:rsidRPr="00AD5879">
        <w:rPr>
          <w:sz w:val="20"/>
          <w:szCs w:val="20"/>
          <w:lang w:val="en-US"/>
        </w:rPr>
        <w:t xml:space="preserve"> 10% SDS 20%, 2% 3</w:t>
      </w:r>
      <w:r>
        <w:rPr>
          <w:sz w:val="20"/>
          <w:szCs w:val="20"/>
          <w:lang w:val="en-US"/>
        </w:rPr>
        <w:t xml:space="preserve"> </w:t>
      </w:r>
      <w:r w:rsidRPr="00AD5879">
        <w:rPr>
          <w:sz w:val="20"/>
          <w:szCs w:val="20"/>
          <w:lang w:val="en-US"/>
        </w:rPr>
        <w:t xml:space="preserve">M Tris (pH 6.8), </w:t>
      </w:r>
      <w:r>
        <w:rPr>
          <w:sz w:val="20"/>
          <w:szCs w:val="20"/>
          <w:lang w:val="en-US"/>
        </w:rPr>
        <w:t xml:space="preserve">and </w:t>
      </w:r>
      <w:r w:rsidRPr="00AD5879">
        <w:rPr>
          <w:sz w:val="20"/>
          <w:szCs w:val="20"/>
          <w:lang w:val="en-US"/>
        </w:rPr>
        <w:t>0.8% 2-</w:t>
      </w:r>
      <w:r>
        <w:rPr>
          <w:sz w:val="20"/>
          <w:szCs w:val="20"/>
          <w:lang w:val="en-US"/>
        </w:rPr>
        <w:t>mercaptoethanol.</w:t>
      </w:r>
    </w:p>
    <w:p w14:paraId="3F8E4477" w14:textId="77777777" w:rsidR="00F13174" w:rsidRPr="00623AA3" w:rsidRDefault="00F13174">
      <w:pPr>
        <w:rPr>
          <w:lang w:val="en-US"/>
        </w:rPr>
      </w:pPr>
    </w:p>
    <w:sectPr w:rsidR="00F13174" w:rsidRPr="00623AA3" w:rsidSect="00F57DBA">
      <w:headerReference w:type="default" r:id="rId13"/>
      <w:footerReference w:type="even" r:id="rId14"/>
      <w:footerReference w:type="default" r:id="rId15"/>
      <w:headerReference w:type="first" r:id="rId16"/>
      <w:footerReference w:type="first" r:id="rId17"/>
      <w:pgSz w:w="11900" w:h="16840"/>
      <w:pgMar w:top="1440" w:right="1440" w:bottom="1440" w:left="144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C2FFB" w14:textId="77777777" w:rsidR="00F57DBA" w:rsidRDefault="00F57DBA">
      <w:r>
        <w:separator/>
      </w:r>
    </w:p>
  </w:endnote>
  <w:endnote w:type="continuationSeparator" w:id="0">
    <w:p w14:paraId="2D79FBFF" w14:textId="77777777" w:rsidR="00F57DBA" w:rsidRDefault="00F5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5AC72" w14:textId="77777777" w:rsidR="00B31670" w:rsidRDefault="005775AC" w:rsidP="00301B1C">
    <w:pPr>
      <w:pStyle w:val="Alatunniste"/>
      <w:framePr w:wrap="none" w:vAnchor="text" w:hAnchor="margin" w:xAlign="center" w:y="1"/>
      <w:rPr>
        <w:rStyle w:val="Sivunumero"/>
      </w:rPr>
    </w:pPr>
    <w:r>
      <w:rPr>
        <w:rStyle w:val="Sivunumero"/>
      </w:rPr>
      <w:fldChar w:fldCharType="begin"/>
    </w:r>
    <w:r>
      <w:rPr>
        <w:rStyle w:val="Sivunumero"/>
      </w:rPr>
      <w:instrText xml:space="preserve"> PAGE </w:instrText>
    </w:r>
    <w:r>
      <w:rPr>
        <w:rStyle w:val="Sivunumero"/>
      </w:rPr>
      <w:fldChar w:fldCharType="separate"/>
    </w:r>
    <w:r>
      <w:rPr>
        <w:rStyle w:val="Sivunumero"/>
        <w:noProof/>
      </w:rPr>
      <w:t>2</w:t>
    </w:r>
    <w:r>
      <w:rPr>
        <w:rStyle w:val="Sivunumero"/>
      </w:rPr>
      <w:fldChar w:fldCharType="end"/>
    </w:r>
  </w:p>
  <w:p w14:paraId="1C554CD6" w14:textId="77777777" w:rsidR="00B31670" w:rsidRDefault="00B31670">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vunumero"/>
      </w:rPr>
      <w:id w:val="1578328602"/>
      <w:docPartObj>
        <w:docPartGallery w:val="Page Numbers (Bottom of Page)"/>
        <w:docPartUnique/>
      </w:docPartObj>
    </w:sdtPr>
    <w:sdtEndPr>
      <w:rPr>
        <w:rStyle w:val="Sivunumero"/>
      </w:rPr>
    </w:sdtEndPr>
    <w:sdtContent>
      <w:p w14:paraId="0BE7D04E" w14:textId="77777777" w:rsidR="00B31670" w:rsidRDefault="005775AC" w:rsidP="00301B1C">
        <w:pPr>
          <w:pStyle w:val="Alatunniste"/>
          <w:framePr w:wrap="none" w:vAnchor="text" w:hAnchor="margin" w:xAlign="center" w:y="1"/>
          <w:rPr>
            <w:rStyle w:val="Sivunumero"/>
          </w:rPr>
        </w:pPr>
        <w:r>
          <w:rPr>
            <w:rStyle w:val="Sivunumero"/>
          </w:rPr>
          <w:fldChar w:fldCharType="begin"/>
        </w:r>
        <w:r>
          <w:rPr>
            <w:rStyle w:val="Sivunumero"/>
          </w:rPr>
          <w:instrText xml:space="preserve"> PAGE </w:instrText>
        </w:r>
        <w:r>
          <w:rPr>
            <w:rStyle w:val="Sivunumero"/>
          </w:rPr>
          <w:fldChar w:fldCharType="separate"/>
        </w:r>
        <w:r>
          <w:rPr>
            <w:rStyle w:val="Sivunumero"/>
            <w:noProof/>
          </w:rPr>
          <w:t>2</w:t>
        </w:r>
        <w:r>
          <w:rPr>
            <w:rStyle w:val="Sivunumero"/>
          </w:rPr>
          <w:fldChar w:fldCharType="end"/>
        </w:r>
      </w:p>
    </w:sdtContent>
  </w:sdt>
  <w:p w14:paraId="572EE98C" w14:textId="77777777" w:rsidR="00B31670" w:rsidRDefault="00B31670">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07C2765" w14:paraId="5A2CBBF2" w14:textId="77777777" w:rsidTr="00D14191">
      <w:tc>
        <w:tcPr>
          <w:tcW w:w="3005" w:type="dxa"/>
        </w:tcPr>
        <w:p w14:paraId="49E29FEF" w14:textId="77777777" w:rsidR="00B31670" w:rsidRDefault="00B31670" w:rsidP="00D14191">
          <w:pPr>
            <w:pStyle w:val="Yltunniste"/>
            <w:ind w:left="-115"/>
          </w:pPr>
        </w:p>
      </w:tc>
      <w:tc>
        <w:tcPr>
          <w:tcW w:w="3005" w:type="dxa"/>
        </w:tcPr>
        <w:p w14:paraId="161E741C" w14:textId="77777777" w:rsidR="00B31670" w:rsidRDefault="00B31670" w:rsidP="00D14191">
          <w:pPr>
            <w:pStyle w:val="Yltunniste"/>
            <w:jc w:val="center"/>
          </w:pPr>
        </w:p>
      </w:tc>
      <w:tc>
        <w:tcPr>
          <w:tcW w:w="3005" w:type="dxa"/>
        </w:tcPr>
        <w:p w14:paraId="2959194F" w14:textId="77777777" w:rsidR="00B31670" w:rsidRDefault="00B31670" w:rsidP="00D14191">
          <w:pPr>
            <w:pStyle w:val="Yltunniste"/>
            <w:ind w:right="-115"/>
            <w:jc w:val="right"/>
          </w:pPr>
        </w:p>
      </w:tc>
    </w:tr>
  </w:tbl>
  <w:p w14:paraId="0133215D" w14:textId="77777777" w:rsidR="00B31670" w:rsidRDefault="00B31670" w:rsidP="00D14191">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9E3C1" w14:textId="77777777" w:rsidR="00F57DBA" w:rsidRDefault="00F57DBA">
      <w:r>
        <w:separator/>
      </w:r>
    </w:p>
  </w:footnote>
  <w:footnote w:type="continuationSeparator" w:id="0">
    <w:p w14:paraId="1D23C06C" w14:textId="77777777" w:rsidR="00F57DBA" w:rsidRDefault="00F5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07C2765" w14:paraId="7867BC2C" w14:textId="77777777" w:rsidTr="00D14191">
      <w:tc>
        <w:tcPr>
          <w:tcW w:w="3005" w:type="dxa"/>
        </w:tcPr>
        <w:p w14:paraId="3749E676" w14:textId="77777777" w:rsidR="00B31670" w:rsidRDefault="00B31670" w:rsidP="00D14191">
          <w:pPr>
            <w:pStyle w:val="Yltunniste"/>
            <w:ind w:left="-115"/>
          </w:pPr>
        </w:p>
      </w:tc>
      <w:tc>
        <w:tcPr>
          <w:tcW w:w="3005" w:type="dxa"/>
        </w:tcPr>
        <w:p w14:paraId="291B1536" w14:textId="77777777" w:rsidR="00B31670" w:rsidRDefault="00B31670" w:rsidP="00D14191">
          <w:pPr>
            <w:pStyle w:val="Yltunniste"/>
            <w:jc w:val="center"/>
          </w:pPr>
        </w:p>
      </w:tc>
      <w:tc>
        <w:tcPr>
          <w:tcW w:w="3005" w:type="dxa"/>
        </w:tcPr>
        <w:p w14:paraId="0F097204" w14:textId="77777777" w:rsidR="00B31670" w:rsidRDefault="00B31670" w:rsidP="00D14191">
          <w:pPr>
            <w:pStyle w:val="Yltunniste"/>
            <w:ind w:right="-115"/>
            <w:jc w:val="right"/>
          </w:pPr>
        </w:p>
      </w:tc>
    </w:tr>
  </w:tbl>
  <w:p w14:paraId="3EAAD115" w14:textId="77777777" w:rsidR="00B31670" w:rsidRDefault="00B31670" w:rsidP="00D14191">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07C2765" w14:paraId="57869E62" w14:textId="77777777" w:rsidTr="00D14191">
      <w:tc>
        <w:tcPr>
          <w:tcW w:w="3005" w:type="dxa"/>
        </w:tcPr>
        <w:p w14:paraId="6833E02A" w14:textId="77777777" w:rsidR="00B31670" w:rsidRDefault="00B31670" w:rsidP="00D14191">
          <w:pPr>
            <w:pStyle w:val="Yltunniste"/>
            <w:ind w:left="-115"/>
          </w:pPr>
        </w:p>
      </w:tc>
      <w:tc>
        <w:tcPr>
          <w:tcW w:w="3005" w:type="dxa"/>
        </w:tcPr>
        <w:p w14:paraId="292B92E3" w14:textId="77777777" w:rsidR="00B31670" w:rsidRDefault="00B31670" w:rsidP="00D14191">
          <w:pPr>
            <w:pStyle w:val="Yltunniste"/>
            <w:jc w:val="center"/>
          </w:pPr>
        </w:p>
      </w:tc>
      <w:tc>
        <w:tcPr>
          <w:tcW w:w="3005" w:type="dxa"/>
        </w:tcPr>
        <w:p w14:paraId="07AEC9F6" w14:textId="77777777" w:rsidR="00B31670" w:rsidRDefault="00B31670" w:rsidP="00D14191">
          <w:pPr>
            <w:pStyle w:val="Yltunniste"/>
            <w:ind w:right="-115"/>
            <w:jc w:val="right"/>
          </w:pPr>
        </w:p>
      </w:tc>
    </w:tr>
  </w:tbl>
  <w:p w14:paraId="62770265" w14:textId="77777777" w:rsidR="00B31670" w:rsidRDefault="00B31670" w:rsidP="00D14191">
    <w:pPr>
      <w:pStyle w:val="Yltunnis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AA3"/>
    <w:rsid w:val="00537EBE"/>
    <w:rsid w:val="005775AC"/>
    <w:rsid w:val="00623AA3"/>
    <w:rsid w:val="006916A5"/>
    <w:rsid w:val="008E01BC"/>
    <w:rsid w:val="00926A8D"/>
    <w:rsid w:val="00953225"/>
    <w:rsid w:val="00B31670"/>
    <w:rsid w:val="00D767D8"/>
    <w:rsid w:val="00F13174"/>
    <w:rsid w:val="00F250E1"/>
    <w:rsid w:val="00F57DB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9EA81"/>
  <w15:chartTrackingRefBased/>
  <w15:docId w15:val="{E45041D6-4BC4-4FBA-AAAF-1D878181A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23AA3"/>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Alatunniste">
    <w:name w:val="footer"/>
    <w:basedOn w:val="Normaali"/>
    <w:link w:val="AlatunnisteChar"/>
    <w:uiPriority w:val="99"/>
    <w:unhideWhenUsed/>
    <w:rsid w:val="00623AA3"/>
    <w:pPr>
      <w:tabs>
        <w:tab w:val="center" w:pos="4513"/>
        <w:tab w:val="right" w:pos="9026"/>
      </w:tabs>
    </w:pPr>
  </w:style>
  <w:style w:type="character" w:customStyle="1" w:styleId="AlatunnisteChar">
    <w:name w:val="Alatunniste Char"/>
    <w:basedOn w:val="Kappaleenoletusfontti"/>
    <w:link w:val="Alatunniste"/>
    <w:uiPriority w:val="99"/>
    <w:rsid w:val="00623AA3"/>
    <w:rPr>
      <w:rFonts w:ascii="Times New Roman" w:eastAsia="Times New Roman" w:hAnsi="Times New Roman" w:cs="Times New Roman"/>
      <w:kern w:val="0"/>
      <w:sz w:val="24"/>
      <w:szCs w:val="24"/>
      <w:lang w:eastAsia="en-GB"/>
      <w14:ligatures w14:val="none"/>
    </w:rPr>
  </w:style>
  <w:style w:type="character" w:styleId="Sivunumero">
    <w:name w:val="page number"/>
    <w:basedOn w:val="Kappaleenoletusfontti"/>
    <w:uiPriority w:val="99"/>
    <w:semiHidden/>
    <w:unhideWhenUsed/>
    <w:rsid w:val="00623AA3"/>
  </w:style>
  <w:style w:type="character" w:customStyle="1" w:styleId="YltunnisteChar">
    <w:name w:val="Ylätunniste Char"/>
    <w:basedOn w:val="Kappaleenoletusfontti"/>
    <w:link w:val="Yltunniste"/>
    <w:uiPriority w:val="99"/>
    <w:rsid w:val="00623AA3"/>
  </w:style>
  <w:style w:type="paragraph" w:styleId="Yltunniste">
    <w:name w:val="header"/>
    <w:basedOn w:val="Normaali"/>
    <w:link w:val="YltunnisteChar"/>
    <w:uiPriority w:val="99"/>
    <w:unhideWhenUsed/>
    <w:rsid w:val="00623AA3"/>
    <w:pPr>
      <w:tabs>
        <w:tab w:val="center" w:pos="4680"/>
        <w:tab w:val="right" w:pos="9360"/>
      </w:tabs>
    </w:pPr>
    <w:rPr>
      <w:rFonts w:asciiTheme="minorHAnsi" w:eastAsiaTheme="minorHAnsi" w:hAnsiTheme="minorHAnsi" w:cstheme="minorBidi"/>
      <w:kern w:val="2"/>
      <w:sz w:val="22"/>
      <w:szCs w:val="22"/>
      <w:lang w:eastAsia="en-US"/>
      <w14:ligatures w14:val="standardContextual"/>
    </w:rPr>
  </w:style>
  <w:style w:type="character" w:customStyle="1" w:styleId="YltunnisteChar1">
    <w:name w:val="Ylätunniste Char1"/>
    <w:basedOn w:val="Kappaleenoletusfontti"/>
    <w:uiPriority w:val="99"/>
    <w:semiHidden/>
    <w:rsid w:val="00623AA3"/>
    <w:rPr>
      <w:rFonts w:ascii="Times New Roman" w:eastAsia="Times New Roman" w:hAnsi="Times New Roman" w:cs="Times New Roman"/>
      <w:kern w:val="0"/>
      <w:sz w:val="24"/>
      <w:szCs w:val="24"/>
      <w:lang w:eastAsia="en-GB"/>
      <w14:ligatures w14:val="none"/>
    </w:rPr>
  </w:style>
  <w:style w:type="table" w:styleId="Yksinkertainentaulukko3">
    <w:name w:val="Plain Table 3"/>
    <w:basedOn w:val="Normaalitaulukko"/>
    <w:uiPriority w:val="43"/>
    <w:rsid w:val="00623AA3"/>
    <w:pPr>
      <w:spacing w:after="0" w:line="240" w:lineRule="auto"/>
    </w:pPr>
    <w:rPr>
      <w:kern w:val="0"/>
      <w:sz w:val="24"/>
      <w:szCs w:val="24"/>
      <w:lang w:val="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Rivinumero">
    <w:name w:val="line number"/>
    <w:basedOn w:val="Kappaleenoletusfontti"/>
    <w:uiPriority w:val="99"/>
    <w:semiHidden/>
    <w:unhideWhenUsed/>
    <w:rsid w:val="00623AA3"/>
  </w:style>
  <w:style w:type="character" w:styleId="Paikkamerkkiteksti">
    <w:name w:val="Placeholder Text"/>
    <w:basedOn w:val="Kappaleenoletusfontti"/>
    <w:uiPriority w:val="99"/>
    <w:semiHidden/>
    <w:rsid w:val="00623AA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17584">
      <w:bodyDiv w:val="1"/>
      <w:marLeft w:val="0"/>
      <w:marRight w:val="0"/>
      <w:marTop w:val="0"/>
      <w:marBottom w:val="0"/>
      <w:divBdr>
        <w:top w:val="none" w:sz="0" w:space="0" w:color="auto"/>
        <w:left w:val="none" w:sz="0" w:space="0" w:color="auto"/>
        <w:bottom w:val="none" w:sz="0" w:space="0" w:color="auto"/>
        <w:right w:val="none" w:sz="0" w:space="0" w:color="auto"/>
      </w:divBdr>
    </w:div>
    <w:div w:id="380786138">
      <w:bodyDiv w:val="1"/>
      <w:marLeft w:val="0"/>
      <w:marRight w:val="0"/>
      <w:marTop w:val="0"/>
      <w:marBottom w:val="0"/>
      <w:divBdr>
        <w:top w:val="none" w:sz="0" w:space="0" w:color="auto"/>
        <w:left w:val="none" w:sz="0" w:space="0" w:color="auto"/>
        <w:bottom w:val="none" w:sz="0" w:space="0" w:color="auto"/>
        <w:right w:val="none" w:sz="0" w:space="0" w:color="auto"/>
      </w:divBdr>
    </w:div>
    <w:div w:id="417480318">
      <w:bodyDiv w:val="1"/>
      <w:marLeft w:val="0"/>
      <w:marRight w:val="0"/>
      <w:marTop w:val="0"/>
      <w:marBottom w:val="0"/>
      <w:divBdr>
        <w:top w:val="none" w:sz="0" w:space="0" w:color="auto"/>
        <w:left w:val="none" w:sz="0" w:space="0" w:color="auto"/>
        <w:bottom w:val="none" w:sz="0" w:space="0" w:color="auto"/>
        <w:right w:val="none" w:sz="0" w:space="0" w:color="auto"/>
      </w:divBdr>
    </w:div>
    <w:div w:id="1402210833">
      <w:bodyDiv w:val="1"/>
      <w:marLeft w:val="0"/>
      <w:marRight w:val="0"/>
      <w:marTop w:val="0"/>
      <w:marBottom w:val="0"/>
      <w:divBdr>
        <w:top w:val="none" w:sz="0" w:space="0" w:color="auto"/>
        <w:left w:val="none" w:sz="0" w:space="0" w:color="auto"/>
        <w:bottom w:val="none" w:sz="0" w:space="0" w:color="auto"/>
        <w:right w:val="none" w:sz="0" w:space="0" w:color="auto"/>
      </w:divBdr>
    </w:div>
    <w:div w:id="1438675231">
      <w:bodyDiv w:val="1"/>
      <w:marLeft w:val="0"/>
      <w:marRight w:val="0"/>
      <w:marTop w:val="0"/>
      <w:marBottom w:val="0"/>
      <w:divBdr>
        <w:top w:val="none" w:sz="0" w:space="0" w:color="auto"/>
        <w:left w:val="none" w:sz="0" w:space="0" w:color="auto"/>
        <w:bottom w:val="none" w:sz="0" w:space="0" w:color="auto"/>
        <w:right w:val="none" w:sz="0" w:space="0" w:color="auto"/>
      </w:divBdr>
    </w:div>
    <w:div w:id="1623686937">
      <w:bodyDiv w:val="1"/>
      <w:marLeft w:val="0"/>
      <w:marRight w:val="0"/>
      <w:marTop w:val="0"/>
      <w:marBottom w:val="0"/>
      <w:divBdr>
        <w:top w:val="none" w:sz="0" w:space="0" w:color="auto"/>
        <w:left w:val="none" w:sz="0" w:space="0" w:color="auto"/>
        <w:bottom w:val="none" w:sz="0" w:space="0" w:color="auto"/>
        <w:right w:val="none" w:sz="0" w:space="0" w:color="auto"/>
      </w:divBdr>
    </w:div>
    <w:div w:id="179806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footer" Target="footer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820</Words>
  <Characters>6651</Characters>
  <Application>Microsoft Office Word</Application>
  <DocSecurity>4</DocSecurity>
  <Lines>55</Lines>
  <Paragraphs>14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Lång Heljä</dc:creator>
  <cp:keywords/>
  <dc:description/>
  <cp:lastModifiedBy>Ryhänen Samppa</cp:lastModifiedBy>
  <cp:revision>2</cp:revision>
  <dcterms:created xsi:type="dcterms:W3CDTF">2024-03-14T14:12:00Z</dcterms:created>
  <dcterms:modified xsi:type="dcterms:W3CDTF">2024-03-14T14:12:00Z</dcterms:modified>
</cp:coreProperties>
</file>