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4DFB7" w14:textId="4EAD77AA" w:rsidR="00A70691" w:rsidRDefault="00621902" w:rsidP="00613468">
      <w:pPr>
        <w:rPr>
          <w:b/>
          <w:bCs/>
          <w:sz w:val="20"/>
          <w:szCs w:val="20"/>
          <w:u w:val="single"/>
        </w:rPr>
      </w:pPr>
      <w:r w:rsidRPr="00A70691">
        <w:rPr>
          <w:b/>
          <w:bCs/>
          <w:sz w:val="20"/>
          <w:szCs w:val="20"/>
          <w:u w:val="single"/>
        </w:rPr>
        <w:t>Appendix Table</w:t>
      </w:r>
    </w:p>
    <w:p w14:paraId="4A2A0156" w14:textId="77777777" w:rsidR="00613468" w:rsidRPr="00613468" w:rsidRDefault="00613468" w:rsidP="00613468">
      <w:pPr>
        <w:rPr>
          <w:b/>
          <w:bCs/>
          <w:sz w:val="20"/>
          <w:szCs w:val="20"/>
          <w:u w:val="single"/>
        </w:rPr>
      </w:pPr>
    </w:p>
    <w:tbl>
      <w:tblPr>
        <w:tblStyle w:val="TableGrid"/>
        <w:tblW w:w="0" w:type="auto"/>
        <w:tblLook w:val="04A0" w:firstRow="1" w:lastRow="0" w:firstColumn="1" w:lastColumn="0" w:noHBand="0" w:noVBand="1"/>
      </w:tblPr>
      <w:tblGrid>
        <w:gridCol w:w="1394"/>
        <w:gridCol w:w="4181"/>
        <w:gridCol w:w="4495"/>
      </w:tblGrid>
      <w:tr w:rsidR="00303DD2" w14:paraId="0C59CC4E" w14:textId="77777777" w:rsidTr="00303DD2">
        <w:tc>
          <w:tcPr>
            <w:tcW w:w="1394" w:type="dxa"/>
          </w:tcPr>
          <w:p w14:paraId="1FC0F2D0" w14:textId="7BA7FA80" w:rsidR="00A70691" w:rsidRPr="00E40AEB" w:rsidRDefault="0000154C" w:rsidP="00303DD2">
            <w:pPr>
              <w:spacing w:line="480" w:lineRule="auto"/>
              <w:jc w:val="both"/>
              <w:rPr>
                <w:b/>
                <w:bCs/>
                <w:sz w:val="20"/>
                <w:szCs w:val="20"/>
              </w:rPr>
            </w:pPr>
            <w:r w:rsidRPr="00E40AEB">
              <w:rPr>
                <w:b/>
                <w:bCs/>
                <w:sz w:val="20"/>
                <w:szCs w:val="20"/>
              </w:rPr>
              <w:t>Procedure</w:t>
            </w:r>
          </w:p>
        </w:tc>
        <w:tc>
          <w:tcPr>
            <w:tcW w:w="4181" w:type="dxa"/>
          </w:tcPr>
          <w:p w14:paraId="482FE151" w14:textId="683E793B" w:rsidR="00A70691" w:rsidRPr="00E40AEB" w:rsidRDefault="00485F25" w:rsidP="00303DD2">
            <w:pPr>
              <w:spacing w:line="480" w:lineRule="auto"/>
              <w:jc w:val="both"/>
              <w:rPr>
                <w:b/>
                <w:bCs/>
                <w:sz w:val="20"/>
                <w:szCs w:val="20"/>
              </w:rPr>
            </w:pPr>
            <w:r>
              <w:rPr>
                <w:b/>
                <w:bCs/>
                <w:sz w:val="20"/>
                <w:szCs w:val="20"/>
              </w:rPr>
              <w:t xml:space="preserve">ICD-9/ </w:t>
            </w:r>
            <w:r w:rsidR="0000154C" w:rsidRPr="00E40AEB">
              <w:rPr>
                <w:b/>
                <w:bCs/>
                <w:sz w:val="20"/>
                <w:szCs w:val="20"/>
              </w:rPr>
              <w:t>ICD</w:t>
            </w:r>
            <w:r>
              <w:rPr>
                <w:b/>
                <w:bCs/>
                <w:sz w:val="20"/>
                <w:szCs w:val="20"/>
              </w:rPr>
              <w:t>-10</w:t>
            </w:r>
            <w:r w:rsidR="005D4BA4" w:rsidRPr="00E40AEB">
              <w:rPr>
                <w:b/>
                <w:bCs/>
                <w:sz w:val="20"/>
                <w:szCs w:val="20"/>
              </w:rPr>
              <w:t xml:space="preserve"> </w:t>
            </w:r>
            <w:r w:rsidR="00E40AEB" w:rsidRPr="00E40AEB">
              <w:rPr>
                <w:b/>
                <w:bCs/>
                <w:sz w:val="20"/>
                <w:szCs w:val="20"/>
              </w:rPr>
              <w:t>C</w:t>
            </w:r>
            <w:r w:rsidR="005D4BA4" w:rsidRPr="00E40AEB">
              <w:rPr>
                <w:b/>
                <w:bCs/>
                <w:sz w:val="20"/>
                <w:szCs w:val="20"/>
              </w:rPr>
              <w:t>odes</w:t>
            </w:r>
          </w:p>
        </w:tc>
        <w:tc>
          <w:tcPr>
            <w:tcW w:w="4495" w:type="dxa"/>
          </w:tcPr>
          <w:p w14:paraId="6FE3AC67" w14:textId="47A43730" w:rsidR="00A70691" w:rsidRPr="00E40AEB" w:rsidRDefault="005D4BA4" w:rsidP="00303DD2">
            <w:pPr>
              <w:spacing w:line="480" w:lineRule="auto"/>
              <w:jc w:val="both"/>
              <w:rPr>
                <w:b/>
                <w:bCs/>
                <w:sz w:val="20"/>
                <w:szCs w:val="20"/>
              </w:rPr>
            </w:pPr>
            <w:r w:rsidRPr="00E40AEB">
              <w:rPr>
                <w:b/>
                <w:bCs/>
                <w:sz w:val="20"/>
                <w:szCs w:val="20"/>
              </w:rPr>
              <w:t>HCP</w:t>
            </w:r>
            <w:r w:rsidR="00E40AEB" w:rsidRPr="00E40AEB">
              <w:rPr>
                <w:b/>
                <w:bCs/>
                <w:sz w:val="20"/>
                <w:szCs w:val="20"/>
              </w:rPr>
              <w:t>CS Codes</w:t>
            </w:r>
          </w:p>
        </w:tc>
      </w:tr>
      <w:tr w:rsidR="00303DD2" w14:paraId="3F974C78" w14:textId="77777777" w:rsidTr="00303DD2">
        <w:tc>
          <w:tcPr>
            <w:tcW w:w="1394" w:type="dxa"/>
          </w:tcPr>
          <w:p w14:paraId="6BFF7A90" w14:textId="4218B831" w:rsidR="00A70691" w:rsidRDefault="00075FC4" w:rsidP="00303DD2">
            <w:pPr>
              <w:spacing w:line="480" w:lineRule="auto"/>
              <w:jc w:val="both"/>
              <w:rPr>
                <w:sz w:val="20"/>
                <w:szCs w:val="20"/>
              </w:rPr>
            </w:pPr>
            <w:r>
              <w:rPr>
                <w:sz w:val="20"/>
                <w:szCs w:val="20"/>
              </w:rPr>
              <w:t>Radiotherapy</w:t>
            </w:r>
          </w:p>
        </w:tc>
        <w:tc>
          <w:tcPr>
            <w:tcW w:w="4181" w:type="dxa"/>
          </w:tcPr>
          <w:p w14:paraId="430DE94A" w14:textId="483635D7" w:rsidR="00A70691" w:rsidRPr="001017AD" w:rsidRDefault="00931A5A" w:rsidP="00303DD2">
            <w:pPr>
              <w:autoSpaceDE w:val="0"/>
              <w:autoSpaceDN w:val="0"/>
              <w:adjustRightInd w:val="0"/>
              <w:spacing w:line="480" w:lineRule="auto"/>
              <w:rPr>
                <w:color w:val="000000"/>
                <w:sz w:val="20"/>
                <w:szCs w:val="20"/>
                <w:shd w:val="clear" w:color="auto" w:fill="FFFFFF"/>
              </w:rPr>
            </w:pPr>
            <w:r w:rsidRPr="001017AD">
              <w:rPr>
                <w:color w:val="000000" w:themeColor="text1"/>
                <w:sz w:val="20"/>
                <w:szCs w:val="20"/>
                <w:shd w:val="clear" w:color="auto" w:fill="FFFFFF"/>
              </w:rPr>
              <w:t>9220,</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9221,</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9222,</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9223,</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9224,</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9225,</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9226,</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9227,</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9228,</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9229,</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923,</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9230</w:t>
            </w:r>
            <w:r w:rsidR="00285001" w:rsidRPr="001017AD">
              <w:rPr>
                <w:color w:val="000000" w:themeColor="text1"/>
                <w:sz w:val="20"/>
                <w:szCs w:val="20"/>
                <w:shd w:val="clear" w:color="auto" w:fill="FFFFFF"/>
              </w:rPr>
              <w:t>,</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9231,</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9232,</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9233,</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9239,</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924,</w:t>
            </w:r>
            <w:r w:rsidR="00C821D1"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9241</w:t>
            </w:r>
            <w:r w:rsidR="00430A20" w:rsidRPr="001017AD">
              <w:rPr>
                <w:color w:val="000000" w:themeColor="text1"/>
                <w:sz w:val="20"/>
                <w:szCs w:val="20"/>
                <w:shd w:val="clear" w:color="auto" w:fill="FFFFFF"/>
              </w:rPr>
              <w:t>, V58</w:t>
            </w:r>
            <w:r w:rsidR="001A5CA4" w:rsidRPr="001017AD">
              <w:rPr>
                <w:color w:val="000000" w:themeColor="text1"/>
                <w:sz w:val="20"/>
                <w:szCs w:val="20"/>
                <w:shd w:val="clear" w:color="auto" w:fill="FFFFFF"/>
              </w:rPr>
              <w:t>.</w:t>
            </w:r>
            <w:r w:rsidR="00430A20" w:rsidRPr="001017AD">
              <w:rPr>
                <w:color w:val="000000" w:themeColor="text1"/>
                <w:sz w:val="20"/>
                <w:szCs w:val="20"/>
                <w:shd w:val="clear" w:color="auto" w:fill="FFFFFF"/>
              </w:rPr>
              <w:t>0, Z51</w:t>
            </w:r>
            <w:r w:rsidR="00485F25" w:rsidRPr="001017AD">
              <w:rPr>
                <w:color w:val="000000" w:themeColor="text1"/>
                <w:sz w:val="20"/>
                <w:szCs w:val="20"/>
                <w:shd w:val="clear" w:color="auto" w:fill="FFFFFF"/>
              </w:rPr>
              <w:t>.</w:t>
            </w:r>
            <w:r w:rsidR="00430A20" w:rsidRPr="001017AD">
              <w:rPr>
                <w:color w:val="000000" w:themeColor="text1"/>
                <w:sz w:val="20"/>
                <w:szCs w:val="20"/>
                <w:shd w:val="clear" w:color="auto" w:fill="FFFFFF"/>
              </w:rPr>
              <w:t>0</w:t>
            </w:r>
          </w:p>
        </w:tc>
        <w:tc>
          <w:tcPr>
            <w:tcW w:w="4495" w:type="dxa"/>
          </w:tcPr>
          <w:p w14:paraId="07BB82D8" w14:textId="072E9558" w:rsidR="00A70691" w:rsidRDefault="000C3AB5" w:rsidP="00303DD2">
            <w:pPr>
              <w:spacing w:line="480" w:lineRule="auto"/>
              <w:jc w:val="both"/>
              <w:rPr>
                <w:sz w:val="20"/>
                <w:szCs w:val="20"/>
              </w:rPr>
            </w:pPr>
            <w:r w:rsidRPr="000C3AB5">
              <w:rPr>
                <w:sz w:val="20"/>
                <w:szCs w:val="20"/>
              </w:rPr>
              <w:t>61793, 61796, 61797, 61798, 61799, 61800, 63620, 63621, 77261, 77262, 77263, 77280, 77285, 77290, 77295, 77299, 77300, 77301, 77331, 77332, 77333, 77334, 77336, 77338, 77370, 77371, 77372, 77373, 77385, 77386, 77399, 77401, 77402, 77403, 77404, 77406, 77407, 77408, 77409, 77411, 77412, 77413, 77414, 77416, 77417, 77418, 77421, 77422, 77423, 77424, 77425, 77427, 77431, 77432, 77435, 77470, 77499, 77520, 77522, 77523, 77525, 77761, 77762, 77763, 77767, 77768, 77770, 77771, 77772, 77776, 77777, 77778, 77781, 77782, 77783, 77784, 77785, 77786, 77787, 77789, 77799, 0073T, 0082T, 0083T, 0182T, 0394T, 0395T, G0173, G0174, G0178, G0242, G0243, G0251, G0339, G0340, G6003, G6004, G6005, G6006, G6007, G6008, G6009, G6010, G6011, G6012, G6013, G6014, G6015, G6016</w:t>
            </w:r>
          </w:p>
        </w:tc>
      </w:tr>
      <w:tr w:rsidR="00303DD2" w14:paraId="400D90DA" w14:textId="77777777" w:rsidTr="00303DD2">
        <w:tc>
          <w:tcPr>
            <w:tcW w:w="1394" w:type="dxa"/>
          </w:tcPr>
          <w:p w14:paraId="2A5D73AF" w14:textId="16A9E867" w:rsidR="00A70691" w:rsidRDefault="006D696E" w:rsidP="00303DD2">
            <w:pPr>
              <w:spacing w:line="480" w:lineRule="auto"/>
              <w:jc w:val="both"/>
              <w:rPr>
                <w:sz w:val="20"/>
                <w:szCs w:val="20"/>
              </w:rPr>
            </w:pPr>
            <w:r>
              <w:rPr>
                <w:sz w:val="20"/>
                <w:szCs w:val="20"/>
              </w:rPr>
              <w:t>Chemotherapy</w:t>
            </w:r>
          </w:p>
        </w:tc>
        <w:tc>
          <w:tcPr>
            <w:tcW w:w="4181" w:type="dxa"/>
          </w:tcPr>
          <w:p w14:paraId="5E2BBD1D" w14:textId="02C46401" w:rsidR="00A70691" w:rsidRPr="001017AD" w:rsidRDefault="008466A8" w:rsidP="00303DD2">
            <w:pPr>
              <w:autoSpaceDE w:val="0"/>
              <w:autoSpaceDN w:val="0"/>
              <w:adjustRightInd w:val="0"/>
              <w:spacing w:line="480" w:lineRule="auto"/>
              <w:rPr>
                <w:color w:val="000000"/>
                <w:sz w:val="20"/>
                <w:szCs w:val="20"/>
                <w:shd w:val="clear" w:color="auto" w:fill="FFFFFF"/>
              </w:rPr>
            </w:pPr>
            <w:r w:rsidRPr="001017AD">
              <w:rPr>
                <w:color w:val="000000" w:themeColor="text1"/>
                <w:sz w:val="20"/>
                <w:szCs w:val="20"/>
                <w:shd w:val="clear" w:color="auto" w:fill="FFFFFF"/>
              </w:rPr>
              <w:t>V581, V672, V662, Z5111, Z5112, 9925, 3E03305, 3E04305, XW03351, XW033B3, XW033C3, XW04351, XW043B3, XW043C3</w:t>
            </w:r>
          </w:p>
        </w:tc>
        <w:tc>
          <w:tcPr>
            <w:tcW w:w="4495" w:type="dxa"/>
          </w:tcPr>
          <w:p w14:paraId="308B244E" w14:textId="77777777" w:rsidR="00D74B1A" w:rsidRPr="001017AD" w:rsidRDefault="00D74B1A" w:rsidP="00303DD2">
            <w:pPr>
              <w:autoSpaceDE w:val="0"/>
              <w:autoSpaceDN w:val="0"/>
              <w:adjustRightInd w:val="0"/>
              <w:spacing w:line="480" w:lineRule="auto"/>
              <w:rPr>
                <w:color w:val="000000" w:themeColor="text1"/>
                <w:sz w:val="20"/>
                <w:szCs w:val="20"/>
                <w:shd w:val="clear" w:color="auto" w:fill="FFFFFF"/>
              </w:rPr>
            </w:pPr>
          </w:p>
          <w:p w14:paraId="4F02F8BF" w14:textId="64FCA285" w:rsidR="00A70691" w:rsidRPr="001017AD" w:rsidRDefault="00D74B1A" w:rsidP="00303DD2">
            <w:pPr>
              <w:spacing w:line="480" w:lineRule="auto"/>
              <w:jc w:val="both"/>
              <w:rPr>
                <w:color w:val="000000" w:themeColor="text1"/>
                <w:sz w:val="20"/>
                <w:szCs w:val="20"/>
              </w:rPr>
            </w:pPr>
            <w:r w:rsidRPr="001017AD">
              <w:rPr>
                <w:color w:val="000000" w:themeColor="text1"/>
                <w:sz w:val="20"/>
                <w:szCs w:val="20"/>
                <w:shd w:val="clear" w:color="auto" w:fill="FFFFFF"/>
              </w:rPr>
              <w:t>96400-96549, Q0083-Q0085, J9000-J9999, G0355-G0362, G9021-G9032, J0640, J8510, J8520, J8521, J8530, J8560, J8565, J8600, J8610, J8700, J8999, C1178, C8953, C8954, C8955, C9120, C9253, C9414, C9420, C9421, C9425, C9427, C9431, C9432, C9433, C9127, J8705, Q2049, Q2050</w:t>
            </w:r>
          </w:p>
        </w:tc>
      </w:tr>
      <w:tr w:rsidR="00303DD2" w14:paraId="73F20047" w14:textId="77777777" w:rsidTr="00303DD2">
        <w:tc>
          <w:tcPr>
            <w:tcW w:w="1394" w:type="dxa"/>
          </w:tcPr>
          <w:p w14:paraId="637AD063" w14:textId="24D5FBC1" w:rsidR="00A70691" w:rsidRDefault="00931CCA" w:rsidP="00303DD2">
            <w:pPr>
              <w:spacing w:line="480" w:lineRule="auto"/>
              <w:jc w:val="both"/>
              <w:rPr>
                <w:sz w:val="20"/>
                <w:szCs w:val="20"/>
              </w:rPr>
            </w:pPr>
            <w:r>
              <w:rPr>
                <w:sz w:val="20"/>
                <w:szCs w:val="20"/>
              </w:rPr>
              <w:t xml:space="preserve">HER-2 </w:t>
            </w:r>
            <w:r w:rsidR="00A77AB5">
              <w:rPr>
                <w:sz w:val="20"/>
                <w:szCs w:val="20"/>
              </w:rPr>
              <w:t>based t</w:t>
            </w:r>
            <w:r>
              <w:rPr>
                <w:sz w:val="20"/>
                <w:szCs w:val="20"/>
              </w:rPr>
              <w:t>herapy</w:t>
            </w:r>
          </w:p>
        </w:tc>
        <w:tc>
          <w:tcPr>
            <w:tcW w:w="4181" w:type="dxa"/>
          </w:tcPr>
          <w:p w14:paraId="799953F5" w14:textId="77777777" w:rsidR="00A70691" w:rsidRPr="001017AD" w:rsidRDefault="00A70691" w:rsidP="00303DD2">
            <w:pPr>
              <w:spacing w:line="480" w:lineRule="auto"/>
              <w:jc w:val="both"/>
              <w:rPr>
                <w:sz w:val="20"/>
                <w:szCs w:val="20"/>
              </w:rPr>
            </w:pPr>
          </w:p>
        </w:tc>
        <w:tc>
          <w:tcPr>
            <w:tcW w:w="4495" w:type="dxa"/>
          </w:tcPr>
          <w:p w14:paraId="7E949B15" w14:textId="540C3AEF" w:rsidR="00931CCA" w:rsidRPr="001017AD" w:rsidRDefault="00931CCA" w:rsidP="00303DD2">
            <w:pPr>
              <w:autoSpaceDE w:val="0"/>
              <w:autoSpaceDN w:val="0"/>
              <w:adjustRightInd w:val="0"/>
              <w:spacing w:line="480" w:lineRule="auto"/>
              <w:rPr>
                <w:color w:val="000000" w:themeColor="text1"/>
                <w:sz w:val="20"/>
                <w:szCs w:val="20"/>
                <w:shd w:val="clear" w:color="auto" w:fill="FFFFFF"/>
              </w:rPr>
            </w:pPr>
            <w:r w:rsidRPr="001017AD">
              <w:rPr>
                <w:color w:val="000000" w:themeColor="text1"/>
                <w:sz w:val="20"/>
                <w:szCs w:val="20"/>
                <w:shd w:val="clear" w:color="auto" w:fill="FFFFFF"/>
              </w:rPr>
              <w:t>J9355</w:t>
            </w:r>
            <w:r w:rsidR="00E27A9C"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J9354</w:t>
            </w:r>
            <w:r w:rsidR="00E27A9C" w:rsidRPr="001017AD">
              <w:rPr>
                <w:color w:val="000000" w:themeColor="text1"/>
                <w:sz w:val="20"/>
                <w:szCs w:val="20"/>
                <w:shd w:val="clear" w:color="auto" w:fill="FFFFFF"/>
              </w:rPr>
              <w:t xml:space="preserve">, </w:t>
            </w:r>
            <w:r w:rsidRPr="001017AD">
              <w:rPr>
                <w:color w:val="000000" w:themeColor="text1"/>
                <w:sz w:val="20"/>
                <w:szCs w:val="20"/>
                <w:shd w:val="clear" w:color="auto" w:fill="FFFFFF"/>
              </w:rPr>
              <w:t>J9306</w:t>
            </w:r>
          </w:p>
          <w:p w14:paraId="260E76EE" w14:textId="77777777" w:rsidR="00931CCA" w:rsidRPr="001017AD" w:rsidRDefault="00931CCA" w:rsidP="00303DD2">
            <w:pPr>
              <w:autoSpaceDE w:val="0"/>
              <w:autoSpaceDN w:val="0"/>
              <w:adjustRightInd w:val="0"/>
              <w:spacing w:line="480" w:lineRule="auto"/>
              <w:rPr>
                <w:color w:val="000000"/>
                <w:sz w:val="20"/>
                <w:szCs w:val="20"/>
                <w:shd w:val="clear" w:color="auto" w:fill="FFFFFF"/>
              </w:rPr>
            </w:pPr>
            <w:r w:rsidRPr="001017AD">
              <w:rPr>
                <w:color w:val="000000"/>
                <w:sz w:val="20"/>
                <w:szCs w:val="20"/>
                <w:shd w:val="clear" w:color="auto" w:fill="FFFFFF"/>
              </w:rPr>
              <w:tab/>
            </w:r>
          </w:p>
          <w:p w14:paraId="0A36D0B9" w14:textId="2F187AC9" w:rsidR="00A70691" w:rsidRPr="001017AD" w:rsidRDefault="00A70691" w:rsidP="00303DD2">
            <w:pPr>
              <w:spacing w:line="480" w:lineRule="auto"/>
              <w:jc w:val="both"/>
              <w:rPr>
                <w:sz w:val="20"/>
                <w:szCs w:val="20"/>
              </w:rPr>
            </w:pPr>
          </w:p>
        </w:tc>
      </w:tr>
      <w:tr w:rsidR="00303DD2" w14:paraId="39166448" w14:textId="77777777" w:rsidTr="00303DD2">
        <w:tc>
          <w:tcPr>
            <w:tcW w:w="1394" w:type="dxa"/>
          </w:tcPr>
          <w:p w14:paraId="2601910A" w14:textId="5573DDE6" w:rsidR="00A70691" w:rsidRDefault="00E27A9C" w:rsidP="00303DD2">
            <w:pPr>
              <w:spacing w:line="480" w:lineRule="auto"/>
              <w:jc w:val="both"/>
              <w:rPr>
                <w:sz w:val="20"/>
                <w:szCs w:val="20"/>
              </w:rPr>
            </w:pPr>
            <w:r>
              <w:rPr>
                <w:sz w:val="20"/>
                <w:szCs w:val="20"/>
              </w:rPr>
              <w:lastRenderedPageBreak/>
              <w:t xml:space="preserve">Bone </w:t>
            </w:r>
            <w:r w:rsidR="008D6F3F">
              <w:rPr>
                <w:sz w:val="20"/>
                <w:szCs w:val="20"/>
              </w:rPr>
              <w:t>m</w:t>
            </w:r>
            <w:r>
              <w:rPr>
                <w:sz w:val="20"/>
                <w:szCs w:val="20"/>
              </w:rPr>
              <w:t xml:space="preserve">odifying </w:t>
            </w:r>
            <w:r w:rsidR="008D6F3F">
              <w:rPr>
                <w:sz w:val="20"/>
                <w:szCs w:val="20"/>
              </w:rPr>
              <w:t>a</w:t>
            </w:r>
            <w:r>
              <w:rPr>
                <w:sz w:val="20"/>
                <w:szCs w:val="20"/>
              </w:rPr>
              <w:t>gent</w:t>
            </w:r>
          </w:p>
        </w:tc>
        <w:tc>
          <w:tcPr>
            <w:tcW w:w="4181" w:type="dxa"/>
          </w:tcPr>
          <w:p w14:paraId="25260008" w14:textId="33396E54" w:rsidR="00A70691" w:rsidRPr="001017AD" w:rsidRDefault="000324DD" w:rsidP="00303DD2">
            <w:pPr>
              <w:spacing w:line="480" w:lineRule="auto"/>
              <w:jc w:val="both"/>
              <w:rPr>
                <w:sz w:val="20"/>
                <w:szCs w:val="20"/>
              </w:rPr>
            </w:pPr>
            <w:r w:rsidRPr="001017AD">
              <w:rPr>
                <w:color w:val="000000" w:themeColor="text1"/>
                <w:sz w:val="20"/>
                <w:szCs w:val="20"/>
                <w:shd w:val="clear" w:color="auto" w:fill="FFFFFF"/>
              </w:rPr>
              <w:t>E9337</w:t>
            </w:r>
          </w:p>
        </w:tc>
        <w:tc>
          <w:tcPr>
            <w:tcW w:w="4495" w:type="dxa"/>
          </w:tcPr>
          <w:p w14:paraId="3DDBECC0" w14:textId="3E66C415" w:rsidR="00A70691" w:rsidRDefault="001017AD" w:rsidP="00303DD2">
            <w:pPr>
              <w:spacing w:line="480" w:lineRule="auto"/>
              <w:jc w:val="both"/>
              <w:rPr>
                <w:sz w:val="20"/>
                <w:szCs w:val="20"/>
              </w:rPr>
            </w:pPr>
            <w:r w:rsidRPr="001017AD">
              <w:rPr>
                <w:sz w:val="20"/>
                <w:szCs w:val="20"/>
              </w:rPr>
              <w:t>4100F, J3487, J3488, J3489, J1740, J2430, J0897</w:t>
            </w:r>
          </w:p>
        </w:tc>
      </w:tr>
      <w:tr w:rsidR="001017AD" w14:paraId="3A051AAA" w14:textId="77777777" w:rsidTr="00303DD2">
        <w:tc>
          <w:tcPr>
            <w:tcW w:w="1394" w:type="dxa"/>
          </w:tcPr>
          <w:p w14:paraId="59681CFF" w14:textId="35A6FD6D" w:rsidR="001017AD" w:rsidRDefault="0031670E" w:rsidP="00303DD2">
            <w:pPr>
              <w:spacing w:line="480" w:lineRule="auto"/>
              <w:jc w:val="both"/>
              <w:rPr>
                <w:sz w:val="20"/>
                <w:szCs w:val="20"/>
              </w:rPr>
            </w:pPr>
            <w:r>
              <w:rPr>
                <w:sz w:val="20"/>
                <w:szCs w:val="20"/>
              </w:rPr>
              <w:t>Breast cancer related i</w:t>
            </w:r>
            <w:r w:rsidR="000069AC">
              <w:rPr>
                <w:sz w:val="20"/>
                <w:szCs w:val="20"/>
              </w:rPr>
              <w:t>maging</w:t>
            </w:r>
          </w:p>
        </w:tc>
        <w:tc>
          <w:tcPr>
            <w:tcW w:w="4181" w:type="dxa"/>
          </w:tcPr>
          <w:p w14:paraId="0A2D3C7B" w14:textId="16AF02C0" w:rsidR="001017AD" w:rsidRPr="00FE4416" w:rsidRDefault="009A4AC0" w:rsidP="00303DD2">
            <w:pPr>
              <w:spacing w:line="480" w:lineRule="auto"/>
              <w:jc w:val="both"/>
              <w:rPr>
                <w:color w:val="000000" w:themeColor="text1"/>
                <w:sz w:val="20"/>
                <w:szCs w:val="20"/>
                <w:shd w:val="clear" w:color="auto" w:fill="FFFFFF"/>
              </w:rPr>
            </w:pPr>
            <w:r w:rsidRPr="00FE4416">
              <w:rPr>
                <w:color w:val="000000" w:themeColor="text1"/>
                <w:sz w:val="20"/>
                <w:szCs w:val="20"/>
                <w:shd w:val="clear" w:color="auto" w:fill="FFFFFF"/>
              </w:rPr>
              <w:t xml:space="preserve">V7612, </w:t>
            </w:r>
            <w:r w:rsidR="00BC054B" w:rsidRPr="00FE4416">
              <w:rPr>
                <w:color w:val="000000" w:themeColor="text1"/>
                <w:sz w:val="20"/>
                <w:szCs w:val="20"/>
                <w:shd w:val="clear" w:color="auto" w:fill="FFFFFF"/>
              </w:rPr>
              <w:t>8801,8736, 8737, 8741</w:t>
            </w:r>
            <w:r w:rsidR="00FE4416" w:rsidRPr="00FE4416">
              <w:rPr>
                <w:color w:val="000000" w:themeColor="text1"/>
                <w:sz w:val="20"/>
                <w:szCs w:val="20"/>
                <w:shd w:val="clear" w:color="auto" w:fill="FFFFFF"/>
              </w:rPr>
              <w:t>, BR27ZZZ, BR270ZZ, BR271ZZ, BR27YZZ, BP2W0ZZ, BP2W1ZZ, BP2WYZZ, BR291ZZ, BR290ZZ, BR29YZZ, BR29ZZZ, BW241ZZ, BW241ZZ, BW24YZZ, BW24ZZZ, BW24YZZ, BW24Y0Z, BW241ZZ, BW24ZZZ, BW2410Z, BW240ZZ, BW2400Z, BW20ZZZ, BW2000Z, BW2010Z, BW200ZZ, BW201ZZ, BW20YZZ, BW20Y0Z, BW25ZZZ, BW2500Z, BW250ZZ, BW251ZZ, BW25YZZ, BW2510Z, BW25Y0Z, BW21ZZZ, BW210ZZ, BW211ZZ, BW21YZZ, BW2100Z, BW2110Z, BW21Y0Z, BW2GZZZ, BW2G0ZZ, BW2G1ZZ, BW2GYZZ, BW2G00Z, BW2G0ZZ, BW2G10Z, BW2GY0Z, BR2C0ZZ, BR2C1ZZ, BR2CYZZ, BR2CZZZ, BW28ZZZ, BW280ZZ, BW281ZZ, BW28YZZ, BR20ZZZ, BR200ZZ, BR201ZZ, BR20YZZ, BW29ZZZ, BW290ZZ, BW291ZZ, BW29YZZ, B030ZZZ, BR30ZZZ, BR37ZZZ, B03BZZZ, BR39ZZZ, Z1231, Z85831, Z8589, Z9886</w:t>
            </w:r>
            <w:r w:rsidR="00D86806">
              <w:rPr>
                <w:color w:val="000000" w:themeColor="text1"/>
                <w:sz w:val="20"/>
                <w:szCs w:val="20"/>
                <w:shd w:val="clear" w:color="auto" w:fill="FFFFFF"/>
              </w:rPr>
              <w:t xml:space="preserve">, </w:t>
            </w:r>
            <w:r w:rsidR="00D86806" w:rsidRPr="00D86806">
              <w:rPr>
                <w:color w:val="000000" w:themeColor="text1"/>
                <w:sz w:val="20"/>
                <w:szCs w:val="20"/>
                <w:shd w:val="clear" w:color="auto" w:fill="FFFFFF"/>
              </w:rPr>
              <w:t>BH3</w:t>
            </w:r>
          </w:p>
        </w:tc>
        <w:tc>
          <w:tcPr>
            <w:tcW w:w="4495" w:type="dxa"/>
          </w:tcPr>
          <w:p w14:paraId="0475E5FF" w14:textId="3DD00F70" w:rsidR="001017AD" w:rsidRPr="001017AD" w:rsidRDefault="00134F58" w:rsidP="00303DD2">
            <w:pPr>
              <w:spacing w:line="480" w:lineRule="auto"/>
              <w:jc w:val="both"/>
              <w:rPr>
                <w:sz w:val="20"/>
                <w:szCs w:val="20"/>
              </w:rPr>
            </w:pPr>
            <w:r w:rsidRPr="00134F58">
              <w:rPr>
                <w:sz w:val="20"/>
                <w:szCs w:val="20"/>
              </w:rPr>
              <w:t>72128-72130, 0633T-0638T, 74174-74178, 72191-72194, 78830-78832, 78429-78433, 78811-78816, C8903-C8908, 77058-77059, 76641-77045, 77046-77054, 70480-70492, 72125-72127, 70540-70559, 72146-72149, 72157-72159, C8931-C8933, 72192-72198, 77078-77085, 74150-74170, 74176-74178, 74181-74183, 78811-78816, 77051-77067, G0202-G0207, 76090-76092, 71045-71048, 71271, 71250, 71260, 71270, G9556, G9557, G9754, 74150, 74160, 74170, 75635, 78831, 78832, 77078, 78803, 3269F, 3270F, 78300, 78305, 78306, 78315, G9471, 78459, 78491, 78492, 78608, 78609, G0235, G0252, C1770, C8937, 77022, 76498, 0159T, 76093, 76094, 70450, 70460, 70470, 70336, 72141, 72142, 72156, 71551, 71552, 76977, 76376, 76377, 77011, 77021, 77031, 77032, A4550, A4649, G0279, 3014F, 78800, 78801, 72170, 72190, 73551, 73552, 71100, 71101, 71111, 71110, 71120, 71130</w:t>
            </w:r>
          </w:p>
        </w:tc>
      </w:tr>
      <w:tr w:rsidR="00134F58" w14:paraId="658FAB85" w14:textId="77777777" w:rsidTr="00303DD2">
        <w:tc>
          <w:tcPr>
            <w:tcW w:w="1394" w:type="dxa"/>
          </w:tcPr>
          <w:p w14:paraId="0A787E3A" w14:textId="284DAD63" w:rsidR="00134F58" w:rsidRDefault="0031670E" w:rsidP="00303DD2">
            <w:pPr>
              <w:spacing w:line="480" w:lineRule="auto"/>
              <w:jc w:val="both"/>
              <w:rPr>
                <w:sz w:val="20"/>
                <w:szCs w:val="20"/>
              </w:rPr>
            </w:pPr>
            <w:r>
              <w:rPr>
                <w:sz w:val="20"/>
                <w:szCs w:val="20"/>
              </w:rPr>
              <w:t>Breast cancer related t</w:t>
            </w:r>
            <w:r w:rsidR="00E43EB8">
              <w:rPr>
                <w:sz w:val="20"/>
                <w:szCs w:val="20"/>
              </w:rPr>
              <w:t xml:space="preserve">esting </w:t>
            </w:r>
          </w:p>
        </w:tc>
        <w:tc>
          <w:tcPr>
            <w:tcW w:w="4181" w:type="dxa"/>
          </w:tcPr>
          <w:p w14:paraId="4B8F3662" w14:textId="5487894E" w:rsidR="00134F58" w:rsidRPr="00FE4416" w:rsidRDefault="005C6B7F" w:rsidP="00303DD2">
            <w:pPr>
              <w:spacing w:line="480" w:lineRule="auto"/>
              <w:jc w:val="both"/>
              <w:rPr>
                <w:color w:val="000000" w:themeColor="text1"/>
                <w:sz w:val="20"/>
                <w:szCs w:val="20"/>
                <w:shd w:val="clear" w:color="auto" w:fill="FFFFFF"/>
              </w:rPr>
            </w:pPr>
            <w:r w:rsidRPr="005C6B7F">
              <w:rPr>
                <w:color w:val="000000" w:themeColor="text1"/>
                <w:sz w:val="20"/>
                <w:szCs w:val="20"/>
                <w:shd w:val="clear" w:color="auto" w:fill="FFFFFF"/>
              </w:rPr>
              <w:t>7749, 8511, 8512, 8510</w:t>
            </w:r>
          </w:p>
        </w:tc>
        <w:tc>
          <w:tcPr>
            <w:tcW w:w="4495" w:type="dxa"/>
          </w:tcPr>
          <w:p w14:paraId="50263A19" w14:textId="7FFF1A1E" w:rsidR="00134F58" w:rsidRPr="00134F58" w:rsidRDefault="00E745FF" w:rsidP="00303DD2">
            <w:pPr>
              <w:spacing w:line="480" w:lineRule="auto"/>
              <w:jc w:val="both"/>
              <w:rPr>
                <w:sz w:val="20"/>
                <w:szCs w:val="20"/>
              </w:rPr>
            </w:pPr>
            <w:r w:rsidRPr="00E745FF">
              <w:rPr>
                <w:sz w:val="20"/>
                <w:szCs w:val="20"/>
              </w:rPr>
              <w:t xml:space="preserve">38220-38259, 31628-31633, 19081-19086, 19100-19103, 19281-19288, 10004-10012, 80500-80502, 86805-86999, 86900-86901, 47000, 47001, 47100, 20220, 20225, 20240, 20245, 20250, 20251, C2613, </w:t>
            </w:r>
            <w:r w:rsidRPr="00E745FF">
              <w:rPr>
                <w:sz w:val="20"/>
                <w:szCs w:val="20"/>
              </w:rPr>
              <w:lastRenderedPageBreak/>
              <w:t>19000, 19001, 19110, 19112, 19120, 19125, 19126, 19290, 19291, 19295, 76098, 76942, 76098, 76942, C7501, C7502, 10021, 85025, 85027, 85004, 85007, 85009</w:t>
            </w:r>
          </w:p>
        </w:tc>
      </w:tr>
    </w:tbl>
    <w:p w14:paraId="6A796331" w14:textId="77777777" w:rsidR="00A70691" w:rsidRPr="00982DE7" w:rsidRDefault="00A70691" w:rsidP="00BA494B">
      <w:pPr>
        <w:spacing w:line="480" w:lineRule="auto"/>
        <w:jc w:val="both"/>
        <w:rPr>
          <w:sz w:val="20"/>
          <w:szCs w:val="20"/>
        </w:rPr>
      </w:pPr>
    </w:p>
    <w:sectPr w:rsidR="00A70691" w:rsidRPr="00982DE7" w:rsidSect="00997CAA">
      <w:footerReference w:type="even" r:id="rId8"/>
      <w:footerReference w:type="default" r:id="rId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F62C9" w14:textId="77777777" w:rsidR="00997CAA" w:rsidRDefault="00997CAA">
      <w:r>
        <w:separator/>
      </w:r>
    </w:p>
  </w:endnote>
  <w:endnote w:type="continuationSeparator" w:id="0">
    <w:p w14:paraId="2252B598" w14:textId="77777777" w:rsidR="00997CAA" w:rsidRDefault="00997CAA">
      <w:r>
        <w:continuationSeparator/>
      </w:r>
    </w:p>
  </w:endnote>
  <w:endnote w:type="continuationNotice" w:id="1">
    <w:p w14:paraId="4919A8F0" w14:textId="77777777" w:rsidR="00997CAA" w:rsidRDefault="00997C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CDC42" w14:textId="48C6ACD4" w:rsidR="005006C4" w:rsidRDefault="005006C4" w:rsidP="00BC14C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p w14:paraId="201B085F" w14:textId="77777777" w:rsidR="005006C4" w:rsidRDefault="005006C4" w:rsidP="005006C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18981120"/>
      <w:docPartObj>
        <w:docPartGallery w:val="Page Numbers (Bottom of Page)"/>
        <w:docPartUnique/>
      </w:docPartObj>
    </w:sdtPr>
    <w:sdtContent>
      <w:p w14:paraId="3DB63808" w14:textId="1DA96815" w:rsidR="00BC14C5" w:rsidRDefault="00BC14C5" w:rsidP="0022125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13C5D">
          <w:rPr>
            <w:rStyle w:val="PageNumber"/>
            <w:noProof/>
          </w:rPr>
          <w:t>8</w:t>
        </w:r>
        <w:r>
          <w:rPr>
            <w:rStyle w:val="PageNumber"/>
          </w:rPr>
          <w:fldChar w:fldCharType="end"/>
        </w:r>
      </w:p>
    </w:sdtContent>
  </w:sdt>
  <w:p w14:paraId="62E67227" w14:textId="77777777" w:rsidR="00BC14C5" w:rsidRDefault="00BC14C5" w:rsidP="00BC14C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A9480" w14:textId="77777777" w:rsidR="00997CAA" w:rsidRDefault="00997CAA">
      <w:r>
        <w:separator/>
      </w:r>
    </w:p>
  </w:footnote>
  <w:footnote w:type="continuationSeparator" w:id="0">
    <w:p w14:paraId="2DEDFE85" w14:textId="77777777" w:rsidR="00997CAA" w:rsidRDefault="00997CAA">
      <w:r>
        <w:continuationSeparator/>
      </w:r>
    </w:p>
  </w:footnote>
  <w:footnote w:type="continuationNotice" w:id="1">
    <w:p w14:paraId="1A13A5F2" w14:textId="77777777" w:rsidR="00997CAA" w:rsidRDefault="00997CA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85DC6"/>
    <w:multiLevelType w:val="hybridMultilevel"/>
    <w:tmpl w:val="9906F8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EA04FF"/>
    <w:multiLevelType w:val="hybridMultilevel"/>
    <w:tmpl w:val="C290C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602582"/>
    <w:multiLevelType w:val="hybridMultilevel"/>
    <w:tmpl w:val="3E9E8AFA"/>
    <w:lvl w:ilvl="0" w:tplc="A844D8D0">
      <w:start w:val="1"/>
      <w:numFmt w:val="decimal"/>
      <w:lvlText w:val="%1."/>
      <w:lvlJc w:val="left"/>
      <w:pPr>
        <w:ind w:left="1000" w:hanging="6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A817F8"/>
    <w:multiLevelType w:val="hybridMultilevel"/>
    <w:tmpl w:val="E49CEDD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4B4C5E"/>
    <w:multiLevelType w:val="hybridMultilevel"/>
    <w:tmpl w:val="095A42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E71382"/>
    <w:multiLevelType w:val="hybridMultilevel"/>
    <w:tmpl w:val="44D2A1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AC752A"/>
    <w:multiLevelType w:val="hybridMultilevel"/>
    <w:tmpl w:val="98D80C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4B16AF"/>
    <w:multiLevelType w:val="multilevel"/>
    <w:tmpl w:val="F5F687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2628274">
    <w:abstractNumId w:val="4"/>
  </w:num>
  <w:num w:numId="2" w16cid:durableId="545987330">
    <w:abstractNumId w:val="2"/>
  </w:num>
  <w:num w:numId="3" w16cid:durableId="1531337517">
    <w:abstractNumId w:val="6"/>
  </w:num>
  <w:num w:numId="4" w16cid:durableId="1612587240">
    <w:abstractNumId w:val="5"/>
  </w:num>
  <w:num w:numId="5" w16cid:durableId="915015230">
    <w:abstractNumId w:val="7"/>
  </w:num>
  <w:num w:numId="6" w16cid:durableId="1197933522">
    <w:abstractNumId w:val="0"/>
  </w:num>
  <w:num w:numId="7" w16cid:durableId="51118102">
    <w:abstractNumId w:val="1"/>
  </w:num>
  <w:num w:numId="8" w16cid:durableId="5224776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DD6"/>
    <w:rsid w:val="00000EBF"/>
    <w:rsid w:val="00000F87"/>
    <w:rsid w:val="0000154C"/>
    <w:rsid w:val="00001A49"/>
    <w:rsid w:val="00001BEA"/>
    <w:rsid w:val="00001DD5"/>
    <w:rsid w:val="00002062"/>
    <w:rsid w:val="00002CE5"/>
    <w:rsid w:val="0000420C"/>
    <w:rsid w:val="000069AC"/>
    <w:rsid w:val="0000713A"/>
    <w:rsid w:val="00007227"/>
    <w:rsid w:val="00007D26"/>
    <w:rsid w:val="00010280"/>
    <w:rsid w:val="00010D1B"/>
    <w:rsid w:val="00011D3B"/>
    <w:rsid w:val="0001241C"/>
    <w:rsid w:val="000129A7"/>
    <w:rsid w:val="00012C3F"/>
    <w:rsid w:val="00012E53"/>
    <w:rsid w:val="00013724"/>
    <w:rsid w:val="00013C5D"/>
    <w:rsid w:val="00013EF0"/>
    <w:rsid w:val="00014D66"/>
    <w:rsid w:val="0001551F"/>
    <w:rsid w:val="0001558C"/>
    <w:rsid w:val="000157F3"/>
    <w:rsid w:val="00015A5E"/>
    <w:rsid w:val="00016038"/>
    <w:rsid w:val="00017934"/>
    <w:rsid w:val="000203A1"/>
    <w:rsid w:val="0002093C"/>
    <w:rsid w:val="00020C8D"/>
    <w:rsid w:val="0002156F"/>
    <w:rsid w:val="00021B50"/>
    <w:rsid w:val="00023625"/>
    <w:rsid w:val="00023961"/>
    <w:rsid w:val="00024D9C"/>
    <w:rsid w:val="000252D3"/>
    <w:rsid w:val="000252E3"/>
    <w:rsid w:val="00025714"/>
    <w:rsid w:val="000268C9"/>
    <w:rsid w:val="00027F82"/>
    <w:rsid w:val="000302E0"/>
    <w:rsid w:val="00031557"/>
    <w:rsid w:val="00031DF0"/>
    <w:rsid w:val="000320B2"/>
    <w:rsid w:val="000324DD"/>
    <w:rsid w:val="00032EEA"/>
    <w:rsid w:val="00033511"/>
    <w:rsid w:val="00033984"/>
    <w:rsid w:val="0003403F"/>
    <w:rsid w:val="000343E5"/>
    <w:rsid w:val="00035232"/>
    <w:rsid w:val="00041573"/>
    <w:rsid w:val="00041E0B"/>
    <w:rsid w:val="00043121"/>
    <w:rsid w:val="00044D2A"/>
    <w:rsid w:val="00045B0A"/>
    <w:rsid w:val="00046BD6"/>
    <w:rsid w:val="00046E12"/>
    <w:rsid w:val="00047179"/>
    <w:rsid w:val="00051995"/>
    <w:rsid w:val="00052D9A"/>
    <w:rsid w:val="000532BD"/>
    <w:rsid w:val="00053799"/>
    <w:rsid w:val="00053CF5"/>
    <w:rsid w:val="000541FD"/>
    <w:rsid w:val="00054578"/>
    <w:rsid w:val="00055699"/>
    <w:rsid w:val="0005574E"/>
    <w:rsid w:val="00056641"/>
    <w:rsid w:val="000600AC"/>
    <w:rsid w:val="00061ECF"/>
    <w:rsid w:val="00062820"/>
    <w:rsid w:val="0006588E"/>
    <w:rsid w:val="000662DB"/>
    <w:rsid w:val="0006639B"/>
    <w:rsid w:val="000668CC"/>
    <w:rsid w:val="00070128"/>
    <w:rsid w:val="00070CAD"/>
    <w:rsid w:val="00070CB4"/>
    <w:rsid w:val="00072416"/>
    <w:rsid w:val="00073671"/>
    <w:rsid w:val="000737B6"/>
    <w:rsid w:val="00073D5D"/>
    <w:rsid w:val="00075FC4"/>
    <w:rsid w:val="0007609A"/>
    <w:rsid w:val="00076C91"/>
    <w:rsid w:val="00076CA8"/>
    <w:rsid w:val="00076D49"/>
    <w:rsid w:val="0007702B"/>
    <w:rsid w:val="0007758E"/>
    <w:rsid w:val="00077807"/>
    <w:rsid w:val="00081671"/>
    <w:rsid w:val="00083205"/>
    <w:rsid w:val="00083D62"/>
    <w:rsid w:val="00084DE3"/>
    <w:rsid w:val="0008561F"/>
    <w:rsid w:val="00085D46"/>
    <w:rsid w:val="000872E1"/>
    <w:rsid w:val="000875FA"/>
    <w:rsid w:val="000916B5"/>
    <w:rsid w:val="00091A02"/>
    <w:rsid w:val="00092CFA"/>
    <w:rsid w:val="00092F6D"/>
    <w:rsid w:val="00093B26"/>
    <w:rsid w:val="00096A34"/>
    <w:rsid w:val="00097C78"/>
    <w:rsid w:val="000A00E4"/>
    <w:rsid w:val="000A0939"/>
    <w:rsid w:val="000A33B0"/>
    <w:rsid w:val="000A33F1"/>
    <w:rsid w:val="000A3855"/>
    <w:rsid w:val="000A3F8B"/>
    <w:rsid w:val="000A4E47"/>
    <w:rsid w:val="000A5B8C"/>
    <w:rsid w:val="000A5E67"/>
    <w:rsid w:val="000A7161"/>
    <w:rsid w:val="000A7708"/>
    <w:rsid w:val="000A7773"/>
    <w:rsid w:val="000B0225"/>
    <w:rsid w:val="000B02F4"/>
    <w:rsid w:val="000B0613"/>
    <w:rsid w:val="000B23F4"/>
    <w:rsid w:val="000B29B0"/>
    <w:rsid w:val="000B2F06"/>
    <w:rsid w:val="000B3143"/>
    <w:rsid w:val="000B34AB"/>
    <w:rsid w:val="000B3A0F"/>
    <w:rsid w:val="000B41FA"/>
    <w:rsid w:val="000B5188"/>
    <w:rsid w:val="000B7366"/>
    <w:rsid w:val="000B771D"/>
    <w:rsid w:val="000C031F"/>
    <w:rsid w:val="000C156A"/>
    <w:rsid w:val="000C2256"/>
    <w:rsid w:val="000C36D5"/>
    <w:rsid w:val="000C3814"/>
    <w:rsid w:val="000C399B"/>
    <w:rsid w:val="000C3AB5"/>
    <w:rsid w:val="000C3C3A"/>
    <w:rsid w:val="000C4A85"/>
    <w:rsid w:val="000C55CF"/>
    <w:rsid w:val="000C67E9"/>
    <w:rsid w:val="000C694F"/>
    <w:rsid w:val="000C7078"/>
    <w:rsid w:val="000C783F"/>
    <w:rsid w:val="000C7C75"/>
    <w:rsid w:val="000D13A9"/>
    <w:rsid w:val="000D14C3"/>
    <w:rsid w:val="000D1588"/>
    <w:rsid w:val="000D22D7"/>
    <w:rsid w:val="000D2652"/>
    <w:rsid w:val="000D26C7"/>
    <w:rsid w:val="000D39CE"/>
    <w:rsid w:val="000D3FE5"/>
    <w:rsid w:val="000D482D"/>
    <w:rsid w:val="000D4BC4"/>
    <w:rsid w:val="000D6E77"/>
    <w:rsid w:val="000D6FCF"/>
    <w:rsid w:val="000D7CB3"/>
    <w:rsid w:val="000D7F6C"/>
    <w:rsid w:val="000E05CE"/>
    <w:rsid w:val="000E06ED"/>
    <w:rsid w:val="000E2013"/>
    <w:rsid w:val="000E223B"/>
    <w:rsid w:val="000E321D"/>
    <w:rsid w:val="000E3580"/>
    <w:rsid w:val="000E3BF5"/>
    <w:rsid w:val="000E3C96"/>
    <w:rsid w:val="000E5091"/>
    <w:rsid w:val="000E5778"/>
    <w:rsid w:val="000E67BE"/>
    <w:rsid w:val="000E6E5D"/>
    <w:rsid w:val="000E7B2D"/>
    <w:rsid w:val="000F00B0"/>
    <w:rsid w:val="000F0213"/>
    <w:rsid w:val="000F04F7"/>
    <w:rsid w:val="000F0EE7"/>
    <w:rsid w:val="000F24EB"/>
    <w:rsid w:val="000F2772"/>
    <w:rsid w:val="000F4255"/>
    <w:rsid w:val="000F5115"/>
    <w:rsid w:val="000F515F"/>
    <w:rsid w:val="000F5E49"/>
    <w:rsid w:val="000F6A13"/>
    <w:rsid w:val="000F6CD2"/>
    <w:rsid w:val="00100523"/>
    <w:rsid w:val="00100E6B"/>
    <w:rsid w:val="001017AD"/>
    <w:rsid w:val="00101A0E"/>
    <w:rsid w:val="00102479"/>
    <w:rsid w:val="001028B5"/>
    <w:rsid w:val="00103E64"/>
    <w:rsid w:val="00104377"/>
    <w:rsid w:val="001062E6"/>
    <w:rsid w:val="00106AE7"/>
    <w:rsid w:val="00106DB5"/>
    <w:rsid w:val="00107D5C"/>
    <w:rsid w:val="001113AB"/>
    <w:rsid w:val="00111651"/>
    <w:rsid w:val="00111769"/>
    <w:rsid w:val="00111AD6"/>
    <w:rsid w:val="00112549"/>
    <w:rsid w:val="001130D8"/>
    <w:rsid w:val="00113DD6"/>
    <w:rsid w:val="0011454E"/>
    <w:rsid w:val="00115797"/>
    <w:rsid w:val="00115CF8"/>
    <w:rsid w:val="00115F8E"/>
    <w:rsid w:val="00116A4D"/>
    <w:rsid w:val="001174E6"/>
    <w:rsid w:val="001202A6"/>
    <w:rsid w:val="00120616"/>
    <w:rsid w:val="00120B2D"/>
    <w:rsid w:val="001211FA"/>
    <w:rsid w:val="00122670"/>
    <w:rsid w:val="0012377C"/>
    <w:rsid w:val="00123F44"/>
    <w:rsid w:val="00124F71"/>
    <w:rsid w:val="001251E6"/>
    <w:rsid w:val="001253B7"/>
    <w:rsid w:val="00127181"/>
    <w:rsid w:val="001306B3"/>
    <w:rsid w:val="00130FDE"/>
    <w:rsid w:val="00131363"/>
    <w:rsid w:val="00131919"/>
    <w:rsid w:val="001320A4"/>
    <w:rsid w:val="00132257"/>
    <w:rsid w:val="001325EA"/>
    <w:rsid w:val="001326CF"/>
    <w:rsid w:val="00132FEA"/>
    <w:rsid w:val="00134F58"/>
    <w:rsid w:val="001352BE"/>
    <w:rsid w:val="00136AF6"/>
    <w:rsid w:val="00137023"/>
    <w:rsid w:val="001372F9"/>
    <w:rsid w:val="00140186"/>
    <w:rsid w:val="00140F4B"/>
    <w:rsid w:val="00141349"/>
    <w:rsid w:val="001420CF"/>
    <w:rsid w:val="001423CB"/>
    <w:rsid w:val="0014269E"/>
    <w:rsid w:val="00142A35"/>
    <w:rsid w:val="0014404E"/>
    <w:rsid w:val="001445D4"/>
    <w:rsid w:val="00144B96"/>
    <w:rsid w:val="00144DAB"/>
    <w:rsid w:val="00145B5B"/>
    <w:rsid w:val="00146B8A"/>
    <w:rsid w:val="00146DC3"/>
    <w:rsid w:val="00147727"/>
    <w:rsid w:val="00147B92"/>
    <w:rsid w:val="00150549"/>
    <w:rsid w:val="00151DB8"/>
    <w:rsid w:val="00151FB6"/>
    <w:rsid w:val="00152B85"/>
    <w:rsid w:val="001537DC"/>
    <w:rsid w:val="00153C71"/>
    <w:rsid w:val="001561E6"/>
    <w:rsid w:val="0015652D"/>
    <w:rsid w:val="00156D2B"/>
    <w:rsid w:val="001576AE"/>
    <w:rsid w:val="00157D88"/>
    <w:rsid w:val="001609E6"/>
    <w:rsid w:val="00162572"/>
    <w:rsid w:val="00162573"/>
    <w:rsid w:val="00163162"/>
    <w:rsid w:val="00163446"/>
    <w:rsid w:val="00166175"/>
    <w:rsid w:val="00166227"/>
    <w:rsid w:val="00166772"/>
    <w:rsid w:val="00167739"/>
    <w:rsid w:val="001704B1"/>
    <w:rsid w:val="00170740"/>
    <w:rsid w:val="00171392"/>
    <w:rsid w:val="0017158A"/>
    <w:rsid w:val="0017236C"/>
    <w:rsid w:val="001723AC"/>
    <w:rsid w:val="00172DCC"/>
    <w:rsid w:val="001732CA"/>
    <w:rsid w:val="001733AB"/>
    <w:rsid w:val="00173846"/>
    <w:rsid w:val="00174112"/>
    <w:rsid w:val="00174EE5"/>
    <w:rsid w:val="0017575C"/>
    <w:rsid w:val="001769F0"/>
    <w:rsid w:val="00180B1C"/>
    <w:rsid w:val="001902B1"/>
    <w:rsid w:val="001906DF"/>
    <w:rsid w:val="00191B75"/>
    <w:rsid w:val="00192A0D"/>
    <w:rsid w:val="00192C24"/>
    <w:rsid w:val="00193289"/>
    <w:rsid w:val="00193CF5"/>
    <w:rsid w:val="001967F8"/>
    <w:rsid w:val="00197D81"/>
    <w:rsid w:val="00197D83"/>
    <w:rsid w:val="001A01C8"/>
    <w:rsid w:val="001A0482"/>
    <w:rsid w:val="001A0803"/>
    <w:rsid w:val="001A36D6"/>
    <w:rsid w:val="001A43BF"/>
    <w:rsid w:val="001A458D"/>
    <w:rsid w:val="001A4DEA"/>
    <w:rsid w:val="001A545A"/>
    <w:rsid w:val="001A5CA4"/>
    <w:rsid w:val="001A648A"/>
    <w:rsid w:val="001A7055"/>
    <w:rsid w:val="001A7AE3"/>
    <w:rsid w:val="001B04DF"/>
    <w:rsid w:val="001B0859"/>
    <w:rsid w:val="001B0AE6"/>
    <w:rsid w:val="001B258E"/>
    <w:rsid w:val="001B2D15"/>
    <w:rsid w:val="001B328F"/>
    <w:rsid w:val="001B355D"/>
    <w:rsid w:val="001B4F83"/>
    <w:rsid w:val="001B6A3E"/>
    <w:rsid w:val="001C07FC"/>
    <w:rsid w:val="001C2411"/>
    <w:rsid w:val="001C360B"/>
    <w:rsid w:val="001C3D2A"/>
    <w:rsid w:val="001C4DE2"/>
    <w:rsid w:val="001C506C"/>
    <w:rsid w:val="001C5D60"/>
    <w:rsid w:val="001C6B8E"/>
    <w:rsid w:val="001C74EB"/>
    <w:rsid w:val="001C7C1A"/>
    <w:rsid w:val="001D19E6"/>
    <w:rsid w:val="001D2741"/>
    <w:rsid w:val="001D3B01"/>
    <w:rsid w:val="001D4F36"/>
    <w:rsid w:val="001D62E5"/>
    <w:rsid w:val="001D6539"/>
    <w:rsid w:val="001D6693"/>
    <w:rsid w:val="001D77C5"/>
    <w:rsid w:val="001D7AA5"/>
    <w:rsid w:val="001D7B3B"/>
    <w:rsid w:val="001E0331"/>
    <w:rsid w:val="001E073A"/>
    <w:rsid w:val="001E15AF"/>
    <w:rsid w:val="001E2914"/>
    <w:rsid w:val="001E2CE0"/>
    <w:rsid w:val="001E3538"/>
    <w:rsid w:val="001E46A5"/>
    <w:rsid w:val="001E54F6"/>
    <w:rsid w:val="001E5530"/>
    <w:rsid w:val="001E5F9B"/>
    <w:rsid w:val="001E6250"/>
    <w:rsid w:val="001E66E8"/>
    <w:rsid w:val="001F0790"/>
    <w:rsid w:val="001F143D"/>
    <w:rsid w:val="001F1E8F"/>
    <w:rsid w:val="001F30B3"/>
    <w:rsid w:val="001F5258"/>
    <w:rsid w:val="001F5425"/>
    <w:rsid w:val="001F628E"/>
    <w:rsid w:val="001F7E41"/>
    <w:rsid w:val="001F7F13"/>
    <w:rsid w:val="001F7FBB"/>
    <w:rsid w:val="00200277"/>
    <w:rsid w:val="002012AC"/>
    <w:rsid w:val="00201A43"/>
    <w:rsid w:val="00201D7D"/>
    <w:rsid w:val="00202145"/>
    <w:rsid w:val="002022CA"/>
    <w:rsid w:val="002036C4"/>
    <w:rsid w:val="002054FF"/>
    <w:rsid w:val="00205817"/>
    <w:rsid w:val="00205F29"/>
    <w:rsid w:val="0020761A"/>
    <w:rsid w:val="0021179E"/>
    <w:rsid w:val="002126E1"/>
    <w:rsid w:val="00212A89"/>
    <w:rsid w:val="002131C0"/>
    <w:rsid w:val="00213295"/>
    <w:rsid w:val="0021386D"/>
    <w:rsid w:val="0021491A"/>
    <w:rsid w:val="00215037"/>
    <w:rsid w:val="00215615"/>
    <w:rsid w:val="0021636C"/>
    <w:rsid w:val="0021692F"/>
    <w:rsid w:val="002176F1"/>
    <w:rsid w:val="0022048C"/>
    <w:rsid w:val="0022125B"/>
    <w:rsid w:val="00221275"/>
    <w:rsid w:val="00221527"/>
    <w:rsid w:val="00221849"/>
    <w:rsid w:val="00221905"/>
    <w:rsid w:val="00221F07"/>
    <w:rsid w:val="0022225F"/>
    <w:rsid w:val="0022247B"/>
    <w:rsid w:val="00223A37"/>
    <w:rsid w:val="00223AA9"/>
    <w:rsid w:val="00224065"/>
    <w:rsid w:val="00224632"/>
    <w:rsid w:val="00224760"/>
    <w:rsid w:val="00224806"/>
    <w:rsid w:val="00225778"/>
    <w:rsid w:val="00225BEF"/>
    <w:rsid w:val="00226F59"/>
    <w:rsid w:val="00227BD1"/>
    <w:rsid w:val="00227CA3"/>
    <w:rsid w:val="00230621"/>
    <w:rsid w:val="00230C73"/>
    <w:rsid w:val="002319FB"/>
    <w:rsid w:val="0023291B"/>
    <w:rsid w:val="00232B77"/>
    <w:rsid w:val="002331E4"/>
    <w:rsid w:val="002340BE"/>
    <w:rsid w:val="002349CB"/>
    <w:rsid w:val="00234CAB"/>
    <w:rsid w:val="00234E42"/>
    <w:rsid w:val="002353C5"/>
    <w:rsid w:val="002372A6"/>
    <w:rsid w:val="00237310"/>
    <w:rsid w:val="00237B6D"/>
    <w:rsid w:val="00240A01"/>
    <w:rsid w:val="00245B16"/>
    <w:rsid w:val="002460E9"/>
    <w:rsid w:val="002467A0"/>
    <w:rsid w:val="00250222"/>
    <w:rsid w:val="00250FA5"/>
    <w:rsid w:val="0025175A"/>
    <w:rsid w:val="00252E1C"/>
    <w:rsid w:val="00252F39"/>
    <w:rsid w:val="002531A9"/>
    <w:rsid w:val="002535E5"/>
    <w:rsid w:val="00254A01"/>
    <w:rsid w:val="0025544C"/>
    <w:rsid w:val="00255C8F"/>
    <w:rsid w:val="00256182"/>
    <w:rsid w:val="002606AC"/>
    <w:rsid w:val="00260701"/>
    <w:rsid w:val="002628AC"/>
    <w:rsid w:val="00263387"/>
    <w:rsid w:val="0026393C"/>
    <w:rsid w:val="00265901"/>
    <w:rsid w:val="002665A3"/>
    <w:rsid w:val="00267DEE"/>
    <w:rsid w:val="00270A19"/>
    <w:rsid w:val="00271026"/>
    <w:rsid w:val="002712DF"/>
    <w:rsid w:val="002720F0"/>
    <w:rsid w:val="00272E3D"/>
    <w:rsid w:val="00272F52"/>
    <w:rsid w:val="0027300D"/>
    <w:rsid w:val="00273101"/>
    <w:rsid w:val="00273ED0"/>
    <w:rsid w:val="002740C7"/>
    <w:rsid w:val="00274346"/>
    <w:rsid w:val="00274568"/>
    <w:rsid w:val="002745EC"/>
    <w:rsid w:val="00274CD9"/>
    <w:rsid w:val="00274F11"/>
    <w:rsid w:val="00275A09"/>
    <w:rsid w:val="002834E2"/>
    <w:rsid w:val="00283A73"/>
    <w:rsid w:val="00285001"/>
    <w:rsid w:val="00285711"/>
    <w:rsid w:val="002862A7"/>
    <w:rsid w:val="00287703"/>
    <w:rsid w:val="0029038A"/>
    <w:rsid w:val="00292837"/>
    <w:rsid w:val="00292B91"/>
    <w:rsid w:val="0029374A"/>
    <w:rsid w:val="00295FFA"/>
    <w:rsid w:val="00296444"/>
    <w:rsid w:val="002A05BE"/>
    <w:rsid w:val="002A10DF"/>
    <w:rsid w:val="002A266B"/>
    <w:rsid w:val="002A2AFA"/>
    <w:rsid w:val="002A313C"/>
    <w:rsid w:val="002A35FE"/>
    <w:rsid w:val="002A3BE7"/>
    <w:rsid w:val="002A3EAB"/>
    <w:rsid w:val="002A49F2"/>
    <w:rsid w:val="002A4E4C"/>
    <w:rsid w:val="002A596F"/>
    <w:rsid w:val="002A5A47"/>
    <w:rsid w:val="002A62C7"/>
    <w:rsid w:val="002A6530"/>
    <w:rsid w:val="002A7692"/>
    <w:rsid w:val="002A78E0"/>
    <w:rsid w:val="002A7989"/>
    <w:rsid w:val="002A7EEA"/>
    <w:rsid w:val="002B050D"/>
    <w:rsid w:val="002B07E2"/>
    <w:rsid w:val="002B176A"/>
    <w:rsid w:val="002B29E6"/>
    <w:rsid w:val="002B31E6"/>
    <w:rsid w:val="002B3397"/>
    <w:rsid w:val="002B3D6A"/>
    <w:rsid w:val="002B4F43"/>
    <w:rsid w:val="002B51BB"/>
    <w:rsid w:val="002B559C"/>
    <w:rsid w:val="002B64CA"/>
    <w:rsid w:val="002B6832"/>
    <w:rsid w:val="002B6861"/>
    <w:rsid w:val="002B76DE"/>
    <w:rsid w:val="002B7DD0"/>
    <w:rsid w:val="002C0D99"/>
    <w:rsid w:val="002C1257"/>
    <w:rsid w:val="002C1B31"/>
    <w:rsid w:val="002C1C0B"/>
    <w:rsid w:val="002C2217"/>
    <w:rsid w:val="002C2930"/>
    <w:rsid w:val="002C29CC"/>
    <w:rsid w:val="002C2CC3"/>
    <w:rsid w:val="002C3D11"/>
    <w:rsid w:val="002C3F68"/>
    <w:rsid w:val="002C4804"/>
    <w:rsid w:val="002C4B00"/>
    <w:rsid w:val="002C4DCB"/>
    <w:rsid w:val="002C5315"/>
    <w:rsid w:val="002C5AAD"/>
    <w:rsid w:val="002C6AD7"/>
    <w:rsid w:val="002D18BB"/>
    <w:rsid w:val="002D1E7E"/>
    <w:rsid w:val="002D2FED"/>
    <w:rsid w:val="002D3A10"/>
    <w:rsid w:val="002D635C"/>
    <w:rsid w:val="002D76D9"/>
    <w:rsid w:val="002D794A"/>
    <w:rsid w:val="002E0643"/>
    <w:rsid w:val="002E29D7"/>
    <w:rsid w:val="002E2E15"/>
    <w:rsid w:val="002E3D13"/>
    <w:rsid w:val="002E416F"/>
    <w:rsid w:val="002E46E1"/>
    <w:rsid w:val="002E4B70"/>
    <w:rsid w:val="002E59CC"/>
    <w:rsid w:val="002E5B39"/>
    <w:rsid w:val="002E5D98"/>
    <w:rsid w:val="002E6952"/>
    <w:rsid w:val="002E7D3D"/>
    <w:rsid w:val="002F0906"/>
    <w:rsid w:val="002F0A63"/>
    <w:rsid w:val="002F13E0"/>
    <w:rsid w:val="002F2A22"/>
    <w:rsid w:val="002F33E8"/>
    <w:rsid w:val="002F42DD"/>
    <w:rsid w:val="002F48BA"/>
    <w:rsid w:val="002F51C3"/>
    <w:rsid w:val="002F5505"/>
    <w:rsid w:val="002F571B"/>
    <w:rsid w:val="00300B64"/>
    <w:rsid w:val="00300FBD"/>
    <w:rsid w:val="00301557"/>
    <w:rsid w:val="00301FE5"/>
    <w:rsid w:val="00303103"/>
    <w:rsid w:val="00303DD2"/>
    <w:rsid w:val="00303F14"/>
    <w:rsid w:val="003046DF"/>
    <w:rsid w:val="00304F40"/>
    <w:rsid w:val="00312438"/>
    <w:rsid w:val="00312AA7"/>
    <w:rsid w:val="00312C67"/>
    <w:rsid w:val="003138FA"/>
    <w:rsid w:val="00313F02"/>
    <w:rsid w:val="0031424E"/>
    <w:rsid w:val="003153F8"/>
    <w:rsid w:val="003158DE"/>
    <w:rsid w:val="003160EC"/>
    <w:rsid w:val="003163D1"/>
    <w:rsid w:val="0031670E"/>
    <w:rsid w:val="00316DBE"/>
    <w:rsid w:val="003203AB"/>
    <w:rsid w:val="0032116C"/>
    <w:rsid w:val="00322256"/>
    <w:rsid w:val="0032248C"/>
    <w:rsid w:val="0032406D"/>
    <w:rsid w:val="0032453A"/>
    <w:rsid w:val="0032504B"/>
    <w:rsid w:val="0032667B"/>
    <w:rsid w:val="00326E46"/>
    <w:rsid w:val="0032721A"/>
    <w:rsid w:val="00330B7C"/>
    <w:rsid w:val="00330B7E"/>
    <w:rsid w:val="00330D6F"/>
    <w:rsid w:val="00331CF7"/>
    <w:rsid w:val="00332297"/>
    <w:rsid w:val="00332F32"/>
    <w:rsid w:val="0033536D"/>
    <w:rsid w:val="00335469"/>
    <w:rsid w:val="0033548D"/>
    <w:rsid w:val="00335614"/>
    <w:rsid w:val="00336CE5"/>
    <w:rsid w:val="003371B4"/>
    <w:rsid w:val="003376AF"/>
    <w:rsid w:val="00337C90"/>
    <w:rsid w:val="003403AA"/>
    <w:rsid w:val="00341D58"/>
    <w:rsid w:val="003425F9"/>
    <w:rsid w:val="00343B7D"/>
    <w:rsid w:val="00344D41"/>
    <w:rsid w:val="00344EFE"/>
    <w:rsid w:val="00345E34"/>
    <w:rsid w:val="00346FAC"/>
    <w:rsid w:val="003474DF"/>
    <w:rsid w:val="00350420"/>
    <w:rsid w:val="00350FD3"/>
    <w:rsid w:val="0035109E"/>
    <w:rsid w:val="00351FB7"/>
    <w:rsid w:val="00352814"/>
    <w:rsid w:val="003530A1"/>
    <w:rsid w:val="00353B41"/>
    <w:rsid w:val="003544CF"/>
    <w:rsid w:val="00356B53"/>
    <w:rsid w:val="003571C0"/>
    <w:rsid w:val="00357DA4"/>
    <w:rsid w:val="003602D0"/>
    <w:rsid w:val="00360688"/>
    <w:rsid w:val="00360834"/>
    <w:rsid w:val="0036084A"/>
    <w:rsid w:val="00360B8E"/>
    <w:rsid w:val="003610E2"/>
    <w:rsid w:val="00361348"/>
    <w:rsid w:val="00361B58"/>
    <w:rsid w:val="00361BFE"/>
    <w:rsid w:val="00362266"/>
    <w:rsid w:val="00362F97"/>
    <w:rsid w:val="0036461E"/>
    <w:rsid w:val="00365137"/>
    <w:rsid w:val="00365C93"/>
    <w:rsid w:val="003664E1"/>
    <w:rsid w:val="003667F3"/>
    <w:rsid w:val="00366998"/>
    <w:rsid w:val="00367817"/>
    <w:rsid w:val="00367B6B"/>
    <w:rsid w:val="00367CEC"/>
    <w:rsid w:val="00370456"/>
    <w:rsid w:val="003704D6"/>
    <w:rsid w:val="00371343"/>
    <w:rsid w:val="00371BC3"/>
    <w:rsid w:val="003734DB"/>
    <w:rsid w:val="00374CA1"/>
    <w:rsid w:val="0037653E"/>
    <w:rsid w:val="00376FD5"/>
    <w:rsid w:val="0037733E"/>
    <w:rsid w:val="00380E4F"/>
    <w:rsid w:val="00381830"/>
    <w:rsid w:val="00381BCF"/>
    <w:rsid w:val="00382682"/>
    <w:rsid w:val="0038316B"/>
    <w:rsid w:val="00384007"/>
    <w:rsid w:val="0038414D"/>
    <w:rsid w:val="0038510A"/>
    <w:rsid w:val="00386F77"/>
    <w:rsid w:val="00387D60"/>
    <w:rsid w:val="00390202"/>
    <w:rsid w:val="0039083E"/>
    <w:rsid w:val="0039129A"/>
    <w:rsid w:val="00392F01"/>
    <w:rsid w:val="0039374E"/>
    <w:rsid w:val="00394326"/>
    <w:rsid w:val="003943D9"/>
    <w:rsid w:val="00394E8D"/>
    <w:rsid w:val="003952F2"/>
    <w:rsid w:val="003954E3"/>
    <w:rsid w:val="00395A57"/>
    <w:rsid w:val="0039619D"/>
    <w:rsid w:val="003966DD"/>
    <w:rsid w:val="003973BB"/>
    <w:rsid w:val="003A07C7"/>
    <w:rsid w:val="003A0B05"/>
    <w:rsid w:val="003A0F57"/>
    <w:rsid w:val="003A2AB1"/>
    <w:rsid w:val="003A354A"/>
    <w:rsid w:val="003A3D7D"/>
    <w:rsid w:val="003A5B16"/>
    <w:rsid w:val="003A7874"/>
    <w:rsid w:val="003B0BEB"/>
    <w:rsid w:val="003B1075"/>
    <w:rsid w:val="003B10D4"/>
    <w:rsid w:val="003B1170"/>
    <w:rsid w:val="003B498D"/>
    <w:rsid w:val="003B4DF2"/>
    <w:rsid w:val="003B61FF"/>
    <w:rsid w:val="003B6EC2"/>
    <w:rsid w:val="003C143A"/>
    <w:rsid w:val="003C1D1F"/>
    <w:rsid w:val="003C222B"/>
    <w:rsid w:val="003C4047"/>
    <w:rsid w:val="003C41A9"/>
    <w:rsid w:val="003C4B37"/>
    <w:rsid w:val="003C5530"/>
    <w:rsid w:val="003C624A"/>
    <w:rsid w:val="003C6693"/>
    <w:rsid w:val="003C68DD"/>
    <w:rsid w:val="003C6B4C"/>
    <w:rsid w:val="003C7D37"/>
    <w:rsid w:val="003D0338"/>
    <w:rsid w:val="003D127B"/>
    <w:rsid w:val="003D18E0"/>
    <w:rsid w:val="003D1C9C"/>
    <w:rsid w:val="003D290F"/>
    <w:rsid w:val="003D2F55"/>
    <w:rsid w:val="003D4533"/>
    <w:rsid w:val="003D5979"/>
    <w:rsid w:val="003D7FD5"/>
    <w:rsid w:val="003E016E"/>
    <w:rsid w:val="003E10E0"/>
    <w:rsid w:val="003E133D"/>
    <w:rsid w:val="003E16A6"/>
    <w:rsid w:val="003E31AF"/>
    <w:rsid w:val="003E3361"/>
    <w:rsid w:val="003E3403"/>
    <w:rsid w:val="003E3854"/>
    <w:rsid w:val="003E419D"/>
    <w:rsid w:val="003E54D4"/>
    <w:rsid w:val="003E55E5"/>
    <w:rsid w:val="003E61C3"/>
    <w:rsid w:val="003E6CDD"/>
    <w:rsid w:val="003E6F94"/>
    <w:rsid w:val="003F064E"/>
    <w:rsid w:val="003F0AF7"/>
    <w:rsid w:val="003F1128"/>
    <w:rsid w:val="003F1932"/>
    <w:rsid w:val="003F1973"/>
    <w:rsid w:val="003F1EEA"/>
    <w:rsid w:val="003F27FB"/>
    <w:rsid w:val="003F447B"/>
    <w:rsid w:val="003F48B0"/>
    <w:rsid w:val="003F4BD1"/>
    <w:rsid w:val="003F545E"/>
    <w:rsid w:val="003F57A4"/>
    <w:rsid w:val="003F5BCF"/>
    <w:rsid w:val="003F7A4E"/>
    <w:rsid w:val="003F7A64"/>
    <w:rsid w:val="0040154C"/>
    <w:rsid w:val="0040434A"/>
    <w:rsid w:val="00405A84"/>
    <w:rsid w:val="004060F0"/>
    <w:rsid w:val="00407D92"/>
    <w:rsid w:val="00411F0C"/>
    <w:rsid w:val="0041219B"/>
    <w:rsid w:val="00412DB4"/>
    <w:rsid w:val="00413922"/>
    <w:rsid w:val="00413CCA"/>
    <w:rsid w:val="00413CEC"/>
    <w:rsid w:val="004141C6"/>
    <w:rsid w:val="00415EF2"/>
    <w:rsid w:val="00417BE4"/>
    <w:rsid w:val="00420318"/>
    <w:rsid w:val="0042213B"/>
    <w:rsid w:val="004228EF"/>
    <w:rsid w:val="00422979"/>
    <w:rsid w:val="004239CF"/>
    <w:rsid w:val="004249C1"/>
    <w:rsid w:val="004252E0"/>
    <w:rsid w:val="00427AE7"/>
    <w:rsid w:val="00427C06"/>
    <w:rsid w:val="00430A20"/>
    <w:rsid w:val="00430A2B"/>
    <w:rsid w:val="00430FFB"/>
    <w:rsid w:val="004314B3"/>
    <w:rsid w:val="0043189D"/>
    <w:rsid w:val="0043226C"/>
    <w:rsid w:val="00432EF7"/>
    <w:rsid w:val="00434C9F"/>
    <w:rsid w:val="0043687D"/>
    <w:rsid w:val="004370DD"/>
    <w:rsid w:val="004377B7"/>
    <w:rsid w:val="004407C3"/>
    <w:rsid w:val="0044122E"/>
    <w:rsid w:val="00441658"/>
    <w:rsid w:val="00442F22"/>
    <w:rsid w:val="00443584"/>
    <w:rsid w:val="004436AF"/>
    <w:rsid w:val="0044388E"/>
    <w:rsid w:val="00444A20"/>
    <w:rsid w:val="00444A70"/>
    <w:rsid w:val="00444AB6"/>
    <w:rsid w:val="00444DA9"/>
    <w:rsid w:val="004451E7"/>
    <w:rsid w:val="0044590D"/>
    <w:rsid w:val="004464DE"/>
    <w:rsid w:val="00447069"/>
    <w:rsid w:val="004479CC"/>
    <w:rsid w:val="00450BD3"/>
    <w:rsid w:val="0045294F"/>
    <w:rsid w:val="00453023"/>
    <w:rsid w:val="004534C6"/>
    <w:rsid w:val="00453A76"/>
    <w:rsid w:val="00453E3B"/>
    <w:rsid w:val="00454A2B"/>
    <w:rsid w:val="00455B1B"/>
    <w:rsid w:val="0045773B"/>
    <w:rsid w:val="004610D0"/>
    <w:rsid w:val="004612AD"/>
    <w:rsid w:val="00461B38"/>
    <w:rsid w:val="00461EF2"/>
    <w:rsid w:val="00462089"/>
    <w:rsid w:val="00462B5D"/>
    <w:rsid w:val="00462F8B"/>
    <w:rsid w:val="004638ED"/>
    <w:rsid w:val="004639E8"/>
    <w:rsid w:val="00463A03"/>
    <w:rsid w:val="00464553"/>
    <w:rsid w:val="00464E09"/>
    <w:rsid w:val="00464F4A"/>
    <w:rsid w:val="004654EB"/>
    <w:rsid w:val="00465551"/>
    <w:rsid w:val="00465F63"/>
    <w:rsid w:val="004666D0"/>
    <w:rsid w:val="004679DF"/>
    <w:rsid w:val="00467C57"/>
    <w:rsid w:val="00470126"/>
    <w:rsid w:val="0047034C"/>
    <w:rsid w:val="00470661"/>
    <w:rsid w:val="00470E7C"/>
    <w:rsid w:val="00470FCC"/>
    <w:rsid w:val="0047106E"/>
    <w:rsid w:val="00472823"/>
    <w:rsid w:val="00473548"/>
    <w:rsid w:val="00473594"/>
    <w:rsid w:val="0047381E"/>
    <w:rsid w:val="00473FBF"/>
    <w:rsid w:val="00474731"/>
    <w:rsid w:val="00474983"/>
    <w:rsid w:val="00475303"/>
    <w:rsid w:val="004756E0"/>
    <w:rsid w:val="00476DE6"/>
    <w:rsid w:val="004773FD"/>
    <w:rsid w:val="00480219"/>
    <w:rsid w:val="00480B9B"/>
    <w:rsid w:val="004819B2"/>
    <w:rsid w:val="004819E9"/>
    <w:rsid w:val="00481A02"/>
    <w:rsid w:val="004827E2"/>
    <w:rsid w:val="00482B42"/>
    <w:rsid w:val="00482CAC"/>
    <w:rsid w:val="00483C5B"/>
    <w:rsid w:val="004846BE"/>
    <w:rsid w:val="00485F25"/>
    <w:rsid w:val="004869A1"/>
    <w:rsid w:val="0049053A"/>
    <w:rsid w:val="00491621"/>
    <w:rsid w:val="004916D7"/>
    <w:rsid w:val="00491831"/>
    <w:rsid w:val="004923CB"/>
    <w:rsid w:val="00492421"/>
    <w:rsid w:val="00493936"/>
    <w:rsid w:val="00494520"/>
    <w:rsid w:val="0049479A"/>
    <w:rsid w:val="00494A12"/>
    <w:rsid w:val="0049574F"/>
    <w:rsid w:val="00495CB2"/>
    <w:rsid w:val="004975D8"/>
    <w:rsid w:val="004A011E"/>
    <w:rsid w:val="004A036A"/>
    <w:rsid w:val="004A0659"/>
    <w:rsid w:val="004A0720"/>
    <w:rsid w:val="004A2114"/>
    <w:rsid w:val="004A2856"/>
    <w:rsid w:val="004A2A24"/>
    <w:rsid w:val="004A4855"/>
    <w:rsid w:val="004A4912"/>
    <w:rsid w:val="004A4CA6"/>
    <w:rsid w:val="004A4D62"/>
    <w:rsid w:val="004A519D"/>
    <w:rsid w:val="004A5300"/>
    <w:rsid w:val="004A5695"/>
    <w:rsid w:val="004A5762"/>
    <w:rsid w:val="004A591B"/>
    <w:rsid w:val="004A6AFC"/>
    <w:rsid w:val="004A7849"/>
    <w:rsid w:val="004A7BA2"/>
    <w:rsid w:val="004B1192"/>
    <w:rsid w:val="004B11F6"/>
    <w:rsid w:val="004B2528"/>
    <w:rsid w:val="004B2684"/>
    <w:rsid w:val="004B431B"/>
    <w:rsid w:val="004B4665"/>
    <w:rsid w:val="004B5092"/>
    <w:rsid w:val="004B51D2"/>
    <w:rsid w:val="004B5B3F"/>
    <w:rsid w:val="004B7402"/>
    <w:rsid w:val="004B7821"/>
    <w:rsid w:val="004C02EB"/>
    <w:rsid w:val="004C0314"/>
    <w:rsid w:val="004C1280"/>
    <w:rsid w:val="004C167A"/>
    <w:rsid w:val="004C179C"/>
    <w:rsid w:val="004C38AA"/>
    <w:rsid w:val="004C4CF3"/>
    <w:rsid w:val="004C755F"/>
    <w:rsid w:val="004C78BA"/>
    <w:rsid w:val="004D0DF5"/>
    <w:rsid w:val="004D135B"/>
    <w:rsid w:val="004D1FA4"/>
    <w:rsid w:val="004D2D8E"/>
    <w:rsid w:val="004D3D86"/>
    <w:rsid w:val="004D41C3"/>
    <w:rsid w:val="004D4B91"/>
    <w:rsid w:val="004D5D7A"/>
    <w:rsid w:val="004D61EE"/>
    <w:rsid w:val="004D65D1"/>
    <w:rsid w:val="004D6605"/>
    <w:rsid w:val="004E1333"/>
    <w:rsid w:val="004E1536"/>
    <w:rsid w:val="004E228C"/>
    <w:rsid w:val="004E2C51"/>
    <w:rsid w:val="004E30A2"/>
    <w:rsid w:val="004E3749"/>
    <w:rsid w:val="004E37AD"/>
    <w:rsid w:val="004E539F"/>
    <w:rsid w:val="004E5F47"/>
    <w:rsid w:val="004E6005"/>
    <w:rsid w:val="004E60C9"/>
    <w:rsid w:val="004E6A31"/>
    <w:rsid w:val="004E6A5D"/>
    <w:rsid w:val="004E725C"/>
    <w:rsid w:val="004F0F05"/>
    <w:rsid w:val="004F1E91"/>
    <w:rsid w:val="004F205E"/>
    <w:rsid w:val="004F209A"/>
    <w:rsid w:val="004F2ABA"/>
    <w:rsid w:val="004F2B3E"/>
    <w:rsid w:val="004F4477"/>
    <w:rsid w:val="004F641A"/>
    <w:rsid w:val="004F6829"/>
    <w:rsid w:val="004F6BD2"/>
    <w:rsid w:val="004F7712"/>
    <w:rsid w:val="004F7DEF"/>
    <w:rsid w:val="0050031D"/>
    <w:rsid w:val="005006C4"/>
    <w:rsid w:val="0050094E"/>
    <w:rsid w:val="005015C7"/>
    <w:rsid w:val="00501E19"/>
    <w:rsid w:val="0050320E"/>
    <w:rsid w:val="0050380D"/>
    <w:rsid w:val="00504228"/>
    <w:rsid w:val="0050443B"/>
    <w:rsid w:val="005048C1"/>
    <w:rsid w:val="00506232"/>
    <w:rsid w:val="00506922"/>
    <w:rsid w:val="005074B9"/>
    <w:rsid w:val="00510D36"/>
    <w:rsid w:val="00511940"/>
    <w:rsid w:val="005126AE"/>
    <w:rsid w:val="00512FDC"/>
    <w:rsid w:val="00513502"/>
    <w:rsid w:val="00513F94"/>
    <w:rsid w:val="005141B7"/>
    <w:rsid w:val="0051457E"/>
    <w:rsid w:val="00514DEB"/>
    <w:rsid w:val="00514E56"/>
    <w:rsid w:val="0051705C"/>
    <w:rsid w:val="00520546"/>
    <w:rsid w:val="00521218"/>
    <w:rsid w:val="005222D1"/>
    <w:rsid w:val="00522764"/>
    <w:rsid w:val="005232C2"/>
    <w:rsid w:val="0052332F"/>
    <w:rsid w:val="0052485E"/>
    <w:rsid w:val="00526B7B"/>
    <w:rsid w:val="005276BC"/>
    <w:rsid w:val="0052786C"/>
    <w:rsid w:val="00530E67"/>
    <w:rsid w:val="00533A44"/>
    <w:rsid w:val="00534B49"/>
    <w:rsid w:val="00534C4E"/>
    <w:rsid w:val="00534F5B"/>
    <w:rsid w:val="00535453"/>
    <w:rsid w:val="00535E7A"/>
    <w:rsid w:val="00535F9E"/>
    <w:rsid w:val="00536578"/>
    <w:rsid w:val="005368C9"/>
    <w:rsid w:val="00536C4A"/>
    <w:rsid w:val="0054041D"/>
    <w:rsid w:val="00540A32"/>
    <w:rsid w:val="00540EF5"/>
    <w:rsid w:val="00540FB3"/>
    <w:rsid w:val="00541153"/>
    <w:rsid w:val="00541E54"/>
    <w:rsid w:val="00542535"/>
    <w:rsid w:val="00542F27"/>
    <w:rsid w:val="00543744"/>
    <w:rsid w:val="00543C38"/>
    <w:rsid w:val="005442D2"/>
    <w:rsid w:val="005462CA"/>
    <w:rsid w:val="00546994"/>
    <w:rsid w:val="00547239"/>
    <w:rsid w:val="00551F79"/>
    <w:rsid w:val="00552021"/>
    <w:rsid w:val="00552AE7"/>
    <w:rsid w:val="00553E09"/>
    <w:rsid w:val="00554DFA"/>
    <w:rsid w:val="00555338"/>
    <w:rsid w:val="00555BB5"/>
    <w:rsid w:val="00555DE0"/>
    <w:rsid w:val="005568DB"/>
    <w:rsid w:val="00556ABC"/>
    <w:rsid w:val="00557739"/>
    <w:rsid w:val="00557D85"/>
    <w:rsid w:val="00560937"/>
    <w:rsid w:val="00561CD1"/>
    <w:rsid w:val="00561DF9"/>
    <w:rsid w:val="00562EEA"/>
    <w:rsid w:val="005649B4"/>
    <w:rsid w:val="00564ABA"/>
    <w:rsid w:val="00564D04"/>
    <w:rsid w:val="00564EEC"/>
    <w:rsid w:val="00564F57"/>
    <w:rsid w:val="005659A9"/>
    <w:rsid w:val="00565C80"/>
    <w:rsid w:val="005661B4"/>
    <w:rsid w:val="005669B5"/>
    <w:rsid w:val="00566C69"/>
    <w:rsid w:val="00566CD9"/>
    <w:rsid w:val="00566E70"/>
    <w:rsid w:val="0056767B"/>
    <w:rsid w:val="00571221"/>
    <w:rsid w:val="005719BC"/>
    <w:rsid w:val="00571F7E"/>
    <w:rsid w:val="00571FD1"/>
    <w:rsid w:val="00572066"/>
    <w:rsid w:val="00572328"/>
    <w:rsid w:val="0057376B"/>
    <w:rsid w:val="005741CF"/>
    <w:rsid w:val="00574BFF"/>
    <w:rsid w:val="00576CC3"/>
    <w:rsid w:val="00576D02"/>
    <w:rsid w:val="00577CC8"/>
    <w:rsid w:val="00581243"/>
    <w:rsid w:val="00581D26"/>
    <w:rsid w:val="00582E5F"/>
    <w:rsid w:val="00583408"/>
    <w:rsid w:val="00585A32"/>
    <w:rsid w:val="00590D42"/>
    <w:rsid w:val="00592555"/>
    <w:rsid w:val="00594264"/>
    <w:rsid w:val="0059487A"/>
    <w:rsid w:val="00596634"/>
    <w:rsid w:val="0059689E"/>
    <w:rsid w:val="00596FFD"/>
    <w:rsid w:val="005A0518"/>
    <w:rsid w:val="005A196E"/>
    <w:rsid w:val="005A2DCC"/>
    <w:rsid w:val="005A3D9A"/>
    <w:rsid w:val="005A3DE1"/>
    <w:rsid w:val="005A42D0"/>
    <w:rsid w:val="005A5073"/>
    <w:rsid w:val="005A5A11"/>
    <w:rsid w:val="005A5A73"/>
    <w:rsid w:val="005A6143"/>
    <w:rsid w:val="005A64FE"/>
    <w:rsid w:val="005A66BB"/>
    <w:rsid w:val="005A6E43"/>
    <w:rsid w:val="005A7C1F"/>
    <w:rsid w:val="005A7E64"/>
    <w:rsid w:val="005B100B"/>
    <w:rsid w:val="005B1ECE"/>
    <w:rsid w:val="005B2695"/>
    <w:rsid w:val="005B3245"/>
    <w:rsid w:val="005B3278"/>
    <w:rsid w:val="005B3476"/>
    <w:rsid w:val="005B447C"/>
    <w:rsid w:val="005B47A5"/>
    <w:rsid w:val="005B664A"/>
    <w:rsid w:val="005B6F02"/>
    <w:rsid w:val="005B7C66"/>
    <w:rsid w:val="005C2B19"/>
    <w:rsid w:val="005C50D3"/>
    <w:rsid w:val="005C564D"/>
    <w:rsid w:val="005C6456"/>
    <w:rsid w:val="005C6769"/>
    <w:rsid w:val="005C6B7F"/>
    <w:rsid w:val="005C7368"/>
    <w:rsid w:val="005D056E"/>
    <w:rsid w:val="005D0CD1"/>
    <w:rsid w:val="005D0F08"/>
    <w:rsid w:val="005D1771"/>
    <w:rsid w:val="005D1DAA"/>
    <w:rsid w:val="005D2A17"/>
    <w:rsid w:val="005D3BA6"/>
    <w:rsid w:val="005D3CED"/>
    <w:rsid w:val="005D4BA4"/>
    <w:rsid w:val="005D4EFC"/>
    <w:rsid w:val="005D5104"/>
    <w:rsid w:val="005D6354"/>
    <w:rsid w:val="005D69B6"/>
    <w:rsid w:val="005D6D2B"/>
    <w:rsid w:val="005D7C3E"/>
    <w:rsid w:val="005D8D28"/>
    <w:rsid w:val="005E06AA"/>
    <w:rsid w:val="005E2490"/>
    <w:rsid w:val="005E341E"/>
    <w:rsid w:val="005E42EF"/>
    <w:rsid w:val="005E51BA"/>
    <w:rsid w:val="005E6BE2"/>
    <w:rsid w:val="005F07F3"/>
    <w:rsid w:val="005F082C"/>
    <w:rsid w:val="005F0A2C"/>
    <w:rsid w:val="005F0E41"/>
    <w:rsid w:val="005F11F8"/>
    <w:rsid w:val="005F260E"/>
    <w:rsid w:val="005F2864"/>
    <w:rsid w:val="005F36B7"/>
    <w:rsid w:val="005F4360"/>
    <w:rsid w:val="005F5924"/>
    <w:rsid w:val="005F7E46"/>
    <w:rsid w:val="006003A9"/>
    <w:rsid w:val="0060145B"/>
    <w:rsid w:val="00601A9F"/>
    <w:rsid w:val="00601E41"/>
    <w:rsid w:val="0060221D"/>
    <w:rsid w:val="00602E21"/>
    <w:rsid w:val="00603C09"/>
    <w:rsid w:val="00603D03"/>
    <w:rsid w:val="0060400D"/>
    <w:rsid w:val="006043F8"/>
    <w:rsid w:val="006048A4"/>
    <w:rsid w:val="00605C66"/>
    <w:rsid w:val="006071DE"/>
    <w:rsid w:val="00607A57"/>
    <w:rsid w:val="00611BCA"/>
    <w:rsid w:val="00612CDD"/>
    <w:rsid w:val="00612E03"/>
    <w:rsid w:val="00613468"/>
    <w:rsid w:val="00613A4B"/>
    <w:rsid w:val="006155A7"/>
    <w:rsid w:val="00615FC5"/>
    <w:rsid w:val="00621902"/>
    <w:rsid w:val="006223C6"/>
    <w:rsid w:val="006224D9"/>
    <w:rsid w:val="006227E3"/>
    <w:rsid w:val="0062366E"/>
    <w:rsid w:val="006245A3"/>
    <w:rsid w:val="00625F7E"/>
    <w:rsid w:val="006304E7"/>
    <w:rsid w:val="00630A2D"/>
    <w:rsid w:val="00630BDC"/>
    <w:rsid w:val="00631635"/>
    <w:rsid w:val="00631AA0"/>
    <w:rsid w:val="006321CD"/>
    <w:rsid w:val="00634324"/>
    <w:rsid w:val="00634457"/>
    <w:rsid w:val="00635414"/>
    <w:rsid w:val="006357EF"/>
    <w:rsid w:val="006358DD"/>
    <w:rsid w:val="00635AA7"/>
    <w:rsid w:val="00636A02"/>
    <w:rsid w:val="0063739C"/>
    <w:rsid w:val="00640D0C"/>
    <w:rsid w:val="00641AF0"/>
    <w:rsid w:val="00641CA2"/>
    <w:rsid w:val="00642E7A"/>
    <w:rsid w:val="0064406C"/>
    <w:rsid w:val="00644BE3"/>
    <w:rsid w:val="00645A11"/>
    <w:rsid w:val="00645F3E"/>
    <w:rsid w:val="006464A9"/>
    <w:rsid w:val="00646947"/>
    <w:rsid w:val="00646DC4"/>
    <w:rsid w:val="00646E98"/>
    <w:rsid w:val="006478DA"/>
    <w:rsid w:val="006524B8"/>
    <w:rsid w:val="00653F44"/>
    <w:rsid w:val="006548FB"/>
    <w:rsid w:val="00655AC6"/>
    <w:rsid w:val="0065695A"/>
    <w:rsid w:val="00656C54"/>
    <w:rsid w:val="006577AE"/>
    <w:rsid w:val="00660A1F"/>
    <w:rsid w:val="0066158E"/>
    <w:rsid w:val="006625C3"/>
    <w:rsid w:val="00663F97"/>
    <w:rsid w:val="00664273"/>
    <w:rsid w:val="006645FD"/>
    <w:rsid w:val="0066570E"/>
    <w:rsid w:val="006658EC"/>
    <w:rsid w:val="006674DE"/>
    <w:rsid w:val="00667601"/>
    <w:rsid w:val="00670BAB"/>
    <w:rsid w:val="00672B31"/>
    <w:rsid w:val="006736E2"/>
    <w:rsid w:val="00674528"/>
    <w:rsid w:val="00675BC9"/>
    <w:rsid w:val="00675F92"/>
    <w:rsid w:val="0067668C"/>
    <w:rsid w:val="00676823"/>
    <w:rsid w:val="00680567"/>
    <w:rsid w:val="0068077E"/>
    <w:rsid w:val="00680DAC"/>
    <w:rsid w:val="006814FD"/>
    <w:rsid w:val="006819D0"/>
    <w:rsid w:val="0068247D"/>
    <w:rsid w:val="00686410"/>
    <w:rsid w:val="006907F7"/>
    <w:rsid w:val="00690FE1"/>
    <w:rsid w:val="00691330"/>
    <w:rsid w:val="0069170C"/>
    <w:rsid w:val="006927F7"/>
    <w:rsid w:val="0069316A"/>
    <w:rsid w:val="0069337E"/>
    <w:rsid w:val="00694FF8"/>
    <w:rsid w:val="00695D43"/>
    <w:rsid w:val="00696804"/>
    <w:rsid w:val="00696AD3"/>
    <w:rsid w:val="00697997"/>
    <w:rsid w:val="006A3825"/>
    <w:rsid w:val="006A3C89"/>
    <w:rsid w:val="006A43E4"/>
    <w:rsid w:val="006A4A7C"/>
    <w:rsid w:val="006A4D0A"/>
    <w:rsid w:val="006A50F3"/>
    <w:rsid w:val="006A575B"/>
    <w:rsid w:val="006A6A8C"/>
    <w:rsid w:val="006A6ABC"/>
    <w:rsid w:val="006A6CB3"/>
    <w:rsid w:val="006A6FE8"/>
    <w:rsid w:val="006A7118"/>
    <w:rsid w:val="006A7195"/>
    <w:rsid w:val="006B0A09"/>
    <w:rsid w:val="006B1F23"/>
    <w:rsid w:val="006B220E"/>
    <w:rsid w:val="006B2808"/>
    <w:rsid w:val="006B39C2"/>
    <w:rsid w:val="006B3AE3"/>
    <w:rsid w:val="006B3D42"/>
    <w:rsid w:val="006B432E"/>
    <w:rsid w:val="006B43D0"/>
    <w:rsid w:val="006B5927"/>
    <w:rsid w:val="006B5DD3"/>
    <w:rsid w:val="006B6550"/>
    <w:rsid w:val="006B6D9D"/>
    <w:rsid w:val="006B70BE"/>
    <w:rsid w:val="006C0366"/>
    <w:rsid w:val="006C0727"/>
    <w:rsid w:val="006C0B37"/>
    <w:rsid w:val="006C0D7B"/>
    <w:rsid w:val="006C1167"/>
    <w:rsid w:val="006C1891"/>
    <w:rsid w:val="006C36AD"/>
    <w:rsid w:val="006C3DCA"/>
    <w:rsid w:val="006C5032"/>
    <w:rsid w:val="006C5C3A"/>
    <w:rsid w:val="006C5D0F"/>
    <w:rsid w:val="006C66D3"/>
    <w:rsid w:val="006C66D9"/>
    <w:rsid w:val="006C68DC"/>
    <w:rsid w:val="006C68F9"/>
    <w:rsid w:val="006C7451"/>
    <w:rsid w:val="006C7BAB"/>
    <w:rsid w:val="006C7CB9"/>
    <w:rsid w:val="006D03EF"/>
    <w:rsid w:val="006D11A8"/>
    <w:rsid w:val="006D2B03"/>
    <w:rsid w:val="006D4C1E"/>
    <w:rsid w:val="006D611B"/>
    <w:rsid w:val="006D696E"/>
    <w:rsid w:val="006E0028"/>
    <w:rsid w:val="006E0AB0"/>
    <w:rsid w:val="006E13D2"/>
    <w:rsid w:val="006E197A"/>
    <w:rsid w:val="006E343D"/>
    <w:rsid w:val="006E3839"/>
    <w:rsid w:val="006E545A"/>
    <w:rsid w:val="006E5726"/>
    <w:rsid w:val="006E5740"/>
    <w:rsid w:val="006E66CD"/>
    <w:rsid w:val="006E6A44"/>
    <w:rsid w:val="006F1059"/>
    <w:rsid w:val="006F16E1"/>
    <w:rsid w:val="006F1CBE"/>
    <w:rsid w:val="006F2464"/>
    <w:rsid w:val="006F2584"/>
    <w:rsid w:val="006F2B45"/>
    <w:rsid w:val="006F2D4B"/>
    <w:rsid w:val="006F3431"/>
    <w:rsid w:val="006F3ADD"/>
    <w:rsid w:val="006F3DE4"/>
    <w:rsid w:val="006F3FBD"/>
    <w:rsid w:val="006F462D"/>
    <w:rsid w:val="006F48CC"/>
    <w:rsid w:val="006F54EF"/>
    <w:rsid w:val="006F5C37"/>
    <w:rsid w:val="006F5ECC"/>
    <w:rsid w:val="006F750F"/>
    <w:rsid w:val="006F7958"/>
    <w:rsid w:val="0070170E"/>
    <w:rsid w:val="00702F86"/>
    <w:rsid w:val="00703AC6"/>
    <w:rsid w:val="00703C02"/>
    <w:rsid w:val="007045B2"/>
    <w:rsid w:val="00705196"/>
    <w:rsid w:val="007052AE"/>
    <w:rsid w:val="0070589C"/>
    <w:rsid w:val="00706D45"/>
    <w:rsid w:val="0070726B"/>
    <w:rsid w:val="00707D93"/>
    <w:rsid w:val="00707FF9"/>
    <w:rsid w:val="00712DCF"/>
    <w:rsid w:val="0071465F"/>
    <w:rsid w:val="00715DA1"/>
    <w:rsid w:val="007167BC"/>
    <w:rsid w:val="00716CDC"/>
    <w:rsid w:val="00720868"/>
    <w:rsid w:val="00720CDA"/>
    <w:rsid w:val="00721392"/>
    <w:rsid w:val="0072240C"/>
    <w:rsid w:val="007231C9"/>
    <w:rsid w:val="00725BC0"/>
    <w:rsid w:val="00725E78"/>
    <w:rsid w:val="007262C7"/>
    <w:rsid w:val="00726C84"/>
    <w:rsid w:val="00727951"/>
    <w:rsid w:val="007301FB"/>
    <w:rsid w:val="00730A96"/>
    <w:rsid w:val="00730DC2"/>
    <w:rsid w:val="0073218A"/>
    <w:rsid w:val="00733034"/>
    <w:rsid w:val="007334D1"/>
    <w:rsid w:val="00733A14"/>
    <w:rsid w:val="0073431C"/>
    <w:rsid w:val="00735F8A"/>
    <w:rsid w:val="00736130"/>
    <w:rsid w:val="007365B5"/>
    <w:rsid w:val="0073688C"/>
    <w:rsid w:val="007373E7"/>
    <w:rsid w:val="00740161"/>
    <w:rsid w:val="007404D2"/>
    <w:rsid w:val="00740AD7"/>
    <w:rsid w:val="007419B8"/>
    <w:rsid w:val="00741CCC"/>
    <w:rsid w:val="00743C68"/>
    <w:rsid w:val="007441D8"/>
    <w:rsid w:val="0074527E"/>
    <w:rsid w:val="0074694D"/>
    <w:rsid w:val="0074748D"/>
    <w:rsid w:val="0075171B"/>
    <w:rsid w:val="00751B4D"/>
    <w:rsid w:val="00752069"/>
    <w:rsid w:val="00752B0E"/>
    <w:rsid w:val="00752CFA"/>
    <w:rsid w:val="00753532"/>
    <w:rsid w:val="00753A93"/>
    <w:rsid w:val="0075407F"/>
    <w:rsid w:val="0075413F"/>
    <w:rsid w:val="007549C9"/>
    <w:rsid w:val="00754C86"/>
    <w:rsid w:val="00756AB2"/>
    <w:rsid w:val="0076068D"/>
    <w:rsid w:val="0076094C"/>
    <w:rsid w:val="0076261D"/>
    <w:rsid w:val="00762623"/>
    <w:rsid w:val="00762929"/>
    <w:rsid w:val="0076377A"/>
    <w:rsid w:val="00764440"/>
    <w:rsid w:val="007646DF"/>
    <w:rsid w:val="00764DEA"/>
    <w:rsid w:val="00766C0B"/>
    <w:rsid w:val="00766D0B"/>
    <w:rsid w:val="007671AE"/>
    <w:rsid w:val="007702F9"/>
    <w:rsid w:val="00774F70"/>
    <w:rsid w:val="007750B1"/>
    <w:rsid w:val="007751A3"/>
    <w:rsid w:val="00775B6F"/>
    <w:rsid w:val="0077682B"/>
    <w:rsid w:val="00777940"/>
    <w:rsid w:val="007808D4"/>
    <w:rsid w:val="0078157C"/>
    <w:rsid w:val="00781BDA"/>
    <w:rsid w:val="007826DC"/>
    <w:rsid w:val="00783CE8"/>
    <w:rsid w:val="007842B9"/>
    <w:rsid w:val="00785A48"/>
    <w:rsid w:val="007871C8"/>
    <w:rsid w:val="00787ED6"/>
    <w:rsid w:val="00790B90"/>
    <w:rsid w:val="007930FE"/>
    <w:rsid w:val="00793792"/>
    <w:rsid w:val="007943B7"/>
    <w:rsid w:val="00795788"/>
    <w:rsid w:val="00795E2A"/>
    <w:rsid w:val="00796E88"/>
    <w:rsid w:val="007976B7"/>
    <w:rsid w:val="00797829"/>
    <w:rsid w:val="007A0A46"/>
    <w:rsid w:val="007A0E8C"/>
    <w:rsid w:val="007A18A9"/>
    <w:rsid w:val="007A23A8"/>
    <w:rsid w:val="007A255C"/>
    <w:rsid w:val="007A2936"/>
    <w:rsid w:val="007A2B66"/>
    <w:rsid w:val="007A2C0D"/>
    <w:rsid w:val="007A4605"/>
    <w:rsid w:val="007A4F48"/>
    <w:rsid w:val="007A58E5"/>
    <w:rsid w:val="007A5BE9"/>
    <w:rsid w:val="007A631C"/>
    <w:rsid w:val="007A6AC9"/>
    <w:rsid w:val="007A7183"/>
    <w:rsid w:val="007B0C6C"/>
    <w:rsid w:val="007B150E"/>
    <w:rsid w:val="007B3245"/>
    <w:rsid w:val="007B34C8"/>
    <w:rsid w:val="007B3A82"/>
    <w:rsid w:val="007B3BB6"/>
    <w:rsid w:val="007B3E99"/>
    <w:rsid w:val="007B3FC1"/>
    <w:rsid w:val="007B4493"/>
    <w:rsid w:val="007B4A11"/>
    <w:rsid w:val="007B4E1B"/>
    <w:rsid w:val="007B69E3"/>
    <w:rsid w:val="007B6EF4"/>
    <w:rsid w:val="007B761E"/>
    <w:rsid w:val="007C1783"/>
    <w:rsid w:val="007C29F6"/>
    <w:rsid w:val="007C3654"/>
    <w:rsid w:val="007C3857"/>
    <w:rsid w:val="007C49ED"/>
    <w:rsid w:val="007C6A28"/>
    <w:rsid w:val="007C6DDE"/>
    <w:rsid w:val="007C713E"/>
    <w:rsid w:val="007C715A"/>
    <w:rsid w:val="007C71D1"/>
    <w:rsid w:val="007C7BC9"/>
    <w:rsid w:val="007C7D08"/>
    <w:rsid w:val="007C7FE4"/>
    <w:rsid w:val="007D1E08"/>
    <w:rsid w:val="007D2998"/>
    <w:rsid w:val="007E1422"/>
    <w:rsid w:val="007E1D41"/>
    <w:rsid w:val="007E2DC0"/>
    <w:rsid w:val="007E370D"/>
    <w:rsid w:val="007E61E8"/>
    <w:rsid w:val="007E6537"/>
    <w:rsid w:val="007E75DC"/>
    <w:rsid w:val="007E7C68"/>
    <w:rsid w:val="007F07C3"/>
    <w:rsid w:val="007F093E"/>
    <w:rsid w:val="007F26DC"/>
    <w:rsid w:val="007F2E3C"/>
    <w:rsid w:val="007F39C1"/>
    <w:rsid w:val="007F71C9"/>
    <w:rsid w:val="007F7D21"/>
    <w:rsid w:val="008000DC"/>
    <w:rsid w:val="00800115"/>
    <w:rsid w:val="00800B04"/>
    <w:rsid w:val="00800FE2"/>
    <w:rsid w:val="00801831"/>
    <w:rsid w:val="00801A5C"/>
    <w:rsid w:val="008020A4"/>
    <w:rsid w:val="00803179"/>
    <w:rsid w:val="00803433"/>
    <w:rsid w:val="00803B5C"/>
    <w:rsid w:val="00804F44"/>
    <w:rsid w:val="00805170"/>
    <w:rsid w:val="008061EE"/>
    <w:rsid w:val="00807677"/>
    <w:rsid w:val="0081002C"/>
    <w:rsid w:val="00810AC9"/>
    <w:rsid w:val="0081104E"/>
    <w:rsid w:val="00811B09"/>
    <w:rsid w:val="00813336"/>
    <w:rsid w:val="0081443C"/>
    <w:rsid w:val="0081552E"/>
    <w:rsid w:val="00817CE8"/>
    <w:rsid w:val="00820A7D"/>
    <w:rsid w:val="00820C82"/>
    <w:rsid w:val="0082227B"/>
    <w:rsid w:val="00822C41"/>
    <w:rsid w:val="00822DBF"/>
    <w:rsid w:val="00823478"/>
    <w:rsid w:val="00823ED6"/>
    <w:rsid w:val="00824760"/>
    <w:rsid w:val="00824E39"/>
    <w:rsid w:val="00825059"/>
    <w:rsid w:val="008250C5"/>
    <w:rsid w:val="00826C04"/>
    <w:rsid w:val="008302E9"/>
    <w:rsid w:val="00831C81"/>
    <w:rsid w:val="00834EBE"/>
    <w:rsid w:val="00835813"/>
    <w:rsid w:val="00836014"/>
    <w:rsid w:val="00836741"/>
    <w:rsid w:val="008373CF"/>
    <w:rsid w:val="00837B70"/>
    <w:rsid w:val="00841395"/>
    <w:rsid w:val="008417AE"/>
    <w:rsid w:val="00843535"/>
    <w:rsid w:val="00843754"/>
    <w:rsid w:val="00844D19"/>
    <w:rsid w:val="00845AD3"/>
    <w:rsid w:val="00846195"/>
    <w:rsid w:val="008465A0"/>
    <w:rsid w:val="008466A8"/>
    <w:rsid w:val="008470CE"/>
    <w:rsid w:val="00847444"/>
    <w:rsid w:val="00847B40"/>
    <w:rsid w:val="00847B93"/>
    <w:rsid w:val="00847E37"/>
    <w:rsid w:val="0085199E"/>
    <w:rsid w:val="00852EB0"/>
    <w:rsid w:val="00854E5D"/>
    <w:rsid w:val="008554D0"/>
    <w:rsid w:val="00855964"/>
    <w:rsid w:val="00855F4C"/>
    <w:rsid w:val="00856182"/>
    <w:rsid w:val="00857A04"/>
    <w:rsid w:val="008600DC"/>
    <w:rsid w:val="008604E4"/>
    <w:rsid w:val="00860B7A"/>
    <w:rsid w:val="00860BC5"/>
    <w:rsid w:val="0086133C"/>
    <w:rsid w:val="00861609"/>
    <w:rsid w:val="00861615"/>
    <w:rsid w:val="008633EC"/>
    <w:rsid w:val="00863B74"/>
    <w:rsid w:val="00865D62"/>
    <w:rsid w:val="00865FF4"/>
    <w:rsid w:val="00866432"/>
    <w:rsid w:val="00866BB2"/>
    <w:rsid w:val="00866CEE"/>
    <w:rsid w:val="008674D3"/>
    <w:rsid w:val="00867BF1"/>
    <w:rsid w:val="00867C57"/>
    <w:rsid w:val="00867F85"/>
    <w:rsid w:val="00870CC7"/>
    <w:rsid w:val="008715C3"/>
    <w:rsid w:val="00871699"/>
    <w:rsid w:val="00871DB3"/>
    <w:rsid w:val="00872275"/>
    <w:rsid w:val="00872594"/>
    <w:rsid w:val="008725AB"/>
    <w:rsid w:val="00872F84"/>
    <w:rsid w:val="00874681"/>
    <w:rsid w:val="00875F37"/>
    <w:rsid w:val="00876931"/>
    <w:rsid w:val="00876B63"/>
    <w:rsid w:val="008770A3"/>
    <w:rsid w:val="00881D80"/>
    <w:rsid w:val="00882162"/>
    <w:rsid w:val="00883097"/>
    <w:rsid w:val="008845A6"/>
    <w:rsid w:val="008848A3"/>
    <w:rsid w:val="008851EE"/>
    <w:rsid w:val="00886EB8"/>
    <w:rsid w:val="0088747D"/>
    <w:rsid w:val="0088753C"/>
    <w:rsid w:val="00887DEA"/>
    <w:rsid w:val="008900D1"/>
    <w:rsid w:val="00890D78"/>
    <w:rsid w:val="00891519"/>
    <w:rsid w:val="008919D0"/>
    <w:rsid w:val="008927C3"/>
    <w:rsid w:val="00892A00"/>
    <w:rsid w:val="0089300D"/>
    <w:rsid w:val="008934F5"/>
    <w:rsid w:val="008937AF"/>
    <w:rsid w:val="008940F2"/>
    <w:rsid w:val="0089425E"/>
    <w:rsid w:val="00895839"/>
    <w:rsid w:val="0089686C"/>
    <w:rsid w:val="0089713E"/>
    <w:rsid w:val="00897898"/>
    <w:rsid w:val="00897AE7"/>
    <w:rsid w:val="008A038A"/>
    <w:rsid w:val="008A0B84"/>
    <w:rsid w:val="008A2F51"/>
    <w:rsid w:val="008A3679"/>
    <w:rsid w:val="008A3739"/>
    <w:rsid w:val="008A48B7"/>
    <w:rsid w:val="008A6027"/>
    <w:rsid w:val="008A65AE"/>
    <w:rsid w:val="008A6F52"/>
    <w:rsid w:val="008A71C9"/>
    <w:rsid w:val="008A72F7"/>
    <w:rsid w:val="008B02C7"/>
    <w:rsid w:val="008B09B9"/>
    <w:rsid w:val="008B2B71"/>
    <w:rsid w:val="008B3941"/>
    <w:rsid w:val="008B442B"/>
    <w:rsid w:val="008B7ECB"/>
    <w:rsid w:val="008C036D"/>
    <w:rsid w:val="008C157A"/>
    <w:rsid w:val="008C3898"/>
    <w:rsid w:val="008C458C"/>
    <w:rsid w:val="008C582B"/>
    <w:rsid w:val="008C600E"/>
    <w:rsid w:val="008C641F"/>
    <w:rsid w:val="008C7882"/>
    <w:rsid w:val="008C7AB0"/>
    <w:rsid w:val="008C7B45"/>
    <w:rsid w:val="008D1849"/>
    <w:rsid w:val="008D1CDD"/>
    <w:rsid w:val="008D2648"/>
    <w:rsid w:val="008D3258"/>
    <w:rsid w:val="008D4043"/>
    <w:rsid w:val="008D4739"/>
    <w:rsid w:val="008D4CB9"/>
    <w:rsid w:val="008D5DAF"/>
    <w:rsid w:val="008D60C8"/>
    <w:rsid w:val="008D6770"/>
    <w:rsid w:val="008D6BE5"/>
    <w:rsid w:val="008D6F3F"/>
    <w:rsid w:val="008D771C"/>
    <w:rsid w:val="008D7DD9"/>
    <w:rsid w:val="008E0621"/>
    <w:rsid w:val="008E06EE"/>
    <w:rsid w:val="008E0913"/>
    <w:rsid w:val="008E0BA9"/>
    <w:rsid w:val="008E2C77"/>
    <w:rsid w:val="008E44FD"/>
    <w:rsid w:val="008E5162"/>
    <w:rsid w:val="008E65AB"/>
    <w:rsid w:val="008E665C"/>
    <w:rsid w:val="008E7AAE"/>
    <w:rsid w:val="008F0C4E"/>
    <w:rsid w:val="008F0FEC"/>
    <w:rsid w:val="008F1E3F"/>
    <w:rsid w:val="008F2673"/>
    <w:rsid w:val="008F2FF3"/>
    <w:rsid w:val="008F3498"/>
    <w:rsid w:val="008F5B1B"/>
    <w:rsid w:val="008F6960"/>
    <w:rsid w:val="008F6A84"/>
    <w:rsid w:val="00900196"/>
    <w:rsid w:val="00900BA2"/>
    <w:rsid w:val="00901664"/>
    <w:rsid w:val="0090175B"/>
    <w:rsid w:val="00902781"/>
    <w:rsid w:val="0090294E"/>
    <w:rsid w:val="009032BD"/>
    <w:rsid w:val="0090386A"/>
    <w:rsid w:val="009054F9"/>
    <w:rsid w:val="00906284"/>
    <w:rsid w:val="00906E4F"/>
    <w:rsid w:val="00907750"/>
    <w:rsid w:val="00910364"/>
    <w:rsid w:val="00911004"/>
    <w:rsid w:val="0091190E"/>
    <w:rsid w:val="00911F7E"/>
    <w:rsid w:val="00912B2F"/>
    <w:rsid w:val="009136B6"/>
    <w:rsid w:val="00914148"/>
    <w:rsid w:val="0091526C"/>
    <w:rsid w:val="00915299"/>
    <w:rsid w:val="00915D78"/>
    <w:rsid w:val="009163ED"/>
    <w:rsid w:val="009164F5"/>
    <w:rsid w:val="009165BE"/>
    <w:rsid w:val="009173E3"/>
    <w:rsid w:val="009210B2"/>
    <w:rsid w:val="00921219"/>
    <w:rsid w:val="009217F7"/>
    <w:rsid w:val="00922B16"/>
    <w:rsid w:val="00923951"/>
    <w:rsid w:val="0092501E"/>
    <w:rsid w:val="00926F72"/>
    <w:rsid w:val="009270E3"/>
    <w:rsid w:val="0092731A"/>
    <w:rsid w:val="00927C43"/>
    <w:rsid w:val="0093166E"/>
    <w:rsid w:val="00931A5A"/>
    <w:rsid w:val="00931CCA"/>
    <w:rsid w:val="00931E05"/>
    <w:rsid w:val="00932326"/>
    <w:rsid w:val="00932848"/>
    <w:rsid w:val="0093285E"/>
    <w:rsid w:val="00933169"/>
    <w:rsid w:val="00933675"/>
    <w:rsid w:val="0093448D"/>
    <w:rsid w:val="00934A2B"/>
    <w:rsid w:val="00934E64"/>
    <w:rsid w:val="0093798C"/>
    <w:rsid w:val="00941C48"/>
    <w:rsid w:val="00942174"/>
    <w:rsid w:val="00942B69"/>
    <w:rsid w:val="009438CF"/>
    <w:rsid w:val="00943CD8"/>
    <w:rsid w:val="00944824"/>
    <w:rsid w:val="009457C1"/>
    <w:rsid w:val="00945BB4"/>
    <w:rsid w:val="00946052"/>
    <w:rsid w:val="009522D6"/>
    <w:rsid w:val="00952796"/>
    <w:rsid w:val="0095367E"/>
    <w:rsid w:val="00953A97"/>
    <w:rsid w:val="00953B18"/>
    <w:rsid w:val="0095488F"/>
    <w:rsid w:val="00954CE1"/>
    <w:rsid w:val="00955D24"/>
    <w:rsid w:val="00955F98"/>
    <w:rsid w:val="009567B1"/>
    <w:rsid w:val="00957E9E"/>
    <w:rsid w:val="0096019C"/>
    <w:rsid w:val="00961AB4"/>
    <w:rsid w:val="009631F9"/>
    <w:rsid w:val="00963B1F"/>
    <w:rsid w:val="00963CDF"/>
    <w:rsid w:val="00963D04"/>
    <w:rsid w:val="00963D7E"/>
    <w:rsid w:val="0096442E"/>
    <w:rsid w:val="00965362"/>
    <w:rsid w:val="009657FD"/>
    <w:rsid w:val="00965BC7"/>
    <w:rsid w:val="00965EDB"/>
    <w:rsid w:val="0096607D"/>
    <w:rsid w:val="00966699"/>
    <w:rsid w:val="00967ECF"/>
    <w:rsid w:val="0097020E"/>
    <w:rsid w:val="00971132"/>
    <w:rsid w:val="00971C64"/>
    <w:rsid w:val="00972228"/>
    <w:rsid w:val="00972293"/>
    <w:rsid w:val="0097263B"/>
    <w:rsid w:val="00973113"/>
    <w:rsid w:val="00973D23"/>
    <w:rsid w:val="009754B3"/>
    <w:rsid w:val="00975942"/>
    <w:rsid w:val="009770E7"/>
    <w:rsid w:val="0097794A"/>
    <w:rsid w:val="00981515"/>
    <w:rsid w:val="00981BCE"/>
    <w:rsid w:val="009823F0"/>
    <w:rsid w:val="00982736"/>
    <w:rsid w:val="00982DE7"/>
    <w:rsid w:val="00982E20"/>
    <w:rsid w:val="0098333A"/>
    <w:rsid w:val="00983962"/>
    <w:rsid w:val="00984390"/>
    <w:rsid w:val="00984586"/>
    <w:rsid w:val="00984883"/>
    <w:rsid w:val="009851FF"/>
    <w:rsid w:val="0098569D"/>
    <w:rsid w:val="00985F90"/>
    <w:rsid w:val="009877D1"/>
    <w:rsid w:val="00990964"/>
    <w:rsid w:val="00991BBC"/>
    <w:rsid w:val="0099571F"/>
    <w:rsid w:val="00995BDE"/>
    <w:rsid w:val="00997039"/>
    <w:rsid w:val="009979D0"/>
    <w:rsid w:val="00997CAA"/>
    <w:rsid w:val="009A1BB0"/>
    <w:rsid w:val="009A40BC"/>
    <w:rsid w:val="009A4505"/>
    <w:rsid w:val="009A4AC0"/>
    <w:rsid w:val="009A50CB"/>
    <w:rsid w:val="009A5959"/>
    <w:rsid w:val="009A71E3"/>
    <w:rsid w:val="009A7FF2"/>
    <w:rsid w:val="009B0E19"/>
    <w:rsid w:val="009B1F9D"/>
    <w:rsid w:val="009B2154"/>
    <w:rsid w:val="009B3AB9"/>
    <w:rsid w:val="009B59A2"/>
    <w:rsid w:val="009B5AD7"/>
    <w:rsid w:val="009B793A"/>
    <w:rsid w:val="009C1682"/>
    <w:rsid w:val="009C191E"/>
    <w:rsid w:val="009C1B12"/>
    <w:rsid w:val="009C2956"/>
    <w:rsid w:val="009C35C6"/>
    <w:rsid w:val="009C3E46"/>
    <w:rsid w:val="009C41F4"/>
    <w:rsid w:val="009C4676"/>
    <w:rsid w:val="009C579D"/>
    <w:rsid w:val="009C5C3C"/>
    <w:rsid w:val="009C6955"/>
    <w:rsid w:val="009D041F"/>
    <w:rsid w:val="009D1B07"/>
    <w:rsid w:val="009D1D58"/>
    <w:rsid w:val="009D2AD7"/>
    <w:rsid w:val="009D364F"/>
    <w:rsid w:val="009D5243"/>
    <w:rsid w:val="009D619E"/>
    <w:rsid w:val="009D680A"/>
    <w:rsid w:val="009D7114"/>
    <w:rsid w:val="009E05B2"/>
    <w:rsid w:val="009E1AD9"/>
    <w:rsid w:val="009E2D92"/>
    <w:rsid w:val="009E3823"/>
    <w:rsid w:val="009E3EB4"/>
    <w:rsid w:val="009E48E1"/>
    <w:rsid w:val="009E5D3A"/>
    <w:rsid w:val="009E677C"/>
    <w:rsid w:val="009EA9EB"/>
    <w:rsid w:val="009F0726"/>
    <w:rsid w:val="009F1F78"/>
    <w:rsid w:val="009F4F8F"/>
    <w:rsid w:val="009F5022"/>
    <w:rsid w:val="009F6182"/>
    <w:rsid w:val="009F621E"/>
    <w:rsid w:val="009F6A08"/>
    <w:rsid w:val="009F6B2A"/>
    <w:rsid w:val="009F6FD6"/>
    <w:rsid w:val="009F7712"/>
    <w:rsid w:val="00A01728"/>
    <w:rsid w:val="00A03A13"/>
    <w:rsid w:val="00A03DBB"/>
    <w:rsid w:val="00A06076"/>
    <w:rsid w:val="00A064EF"/>
    <w:rsid w:val="00A07E09"/>
    <w:rsid w:val="00A107DF"/>
    <w:rsid w:val="00A11293"/>
    <w:rsid w:val="00A12432"/>
    <w:rsid w:val="00A14D72"/>
    <w:rsid w:val="00A16278"/>
    <w:rsid w:val="00A165AF"/>
    <w:rsid w:val="00A21B22"/>
    <w:rsid w:val="00A21CF8"/>
    <w:rsid w:val="00A22091"/>
    <w:rsid w:val="00A23463"/>
    <w:rsid w:val="00A24874"/>
    <w:rsid w:val="00A24908"/>
    <w:rsid w:val="00A24D4B"/>
    <w:rsid w:val="00A262FA"/>
    <w:rsid w:val="00A268A3"/>
    <w:rsid w:val="00A26FFC"/>
    <w:rsid w:val="00A27266"/>
    <w:rsid w:val="00A27BC5"/>
    <w:rsid w:val="00A320AD"/>
    <w:rsid w:val="00A3276D"/>
    <w:rsid w:val="00A34A17"/>
    <w:rsid w:val="00A351F3"/>
    <w:rsid w:val="00A414FD"/>
    <w:rsid w:val="00A418BA"/>
    <w:rsid w:val="00A41F85"/>
    <w:rsid w:val="00A42734"/>
    <w:rsid w:val="00A42B04"/>
    <w:rsid w:val="00A4317D"/>
    <w:rsid w:val="00A43505"/>
    <w:rsid w:val="00A43ADC"/>
    <w:rsid w:val="00A43C9E"/>
    <w:rsid w:val="00A44F2B"/>
    <w:rsid w:val="00A451FB"/>
    <w:rsid w:val="00A460E8"/>
    <w:rsid w:val="00A466B6"/>
    <w:rsid w:val="00A467EB"/>
    <w:rsid w:val="00A46FEF"/>
    <w:rsid w:val="00A47498"/>
    <w:rsid w:val="00A4778B"/>
    <w:rsid w:val="00A47C1E"/>
    <w:rsid w:val="00A50893"/>
    <w:rsid w:val="00A5146B"/>
    <w:rsid w:val="00A516B8"/>
    <w:rsid w:val="00A51FAE"/>
    <w:rsid w:val="00A530E7"/>
    <w:rsid w:val="00A53884"/>
    <w:rsid w:val="00A53CF0"/>
    <w:rsid w:val="00A54930"/>
    <w:rsid w:val="00A54FD1"/>
    <w:rsid w:val="00A55027"/>
    <w:rsid w:val="00A55FC3"/>
    <w:rsid w:val="00A56079"/>
    <w:rsid w:val="00A563BB"/>
    <w:rsid w:val="00A5796F"/>
    <w:rsid w:val="00A600EF"/>
    <w:rsid w:val="00A6045C"/>
    <w:rsid w:val="00A60972"/>
    <w:rsid w:val="00A615A7"/>
    <w:rsid w:val="00A62A2F"/>
    <w:rsid w:val="00A62B89"/>
    <w:rsid w:val="00A64300"/>
    <w:rsid w:val="00A64625"/>
    <w:rsid w:val="00A64AA9"/>
    <w:rsid w:val="00A64AB0"/>
    <w:rsid w:val="00A64ECE"/>
    <w:rsid w:val="00A66B52"/>
    <w:rsid w:val="00A67177"/>
    <w:rsid w:val="00A70691"/>
    <w:rsid w:val="00A707DB"/>
    <w:rsid w:val="00A711E6"/>
    <w:rsid w:val="00A715F2"/>
    <w:rsid w:val="00A7328D"/>
    <w:rsid w:val="00A737BD"/>
    <w:rsid w:val="00A73B49"/>
    <w:rsid w:val="00A75BA0"/>
    <w:rsid w:val="00A76A97"/>
    <w:rsid w:val="00A7744F"/>
    <w:rsid w:val="00A77793"/>
    <w:rsid w:val="00A77AB5"/>
    <w:rsid w:val="00A8192D"/>
    <w:rsid w:val="00A82821"/>
    <w:rsid w:val="00A83754"/>
    <w:rsid w:val="00A8395B"/>
    <w:rsid w:val="00A839AB"/>
    <w:rsid w:val="00A844C7"/>
    <w:rsid w:val="00A845D0"/>
    <w:rsid w:val="00A874DB"/>
    <w:rsid w:val="00A87590"/>
    <w:rsid w:val="00A87823"/>
    <w:rsid w:val="00A90099"/>
    <w:rsid w:val="00A903B1"/>
    <w:rsid w:val="00A91804"/>
    <w:rsid w:val="00A932FF"/>
    <w:rsid w:val="00A94602"/>
    <w:rsid w:val="00A9487D"/>
    <w:rsid w:val="00A949B8"/>
    <w:rsid w:val="00A94BC2"/>
    <w:rsid w:val="00A95922"/>
    <w:rsid w:val="00A95B16"/>
    <w:rsid w:val="00A95E22"/>
    <w:rsid w:val="00A96112"/>
    <w:rsid w:val="00A966B0"/>
    <w:rsid w:val="00A96A5E"/>
    <w:rsid w:val="00A9BA26"/>
    <w:rsid w:val="00AA0624"/>
    <w:rsid w:val="00AA07DF"/>
    <w:rsid w:val="00AA0CAD"/>
    <w:rsid w:val="00AA1823"/>
    <w:rsid w:val="00AA19FA"/>
    <w:rsid w:val="00AA2314"/>
    <w:rsid w:val="00AA28F3"/>
    <w:rsid w:val="00AA296A"/>
    <w:rsid w:val="00AA2DC5"/>
    <w:rsid w:val="00AA32A4"/>
    <w:rsid w:val="00AA343A"/>
    <w:rsid w:val="00AA4072"/>
    <w:rsid w:val="00AA561B"/>
    <w:rsid w:val="00AA6416"/>
    <w:rsid w:val="00AA7C79"/>
    <w:rsid w:val="00AB3ECC"/>
    <w:rsid w:val="00AB40BA"/>
    <w:rsid w:val="00AB57C1"/>
    <w:rsid w:val="00AB5CA1"/>
    <w:rsid w:val="00AB7B39"/>
    <w:rsid w:val="00AC133A"/>
    <w:rsid w:val="00AC161E"/>
    <w:rsid w:val="00AC2CF7"/>
    <w:rsid w:val="00AC2F7D"/>
    <w:rsid w:val="00AC3197"/>
    <w:rsid w:val="00AC3277"/>
    <w:rsid w:val="00AC3293"/>
    <w:rsid w:val="00AC39D8"/>
    <w:rsid w:val="00AC3AD6"/>
    <w:rsid w:val="00AC3AFC"/>
    <w:rsid w:val="00AC494D"/>
    <w:rsid w:val="00AC504C"/>
    <w:rsid w:val="00AC5227"/>
    <w:rsid w:val="00AC566B"/>
    <w:rsid w:val="00AC58E1"/>
    <w:rsid w:val="00AC5E13"/>
    <w:rsid w:val="00AC653D"/>
    <w:rsid w:val="00AD1277"/>
    <w:rsid w:val="00AD3034"/>
    <w:rsid w:val="00AD30A5"/>
    <w:rsid w:val="00AE1FE1"/>
    <w:rsid w:val="00AE276A"/>
    <w:rsid w:val="00AE394C"/>
    <w:rsid w:val="00AE4095"/>
    <w:rsid w:val="00AE4C5C"/>
    <w:rsid w:val="00AE616B"/>
    <w:rsid w:val="00AE6BA8"/>
    <w:rsid w:val="00AE744B"/>
    <w:rsid w:val="00AE74C9"/>
    <w:rsid w:val="00AF03D2"/>
    <w:rsid w:val="00AF071E"/>
    <w:rsid w:val="00AF193F"/>
    <w:rsid w:val="00AF1C66"/>
    <w:rsid w:val="00AF2C70"/>
    <w:rsid w:val="00AF36C9"/>
    <w:rsid w:val="00AF3A22"/>
    <w:rsid w:val="00AF3F41"/>
    <w:rsid w:val="00AF43AC"/>
    <w:rsid w:val="00AF51BA"/>
    <w:rsid w:val="00AF52C4"/>
    <w:rsid w:val="00AF5642"/>
    <w:rsid w:val="00AF5718"/>
    <w:rsid w:val="00AF6150"/>
    <w:rsid w:val="00AF65C5"/>
    <w:rsid w:val="00AF707F"/>
    <w:rsid w:val="00AF70A4"/>
    <w:rsid w:val="00AF72CA"/>
    <w:rsid w:val="00B01163"/>
    <w:rsid w:val="00B01C1C"/>
    <w:rsid w:val="00B028F7"/>
    <w:rsid w:val="00B03C62"/>
    <w:rsid w:val="00B05814"/>
    <w:rsid w:val="00B05987"/>
    <w:rsid w:val="00B05A8D"/>
    <w:rsid w:val="00B077B8"/>
    <w:rsid w:val="00B1122B"/>
    <w:rsid w:val="00B11D30"/>
    <w:rsid w:val="00B11D92"/>
    <w:rsid w:val="00B124BB"/>
    <w:rsid w:val="00B12C52"/>
    <w:rsid w:val="00B13772"/>
    <w:rsid w:val="00B1401A"/>
    <w:rsid w:val="00B1450A"/>
    <w:rsid w:val="00B14F06"/>
    <w:rsid w:val="00B15CFA"/>
    <w:rsid w:val="00B167F9"/>
    <w:rsid w:val="00B16E7C"/>
    <w:rsid w:val="00B171FC"/>
    <w:rsid w:val="00B2017D"/>
    <w:rsid w:val="00B20D93"/>
    <w:rsid w:val="00B2149D"/>
    <w:rsid w:val="00B22066"/>
    <w:rsid w:val="00B233D1"/>
    <w:rsid w:val="00B2444B"/>
    <w:rsid w:val="00B2571C"/>
    <w:rsid w:val="00B26A85"/>
    <w:rsid w:val="00B27FD8"/>
    <w:rsid w:val="00B30865"/>
    <w:rsid w:val="00B30C40"/>
    <w:rsid w:val="00B30F57"/>
    <w:rsid w:val="00B338CB"/>
    <w:rsid w:val="00B33DF8"/>
    <w:rsid w:val="00B35790"/>
    <w:rsid w:val="00B35A9B"/>
    <w:rsid w:val="00B360DF"/>
    <w:rsid w:val="00B3639B"/>
    <w:rsid w:val="00B40D70"/>
    <w:rsid w:val="00B41EDF"/>
    <w:rsid w:val="00B42095"/>
    <w:rsid w:val="00B425FB"/>
    <w:rsid w:val="00B43068"/>
    <w:rsid w:val="00B438A1"/>
    <w:rsid w:val="00B4444A"/>
    <w:rsid w:val="00B4528F"/>
    <w:rsid w:val="00B47140"/>
    <w:rsid w:val="00B471AD"/>
    <w:rsid w:val="00B50310"/>
    <w:rsid w:val="00B5059B"/>
    <w:rsid w:val="00B50628"/>
    <w:rsid w:val="00B51011"/>
    <w:rsid w:val="00B532BB"/>
    <w:rsid w:val="00B53BE4"/>
    <w:rsid w:val="00B53CC5"/>
    <w:rsid w:val="00B5444D"/>
    <w:rsid w:val="00B56248"/>
    <w:rsid w:val="00B62C29"/>
    <w:rsid w:val="00B632EA"/>
    <w:rsid w:val="00B63DAF"/>
    <w:rsid w:val="00B67C88"/>
    <w:rsid w:val="00B727A5"/>
    <w:rsid w:val="00B72C4B"/>
    <w:rsid w:val="00B72D8D"/>
    <w:rsid w:val="00B74B69"/>
    <w:rsid w:val="00B7593E"/>
    <w:rsid w:val="00B75971"/>
    <w:rsid w:val="00B75BEE"/>
    <w:rsid w:val="00B75F0D"/>
    <w:rsid w:val="00B76725"/>
    <w:rsid w:val="00B76DE8"/>
    <w:rsid w:val="00B7791C"/>
    <w:rsid w:val="00B80511"/>
    <w:rsid w:val="00B817F2"/>
    <w:rsid w:val="00B83A7E"/>
    <w:rsid w:val="00B85919"/>
    <w:rsid w:val="00B865F4"/>
    <w:rsid w:val="00B8691B"/>
    <w:rsid w:val="00B87B9B"/>
    <w:rsid w:val="00B87C4F"/>
    <w:rsid w:val="00B87E32"/>
    <w:rsid w:val="00B903B8"/>
    <w:rsid w:val="00B90769"/>
    <w:rsid w:val="00B911DC"/>
    <w:rsid w:val="00B93907"/>
    <w:rsid w:val="00B93A96"/>
    <w:rsid w:val="00B952C3"/>
    <w:rsid w:val="00B95427"/>
    <w:rsid w:val="00B96965"/>
    <w:rsid w:val="00BA069D"/>
    <w:rsid w:val="00BA08E9"/>
    <w:rsid w:val="00BA0976"/>
    <w:rsid w:val="00BA115A"/>
    <w:rsid w:val="00BA1BB4"/>
    <w:rsid w:val="00BA21AF"/>
    <w:rsid w:val="00BA2E99"/>
    <w:rsid w:val="00BA3474"/>
    <w:rsid w:val="00BA35DD"/>
    <w:rsid w:val="00BA494B"/>
    <w:rsid w:val="00BA5AED"/>
    <w:rsid w:val="00BA5F67"/>
    <w:rsid w:val="00BA5F83"/>
    <w:rsid w:val="00BA6CCA"/>
    <w:rsid w:val="00BB0E3D"/>
    <w:rsid w:val="00BB2205"/>
    <w:rsid w:val="00BB246A"/>
    <w:rsid w:val="00BB2A3F"/>
    <w:rsid w:val="00BB3761"/>
    <w:rsid w:val="00BB3E4C"/>
    <w:rsid w:val="00BB4C58"/>
    <w:rsid w:val="00BB6D0C"/>
    <w:rsid w:val="00BC054B"/>
    <w:rsid w:val="00BC0E00"/>
    <w:rsid w:val="00BC0EDA"/>
    <w:rsid w:val="00BC14C5"/>
    <w:rsid w:val="00BC2E39"/>
    <w:rsid w:val="00BC3301"/>
    <w:rsid w:val="00BC4445"/>
    <w:rsid w:val="00BC4C93"/>
    <w:rsid w:val="00BC59DB"/>
    <w:rsid w:val="00BC7E47"/>
    <w:rsid w:val="00BD0989"/>
    <w:rsid w:val="00BD0B4C"/>
    <w:rsid w:val="00BD16F8"/>
    <w:rsid w:val="00BD1F99"/>
    <w:rsid w:val="00BD38D6"/>
    <w:rsid w:val="00BD45F8"/>
    <w:rsid w:val="00BD4A3A"/>
    <w:rsid w:val="00BD4ECF"/>
    <w:rsid w:val="00BD51AD"/>
    <w:rsid w:val="00BD5535"/>
    <w:rsid w:val="00BD60EA"/>
    <w:rsid w:val="00BD6EC3"/>
    <w:rsid w:val="00BD749B"/>
    <w:rsid w:val="00BE0180"/>
    <w:rsid w:val="00BE0194"/>
    <w:rsid w:val="00BE0DA7"/>
    <w:rsid w:val="00BE1924"/>
    <w:rsid w:val="00BE2379"/>
    <w:rsid w:val="00BE26DA"/>
    <w:rsid w:val="00BE31AF"/>
    <w:rsid w:val="00BE346D"/>
    <w:rsid w:val="00BE525A"/>
    <w:rsid w:val="00BE6BC0"/>
    <w:rsid w:val="00BF130F"/>
    <w:rsid w:val="00BF1399"/>
    <w:rsid w:val="00BF174B"/>
    <w:rsid w:val="00BF1E3F"/>
    <w:rsid w:val="00BF2E82"/>
    <w:rsid w:val="00BF3079"/>
    <w:rsid w:val="00BF4171"/>
    <w:rsid w:val="00BF48F9"/>
    <w:rsid w:val="00BF53EF"/>
    <w:rsid w:val="00BF7500"/>
    <w:rsid w:val="00BF78AF"/>
    <w:rsid w:val="00C00339"/>
    <w:rsid w:val="00C00559"/>
    <w:rsid w:val="00C00F12"/>
    <w:rsid w:val="00C01BE3"/>
    <w:rsid w:val="00C01C11"/>
    <w:rsid w:val="00C0380E"/>
    <w:rsid w:val="00C03B3E"/>
    <w:rsid w:val="00C03DDA"/>
    <w:rsid w:val="00C0449C"/>
    <w:rsid w:val="00C055BD"/>
    <w:rsid w:val="00C05CE7"/>
    <w:rsid w:val="00C06BFA"/>
    <w:rsid w:val="00C06F11"/>
    <w:rsid w:val="00C11D31"/>
    <w:rsid w:val="00C12589"/>
    <w:rsid w:val="00C12AE4"/>
    <w:rsid w:val="00C14A27"/>
    <w:rsid w:val="00C1503F"/>
    <w:rsid w:val="00C150CF"/>
    <w:rsid w:val="00C15A3F"/>
    <w:rsid w:val="00C1788B"/>
    <w:rsid w:val="00C2178D"/>
    <w:rsid w:val="00C228C2"/>
    <w:rsid w:val="00C22C04"/>
    <w:rsid w:val="00C233F2"/>
    <w:rsid w:val="00C2369A"/>
    <w:rsid w:val="00C24D80"/>
    <w:rsid w:val="00C25D0F"/>
    <w:rsid w:val="00C25DB8"/>
    <w:rsid w:val="00C26ACB"/>
    <w:rsid w:val="00C26C8A"/>
    <w:rsid w:val="00C26D05"/>
    <w:rsid w:val="00C27566"/>
    <w:rsid w:val="00C2759C"/>
    <w:rsid w:val="00C27C16"/>
    <w:rsid w:val="00C27EDF"/>
    <w:rsid w:val="00C300D4"/>
    <w:rsid w:val="00C30731"/>
    <w:rsid w:val="00C3101F"/>
    <w:rsid w:val="00C32D9D"/>
    <w:rsid w:val="00C32E22"/>
    <w:rsid w:val="00C3336A"/>
    <w:rsid w:val="00C337A2"/>
    <w:rsid w:val="00C344AC"/>
    <w:rsid w:val="00C35B4A"/>
    <w:rsid w:val="00C36480"/>
    <w:rsid w:val="00C36492"/>
    <w:rsid w:val="00C36643"/>
    <w:rsid w:val="00C36A28"/>
    <w:rsid w:val="00C40EE8"/>
    <w:rsid w:val="00C41DF3"/>
    <w:rsid w:val="00C41F36"/>
    <w:rsid w:val="00C4331E"/>
    <w:rsid w:val="00C434CA"/>
    <w:rsid w:val="00C43803"/>
    <w:rsid w:val="00C44982"/>
    <w:rsid w:val="00C455F9"/>
    <w:rsid w:val="00C459FC"/>
    <w:rsid w:val="00C46B9B"/>
    <w:rsid w:val="00C46F23"/>
    <w:rsid w:val="00C470B5"/>
    <w:rsid w:val="00C47558"/>
    <w:rsid w:val="00C4770C"/>
    <w:rsid w:val="00C47949"/>
    <w:rsid w:val="00C47D3E"/>
    <w:rsid w:val="00C5006B"/>
    <w:rsid w:val="00C51572"/>
    <w:rsid w:val="00C52078"/>
    <w:rsid w:val="00C520CC"/>
    <w:rsid w:val="00C540E1"/>
    <w:rsid w:val="00C5416E"/>
    <w:rsid w:val="00C543E6"/>
    <w:rsid w:val="00C548C0"/>
    <w:rsid w:val="00C5494A"/>
    <w:rsid w:val="00C55C09"/>
    <w:rsid w:val="00C55FA7"/>
    <w:rsid w:val="00C56D7C"/>
    <w:rsid w:val="00C57713"/>
    <w:rsid w:val="00C577F6"/>
    <w:rsid w:val="00C605CB"/>
    <w:rsid w:val="00C618D2"/>
    <w:rsid w:val="00C6215B"/>
    <w:rsid w:val="00C62D02"/>
    <w:rsid w:val="00C62D53"/>
    <w:rsid w:val="00C6642C"/>
    <w:rsid w:val="00C664A4"/>
    <w:rsid w:val="00C67131"/>
    <w:rsid w:val="00C67C29"/>
    <w:rsid w:val="00C708D2"/>
    <w:rsid w:val="00C70CB6"/>
    <w:rsid w:val="00C70EF5"/>
    <w:rsid w:val="00C70F67"/>
    <w:rsid w:val="00C711E1"/>
    <w:rsid w:val="00C716FE"/>
    <w:rsid w:val="00C71E61"/>
    <w:rsid w:val="00C72C1A"/>
    <w:rsid w:val="00C72DEB"/>
    <w:rsid w:val="00C7350C"/>
    <w:rsid w:val="00C73863"/>
    <w:rsid w:val="00C741D8"/>
    <w:rsid w:val="00C741F7"/>
    <w:rsid w:val="00C7476C"/>
    <w:rsid w:val="00C75202"/>
    <w:rsid w:val="00C75B5D"/>
    <w:rsid w:val="00C76324"/>
    <w:rsid w:val="00C80F5C"/>
    <w:rsid w:val="00C8199B"/>
    <w:rsid w:val="00C821D1"/>
    <w:rsid w:val="00C84BCD"/>
    <w:rsid w:val="00C84D58"/>
    <w:rsid w:val="00C85093"/>
    <w:rsid w:val="00C85CB3"/>
    <w:rsid w:val="00C86592"/>
    <w:rsid w:val="00C86A0D"/>
    <w:rsid w:val="00C9130B"/>
    <w:rsid w:val="00C91C7A"/>
    <w:rsid w:val="00C92055"/>
    <w:rsid w:val="00C95A6B"/>
    <w:rsid w:val="00C968BE"/>
    <w:rsid w:val="00C97440"/>
    <w:rsid w:val="00C9757E"/>
    <w:rsid w:val="00C97877"/>
    <w:rsid w:val="00C97DC4"/>
    <w:rsid w:val="00CA25C6"/>
    <w:rsid w:val="00CA28E3"/>
    <w:rsid w:val="00CA30C5"/>
    <w:rsid w:val="00CA6158"/>
    <w:rsid w:val="00CA61D1"/>
    <w:rsid w:val="00CA6DF2"/>
    <w:rsid w:val="00CA7FC8"/>
    <w:rsid w:val="00CB01B9"/>
    <w:rsid w:val="00CB0CA6"/>
    <w:rsid w:val="00CB2951"/>
    <w:rsid w:val="00CB2AB1"/>
    <w:rsid w:val="00CB2F0A"/>
    <w:rsid w:val="00CB38FB"/>
    <w:rsid w:val="00CB3DAE"/>
    <w:rsid w:val="00CB3F25"/>
    <w:rsid w:val="00CB4DCD"/>
    <w:rsid w:val="00CB4ED4"/>
    <w:rsid w:val="00CB51E7"/>
    <w:rsid w:val="00CB5857"/>
    <w:rsid w:val="00CB712D"/>
    <w:rsid w:val="00CC0CFE"/>
    <w:rsid w:val="00CC1B67"/>
    <w:rsid w:val="00CC4AF6"/>
    <w:rsid w:val="00CC4C4E"/>
    <w:rsid w:val="00CC4ECA"/>
    <w:rsid w:val="00CC620A"/>
    <w:rsid w:val="00CC69A5"/>
    <w:rsid w:val="00CD0D40"/>
    <w:rsid w:val="00CD13F5"/>
    <w:rsid w:val="00CD1724"/>
    <w:rsid w:val="00CD1BC9"/>
    <w:rsid w:val="00CD4DA3"/>
    <w:rsid w:val="00CD562D"/>
    <w:rsid w:val="00CD5B83"/>
    <w:rsid w:val="00CD5DCA"/>
    <w:rsid w:val="00CD7D7D"/>
    <w:rsid w:val="00CD7DE5"/>
    <w:rsid w:val="00CE044A"/>
    <w:rsid w:val="00CE0B35"/>
    <w:rsid w:val="00CE0F34"/>
    <w:rsid w:val="00CE1178"/>
    <w:rsid w:val="00CE19B3"/>
    <w:rsid w:val="00CE1E48"/>
    <w:rsid w:val="00CE2B45"/>
    <w:rsid w:val="00CE312A"/>
    <w:rsid w:val="00CE3C09"/>
    <w:rsid w:val="00CE3D1D"/>
    <w:rsid w:val="00CE4840"/>
    <w:rsid w:val="00CE4C2B"/>
    <w:rsid w:val="00CE6911"/>
    <w:rsid w:val="00CE75F1"/>
    <w:rsid w:val="00CE7797"/>
    <w:rsid w:val="00CE7972"/>
    <w:rsid w:val="00CE7A98"/>
    <w:rsid w:val="00CE7C73"/>
    <w:rsid w:val="00CF125B"/>
    <w:rsid w:val="00CF1ACC"/>
    <w:rsid w:val="00CF1FC3"/>
    <w:rsid w:val="00CF4077"/>
    <w:rsid w:val="00CF4378"/>
    <w:rsid w:val="00CF46BD"/>
    <w:rsid w:val="00CF5259"/>
    <w:rsid w:val="00CF584A"/>
    <w:rsid w:val="00CF68D6"/>
    <w:rsid w:val="00CF6C7F"/>
    <w:rsid w:val="00CF72CD"/>
    <w:rsid w:val="00CF78E4"/>
    <w:rsid w:val="00CF7B98"/>
    <w:rsid w:val="00D00A5D"/>
    <w:rsid w:val="00D011A1"/>
    <w:rsid w:val="00D01436"/>
    <w:rsid w:val="00D01FD0"/>
    <w:rsid w:val="00D0412A"/>
    <w:rsid w:val="00D052EB"/>
    <w:rsid w:val="00D0543C"/>
    <w:rsid w:val="00D058B5"/>
    <w:rsid w:val="00D05CAA"/>
    <w:rsid w:val="00D067EA"/>
    <w:rsid w:val="00D06EB8"/>
    <w:rsid w:val="00D123C2"/>
    <w:rsid w:val="00D124D5"/>
    <w:rsid w:val="00D1469E"/>
    <w:rsid w:val="00D14FD3"/>
    <w:rsid w:val="00D16AC3"/>
    <w:rsid w:val="00D175AE"/>
    <w:rsid w:val="00D17C92"/>
    <w:rsid w:val="00D17F94"/>
    <w:rsid w:val="00D2118A"/>
    <w:rsid w:val="00D211CF"/>
    <w:rsid w:val="00D21B52"/>
    <w:rsid w:val="00D2256C"/>
    <w:rsid w:val="00D23A8F"/>
    <w:rsid w:val="00D242B6"/>
    <w:rsid w:val="00D242DB"/>
    <w:rsid w:val="00D24F5F"/>
    <w:rsid w:val="00D2533D"/>
    <w:rsid w:val="00D25799"/>
    <w:rsid w:val="00D26118"/>
    <w:rsid w:val="00D26364"/>
    <w:rsid w:val="00D26B22"/>
    <w:rsid w:val="00D270FE"/>
    <w:rsid w:val="00D27544"/>
    <w:rsid w:val="00D3098C"/>
    <w:rsid w:val="00D30E6E"/>
    <w:rsid w:val="00D31117"/>
    <w:rsid w:val="00D353A7"/>
    <w:rsid w:val="00D35748"/>
    <w:rsid w:val="00D36AE5"/>
    <w:rsid w:val="00D406C8"/>
    <w:rsid w:val="00D4181E"/>
    <w:rsid w:val="00D41ED9"/>
    <w:rsid w:val="00D42114"/>
    <w:rsid w:val="00D42E24"/>
    <w:rsid w:val="00D43165"/>
    <w:rsid w:val="00D434D7"/>
    <w:rsid w:val="00D438DC"/>
    <w:rsid w:val="00D43B93"/>
    <w:rsid w:val="00D43F85"/>
    <w:rsid w:val="00D5069B"/>
    <w:rsid w:val="00D507D0"/>
    <w:rsid w:val="00D510B1"/>
    <w:rsid w:val="00D5199E"/>
    <w:rsid w:val="00D51A72"/>
    <w:rsid w:val="00D52595"/>
    <w:rsid w:val="00D53EAF"/>
    <w:rsid w:val="00D5436B"/>
    <w:rsid w:val="00D5468C"/>
    <w:rsid w:val="00D54E00"/>
    <w:rsid w:val="00D55129"/>
    <w:rsid w:val="00D55273"/>
    <w:rsid w:val="00D565BB"/>
    <w:rsid w:val="00D56FEC"/>
    <w:rsid w:val="00D57EBC"/>
    <w:rsid w:val="00D60030"/>
    <w:rsid w:val="00D6100F"/>
    <w:rsid w:val="00D618B7"/>
    <w:rsid w:val="00D62DEF"/>
    <w:rsid w:val="00D63CB1"/>
    <w:rsid w:val="00D6437B"/>
    <w:rsid w:val="00D64836"/>
    <w:rsid w:val="00D64A7D"/>
    <w:rsid w:val="00D64D2F"/>
    <w:rsid w:val="00D64ECA"/>
    <w:rsid w:val="00D65C2A"/>
    <w:rsid w:val="00D66C61"/>
    <w:rsid w:val="00D67207"/>
    <w:rsid w:val="00D672EF"/>
    <w:rsid w:val="00D67FEF"/>
    <w:rsid w:val="00D705D8"/>
    <w:rsid w:val="00D71CAD"/>
    <w:rsid w:val="00D71DAB"/>
    <w:rsid w:val="00D73B8C"/>
    <w:rsid w:val="00D73EED"/>
    <w:rsid w:val="00D745D1"/>
    <w:rsid w:val="00D74B1A"/>
    <w:rsid w:val="00D7509D"/>
    <w:rsid w:val="00D75394"/>
    <w:rsid w:val="00D75CCB"/>
    <w:rsid w:val="00D7600F"/>
    <w:rsid w:val="00D76A3C"/>
    <w:rsid w:val="00D7700F"/>
    <w:rsid w:val="00D77359"/>
    <w:rsid w:val="00D778BB"/>
    <w:rsid w:val="00D77D91"/>
    <w:rsid w:val="00D81ECF"/>
    <w:rsid w:val="00D82C89"/>
    <w:rsid w:val="00D83195"/>
    <w:rsid w:val="00D832FE"/>
    <w:rsid w:val="00D85E47"/>
    <w:rsid w:val="00D8650D"/>
    <w:rsid w:val="00D86806"/>
    <w:rsid w:val="00D86A90"/>
    <w:rsid w:val="00D87228"/>
    <w:rsid w:val="00D904A2"/>
    <w:rsid w:val="00D91915"/>
    <w:rsid w:val="00D92A7E"/>
    <w:rsid w:val="00D9497A"/>
    <w:rsid w:val="00D95E38"/>
    <w:rsid w:val="00D9627D"/>
    <w:rsid w:val="00D96E45"/>
    <w:rsid w:val="00D9770C"/>
    <w:rsid w:val="00D97968"/>
    <w:rsid w:val="00DA0256"/>
    <w:rsid w:val="00DA074C"/>
    <w:rsid w:val="00DA0C34"/>
    <w:rsid w:val="00DA0E7C"/>
    <w:rsid w:val="00DA102C"/>
    <w:rsid w:val="00DA1DF6"/>
    <w:rsid w:val="00DA2C9B"/>
    <w:rsid w:val="00DA2CFD"/>
    <w:rsid w:val="00DA39FC"/>
    <w:rsid w:val="00DA45C9"/>
    <w:rsid w:val="00DA513F"/>
    <w:rsid w:val="00DA5A9B"/>
    <w:rsid w:val="00DA70A1"/>
    <w:rsid w:val="00DB099F"/>
    <w:rsid w:val="00DB0F71"/>
    <w:rsid w:val="00DB11AB"/>
    <w:rsid w:val="00DB12E5"/>
    <w:rsid w:val="00DB1321"/>
    <w:rsid w:val="00DB1A1B"/>
    <w:rsid w:val="00DB21C4"/>
    <w:rsid w:val="00DB2602"/>
    <w:rsid w:val="00DB4288"/>
    <w:rsid w:val="00DB4A7F"/>
    <w:rsid w:val="00DB4BDA"/>
    <w:rsid w:val="00DB4E66"/>
    <w:rsid w:val="00DB5466"/>
    <w:rsid w:val="00DB55A3"/>
    <w:rsid w:val="00DB5BC1"/>
    <w:rsid w:val="00DB7891"/>
    <w:rsid w:val="00DC0297"/>
    <w:rsid w:val="00DC076C"/>
    <w:rsid w:val="00DC07F2"/>
    <w:rsid w:val="00DC0D17"/>
    <w:rsid w:val="00DC1424"/>
    <w:rsid w:val="00DC2F91"/>
    <w:rsid w:val="00DC36F0"/>
    <w:rsid w:val="00DC5D42"/>
    <w:rsid w:val="00DC7B5A"/>
    <w:rsid w:val="00DC7C34"/>
    <w:rsid w:val="00DD08BC"/>
    <w:rsid w:val="00DD2221"/>
    <w:rsid w:val="00DD2954"/>
    <w:rsid w:val="00DD3AA8"/>
    <w:rsid w:val="00DD45EF"/>
    <w:rsid w:val="00DD59A7"/>
    <w:rsid w:val="00DD64FC"/>
    <w:rsid w:val="00DE071C"/>
    <w:rsid w:val="00DE0D67"/>
    <w:rsid w:val="00DE28DF"/>
    <w:rsid w:val="00DE344E"/>
    <w:rsid w:val="00DE365E"/>
    <w:rsid w:val="00DE50EB"/>
    <w:rsid w:val="00DE51CE"/>
    <w:rsid w:val="00DE5E81"/>
    <w:rsid w:val="00DE6370"/>
    <w:rsid w:val="00DE64C0"/>
    <w:rsid w:val="00DE65F1"/>
    <w:rsid w:val="00DE7C1D"/>
    <w:rsid w:val="00DF048C"/>
    <w:rsid w:val="00DF081D"/>
    <w:rsid w:val="00DF16DC"/>
    <w:rsid w:val="00DF2BF1"/>
    <w:rsid w:val="00DF2E32"/>
    <w:rsid w:val="00DF3C48"/>
    <w:rsid w:val="00DF4486"/>
    <w:rsid w:val="00DF468D"/>
    <w:rsid w:val="00DF5205"/>
    <w:rsid w:val="00DF5F86"/>
    <w:rsid w:val="00DF63A3"/>
    <w:rsid w:val="00DF6923"/>
    <w:rsid w:val="00E00BF1"/>
    <w:rsid w:val="00E01BCC"/>
    <w:rsid w:val="00E0203F"/>
    <w:rsid w:val="00E021E3"/>
    <w:rsid w:val="00E02656"/>
    <w:rsid w:val="00E02DFE"/>
    <w:rsid w:val="00E03EA3"/>
    <w:rsid w:val="00E03F53"/>
    <w:rsid w:val="00E05369"/>
    <w:rsid w:val="00E053E4"/>
    <w:rsid w:val="00E06BF6"/>
    <w:rsid w:val="00E06D77"/>
    <w:rsid w:val="00E06F0D"/>
    <w:rsid w:val="00E07C13"/>
    <w:rsid w:val="00E07D8A"/>
    <w:rsid w:val="00E10237"/>
    <w:rsid w:val="00E108E0"/>
    <w:rsid w:val="00E1190C"/>
    <w:rsid w:val="00E11928"/>
    <w:rsid w:val="00E1420B"/>
    <w:rsid w:val="00E14CCC"/>
    <w:rsid w:val="00E1575E"/>
    <w:rsid w:val="00E1643B"/>
    <w:rsid w:val="00E16BEE"/>
    <w:rsid w:val="00E16D03"/>
    <w:rsid w:val="00E16E40"/>
    <w:rsid w:val="00E1703D"/>
    <w:rsid w:val="00E17956"/>
    <w:rsid w:val="00E204B4"/>
    <w:rsid w:val="00E20E09"/>
    <w:rsid w:val="00E20EA2"/>
    <w:rsid w:val="00E20F82"/>
    <w:rsid w:val="00E2100F"/>
    <w:rsid w:val="00E23306"/>
    <w:rsid w:val="00E2389F"/>
    <w:rsid w:val="00E247CB"/>
    <w:rsid w:val="00E24832"/>
    <w:rsid w:val="00E25331"/>
    <w:rsid w:val="00E267AD"/>
    <w:rsid w:val="00E2697D"/>
    <w:rsid w:val="00E26CEF"/>
    <w:rsid w:val="00E2724F"/>
    <w:rsid w:val="00E27A9C"/>
    <w:rsid w:val="00E27B93"/>
    <w:rsid w:val="00E27F89"/>
    <w:rsid w:val="00E30C7C"/>
    <w:rsid w:val="00E30D4F"/>
    <w:rsid w:val="00E310F8"/>
    <w:rsid w:val="00E31386"/>
    <w:rsid w:val="00E31D09"/>
    <w:rsid w:val="00E3250C"/>
    <w:rsid w:val="00E32618"/>
    <w:rsid w:val="00E33710"/>
    <w:rsid w:val="00E33E6F"/>
    <w:rsid w:val="00E3555A"/>
    <w:rsid w:val="00E35FD7"/>
    <w:rsid w:val="00E362E1"/>
    <w:rsid w:val="00E40AEB"/>
    <w:rsid w:val="00E41942"/>
    <w:rsid w:val="00E41D46"/>
    <w:rsid w:val="00E41E87"/>
    <w:rsid w:val="00E42523"/>
    <w:rsid w:val="00E43EB8"/>
    <w:rsid w:val="00E4520F"/>
    <w:rsid w:val="00E45D15"/>
    <w:rsid w:val="00E4666B"/>
    <w:rsid w:val="00E46825"/>
    <w:rsid w:val="00E46DEC"/>
    <w:rsid w:val="00E47592"/>
    <w:rsid w:val="00E476B8"/>
    <w:rsid w:val="00E512BA"/>
    <w:rsid w:val="00E515E6"/>
    <w:rsid w:val="00E52431"/>
    <w:rsid w:val="00E52623"/>
    <w:rsid w:val="00E52C06"/>
    <w:rsid w:val="00E53091"/>
    <w:rsid w:val="00E542FB"/>
    <w:rsid w:val="00E5434A"/>
    <w:rsid w:val="00E5474C"/>
    <w:rsid w:val="00E54A10"/>
    <w:rsid w:val="00E54DC6"/>
    <w:rsid w:val="00E550B5"/>
    <w:rsid w:val="00E55435"/>
    <w:rsid w:val="00E5545F"/>
    <w:rsid w:val="00E5586E"/>
    <w:rsid w:val="00E55E8F"/>
    <w:rsid w:val="00E56BB6"/>
    <w:rsid w:val="00E57993"/>
    <w:rsid w:val="00E60753"/>
    <w:rsid w:val="00E608AD"/>
    <w:rsid w:val="00E60BA7"/>
    <w:rsid w:val="00E61E8E"/>
    <w:rsid w:val="00E62232"/>
    <w:rsid w:val="00E6380B"/>
    <w:rsid w:val="00E63D10"/>
    <w:rsid w:val="00E63FE3"/>
    <w:rsid w:val="00E64A60"/>
    <w:rsid w:val="00E675FF"/>
    <w:rsid w:val="00E70277"/>
    <w:rsid w:val="00E70372"/>
    <w:rsid w:val="00E7057B"/>
    <w:rsid w:val="00E723F0"/>
    <w:rsid w:val="00E745FF"/>
    <w:rsid w:val="00E74ADA"/>
    <w:rsid w:val="00E75669"/>
    <w:rsid w:val="00E765DF"/>
    <w:rsid w:val="00E76C85"/>
    <w:rsid w:val="00E77758"/>
    <w:rsid w:val="00E77F24"/>
    <w:rsid w:val="00E808AD"/>
    <w:rsid w:val="00E809D3"/>
    <w:rsid w:val="00E80A7F"/>
    <w:rsid w:val="00E8100E"/>
    <w:rsid w:val="00E819C0"/>
    <w:rsid w:val="00E82C94"/>
    <w:rsid w:val="00E82F2E"/>
    <w:rsid w:val="00E83B35"/>
    <w:rsid w:val="00E854F6"/>
    <w:rsid w:val="00E855B5"/>
    <w:rsid w:val="00E8575B"/>
    <w:rsid w:val="00E85C82"/>
    <w:rsid w:val="00E86C2D"/>
    <w:rsid w:val="00E87FDC"/>
    <w:rsid w:val="00E903BB"/>
    <w:rsid w:val="00E910E7"/>
    <w:rsid w:val="00E915A9"/>
    <w:rsid w:val="00E91610"/>
    <w:rsid w:val="00E91BB5"/>
    <w:rsid w:val="00E92846"/>
    <w:rsid w:val="00E939C5"/>
    <w:rsid w:val="00E93CE3"/>
    <w:rsid w:val="00E94162"/>
    <w:rsid w:val="00E95848"/>
    <w:rsid w:val="00E96202"/>
    <w:rsid w:val="00E9654B"/>
    <w:rsid w:val="00EA061E"/>
    <w:rsid w:val="00EA065C"/>
    <w:rsid w:val="00EA06E2"/>
    <w:rsid w:val="00EA156C"/>
    <w:rsid w:val="00EA2D04"/>
    <w:rsid w:val="00EA6F59"/>
    <w:rsid w:val="00EA7166"/>
    <w:rsid w:val="00EB1A2D"/>
    <w:rsid w:val="00EB28CB"/>
    <w:rsid w:val="00EB3D00"/>
    <w:rsid w:val="00EB3EEE"/>
    <w:rsid w:val="00EB496E"/>
    <w:rsid w:val="00EB51DA"/>
    <w:rsid w:val="00EB554E"/>
    <w:rsid w:val="00EB63CB"/>
    <w:rsid w:val="00EB66A9"/>
    <w:rsid w:val="00EB701F"/>
    <w:rsid w:val="00EC01DA"/>
    <w:rsid w:val="00EC032E"/>
    <w:rsid w:val="00EC042C"/>
    <w:rsid w:val="00EC15F6"/>
    <w:rsid w:val="00EC380B"/>
    <w:rsid w:val="00EC3CA1"/>
    <w:rsid w:val="00EC4AB8"/>
    <w:rsid w:val="00EC537E"/>
    <w:rsid w:val="00EC66AC"/>
    <w:rsid w:val="00EC6957"/>
    <w:rsid w:val="00EC7668"/>
    <w:rsid w:val="00ED072F"/>
    <w:rsid w:val="00ED1C62"/>
    <w:rsid w:val="00ED2D5A"/>
    <w:rsid w:val="00ED31EE"/>
    <w:rsid w:val="00ED3404"/>
    <w:rsid w:val="00ED3DED"/>
    <w:rsid w:val="00ED4067"/>
    <w:rsid w:val="00ED453A"/>
    <w:rsid w:val="00ED625D"/>
    <w:rsid w:val="00ED6B51"/>
    <w:rsid w:val="00ED75F6"/>
    <w:rsid w:val="00ED7750"/>
    <w:rsid w:val="00ED7A47"/>
    <w:rsid w:val="00ED7B8A"/>
    <w:rsid w:val="00EE0AD0"/>
    <w:rsid w:val="00EE260A"/>
    <w:rsid w:val="00EE303B"/>
    <w:rsid w:val="00EE3F37"/>
    <w:rsid w:val="00EE638C"/>
    <w:rsid w:val="00EE64BC"/>
    <w:rsid w:val="00EE69D8"/>
    <w:rsid w:val="00EE739D"/>
    <w:rsid w:val="00EE798E"/>
    <w:rsid w:val="00EE79A4"/>
    <w:rsid w:val="00EE7C5D"/>
    <w:rsid w:val="00EF1102"/>
    <w:rsid w:val="00EF2D40"/>
    <w:rsid w:val="00EF3B49"/>
    <w:rsid w:val="00EF4DE2"/>
    <w:rsid w:val="00EF4E4B"/>
    <w:rsid w:val="00EF5943"/>
    <w:rsid w:val="00EF5EAE"/>
    <w:rsid w:val="00EF5EDC"/>
    <w:rsid w:val="00EF6188"/>
    <w:rsid w:val="00EF6337"/>
    <w:rsid w:val="00EF66C1"/>
    <w:rsid w:val="00EF66F2"/>
    <w:rsid w:val="00EF7076"/>
    <w:rsid w:val="00EF7418"/>
    <w:rsid w:val="00EF7BC6"/>
    <w:rsid w:val="00EF7F50"/>
    <w:rsid w:val="00F01985"/>
    <w:rsid w:val="00F01ECE"/>
    <w:rsid w:val="00F0222B"/>
    <w:rsid w:val="00F02966"/>
    <w:rsid w:val="00F039F8"/>
    <w:rsid w:val="00F03FC0"/>
    <w:rsid w:val="00F0479D"/>
    <w:rsid w:val="00F04E3D"/>
    <w:rsid w:val="00F05703"/>
    <w:rsid w:val="00F0674A"/>
    <w:rsid w:val="00F07C13"/>
    <w:rsid w:val="00F10C32"/>
    <w:rsid w:val="00F10F29"/>
    <w:rsid w:val="00F12E4A"/>
    <w:rsid w:val="00F12ED2"/>
    <w:rsid w:val="00F1342B"/>
    <w:rsid w:val="00F13460"/>
    <w:rsid w:val="00F1351C"/>
    <w:rsid w:val="00F135A6"/>
    <w:rsid w:val="00F142D5"/>
    <w:rsid w:val="00F149EC"/>
    <w:rsid w:val="00F20281"/>
    <w:rsid w:val="00F22445"/>
    <w:rsid w:val="00F2294B"/>
    <w:rsid w:val="00F231AE"/>
    <w:rsid w:val="00F23A00"/>
    <w:rsid w:val="00F2452E"/>
    <w:rsid w:val="00F24ADE"/>
    <w:rsid w:val="00F2528A"/>
    <w:rsid w:val="00F25C5A"/>
    <w:rsid w:val="00F262B0"/>
    <w:rsid w:val="00F2703D"/>
    <w:rsid w:val="00F27F5C"/>
    <w:rsid w:val="00F300A7"/>
    <w:rsid w:val="00F31658"/>
    <w:rsid w:val="00F333F1"/>
    <w:rsid w:val="00F33755"/>
    <w:rsid w:val="00F33C73"/>
    <w:rsid w:val="00F33E5A"/>
    <w:rsid w:val="00F3464D"/>
    <w:rsid w:val="00F3514F"/>
    <w:rsid w:val="00F35775"/>
    <w:rsid w:val="00F365C7"/>
    <w:rsid w:val="00F36A52"/>
    <w:rsid w:val="00F40877"/>
    <w:rsid w:val="00F40A85"/>
    <w:rsid w:val="00F4169D"/>
    <w:rsid w:val="00F41960"/>
    <w:rsid w:val="00F41976"/>
    <w:rsid w:val="00F428B2"/>
    <w:rsid w:val="00F42FC7"/>
    <w:rsid w:val="00F435E4"/>
    <w:rsid w:val="00F4471E"/>
    <w:rsid w:val="00F44F58"/>
    <w:rsid w:val="00F46656"/>
    <w:rsid w:val="00F46689"/>
    <w:rsid w:val="00F46F84"/>
    <w:rsid w:val="00F473EA"/>
    <w:rsid w:val="00F51038"/>
    <w:rsid w:val="00F51F14"/>
    <w:rsid w:val="00F522EC"/>
    <w:rsid w:val="00F53020"/>
    <w:rsid w:val="00F53915"/>
    <w:rsid w:val="00F53959"/>
    <w:rsid w:val="00F53C39"/>
    <w:rsid w:val="00F5504B"/>
    <w:rsid w:val="00F553F8"/>
    <w:rsid w:val="00F55C7C"/>
    <w:rsid w:val="00F55FB5"/>
    <w:rsid w:val="00F56E62"/>
    <w:rsid w:val="00F5777F"/>
    <w:rsid w:val="00F57E06"/>
    <w:rsid w:val="00F60585"/>
    <w:rsid w:val="00F61368"/>
    <w:rsid w:val="00F61AD3"/>
    <w:rsid w:val="00F61F69"/>
    <w:rsid w:val="00F62152"/>
    <w:rsid w:val="00F62D81"/>
    <w:rsid w:val="00F632C0"/>
    <w:rsid w:val="00F63E13"/>
    <w:rsid w:val="00F64430"/>
    <w:rsid w:val="00F645B2"/>
    <w:rsid w:val="00F646B3"/>
    <w:rsid w:val="00F64D41"/>
    <w:rsid w:val="00F650D7"/>
    <w:rsid w:val="00F6581D"/>
    <w:rsid w:val="00F65BBA"/>
    <w:rsid w:val="00F67AD4"/>
    <w:rsid w:val="00F709E0"/>
    <w:rsid w:val="00F711E0"/>
    <w:rsid w:val="00F71C40"/>
    <w:rsid w:val="00F7237D"/>
    <w:rsid w:val="00F72CD3"/>
    <w:rsid w:val="00F73A45"/>
    <w:rsid w:val="00F74CBD"/>
    <w:rsid w:val="00F74EB2"/>
    <w:rsid w:val="00F807FE"/>
    <w:rsid w:val="00F8125F"/>
    <w:rsid w:val="00F81B7F"/>
    <w:rsid w:val="00F83522"/>
    <w:rsid w:val="00F835F3"/>
    <w:rsid w:val="00F841BB"/>
    <w:rsid w:val="00F84546"/>
    <w:rsid w:val="00F84F28"/>
    <w:rsid w:val="00F91380"/>
    <w:rsid w:val="00F91417"/>
    <w:rsid w:val="00F92C43"/>
    <w:rsid w:val="00F934D7"/>
    <w:rsid w:val="00F93EAF"/>
    <w:rsid w:val="00F95109"/>
    <w:rsid w:val="00F971B1"/>
    <w:rsid w:val="00F9792F"/>
    <w:rsid w:val="00FA1B5C"/>
    <w:rsid w:val="00FA250E"/>
    <w:rsid w:val="00FA4090"/>
    <w:rsid w:val="00FA46FB"/>
    <w:rsid w:val="00FA4818"/>
    <w:rsid w:val="00FA6231"/>
    <w:rsid w:val="00FA6593"/>
    <w:rsid w:val="00FB017A"/>
    <w:rsid w:val="00FB03FC"/>
    <w:rsid w:val="00FB043D"/>
    <w:rsid w:val="00FB185B"/>
    <w:rsid w:val="00FB1F33"/>
    <w:rsid w:val="00FB2134"/>
    <w:rsid w:val="00FB43D6"/>
    <w:rsid w:val="00FB4C73"/>
    <w:rsid w:val="00FB56B1"/>
    <w:rsid w:val="00FB6931"/>
    <w:rsid w:val="00FB72E0"/>
    <w:rsid w:val="00FB760E"/>
    <w:rsid w:val="00FC0151"/>
    <w:rsid w:val="00FC08F3"/>
    <w:rsid w:val="00FC1C60"/>
    <w:rsid w:val="00FC25DA"/>
    <w:rsid w:val="00FC27A6"/>
    <w:rsid w:val="00FC2E8C"/>
    <w:rsid w:val="00FC3371"/>
    <w:rsid w:val="00FC49A7"/>
    <w:rsid w:val="00FC4DDE"/>
    <w:rsid w:val="00FC5576"/>
    <w:rsid w:val="00FC69F7"/>
    <w:rsid w:val="00FC7150"/>
    <w:rsid w:val="00FC7EE4"/>
    <w:rsid w:val="00FD0470"/>
    <w:rsid w:val="00FD0662"/>
    <w:rsid w:val="00FD0668"/>
    <w:rsid w:val="00FD111A"/>
    <w:rsid w:val="00FD12F1"/>
    <w:rsid w:val="00FD2362"/>
    <w:rsid w:val="00FD2440"/>
    <w:rsid w:val="00FD42FD"/>
    <w:rsid w:val="00FD4885"/>
    <w:rsid w:val="00FD490A"/>
    <w:rsid w:val="00FD611D"/>
    <w:rsid w:val="00FD6858"/>
    <w:rsid w:val="00FD6B9C"/>
    <w:rsid w:val="00FE0456"/>
    <w:rsid w:val="00FE0F8D"/>
    <w:rsid w:val="00FE1463"/>
    <w:rsid w:val="00FE2C0E"/>
    <w:rsid w:val="00FE34C4"/>
    <w:rsid w:val="00FE3DEC"/>
    <w:rsid w:val="00FE4416"/>
    <w:rsid w:val="00FE520F"/>
    <w:rsid w:val="00FE53C6"/>
    <w:rsid w:val="00FE6697"/>
    <w:rsid w:val="00FF1338"/>
    <w:rsid w:val="00FF20C7"/>
    <w:rsid w:val="00FF2BDE"/>
    <w:rsid w:val="00FF4DE5"/>
    <w:rsid w:val="01169BAE"/>
    <w:rsid w:val="011A4F90"/>
    <w:rsid w:val="0133FAB3"/>
    <w:rsid w:val="02378552"/>
    <w:rsid w:val="0245F80C"/>
    <w:rsid w:val="03318FB4"/>
    <w:rsid w:val="0413B796"/>
    <w:rsid w:val="04295A5E"/>
    <w:rsid w:val="0453C340"/>
    <w:rsid w:val="04770605"/>
    <w:rsid w:val="048F1AEC"/>
    <w:rsid w:val="057CF8A4"/>
    <w:rsid w:val="058B9866"/>
    <w:rsid w:val="05BB23A7"/>
    <w:rsid w:val="05EA2703"/>
    <w:rsid w:val="0607F8FB"/>
    <w:rsid w:val="069E0AC2"/>
    <w:rsid w:val="06F2A543"/>
    <w:rsid w:val="06FAA070"/>
    <w:rsid w:val="083B46DD"/>
    <w:rsid w:val="085E16E1"/>
    <w:rsid w:val="087550F5"/>
    <w:rsid w:val="0941938B"/>
    <w:rsid w:val="0A32AEB2"/>
    <w:rsid w:val="0B4F7EAB"/>
    <w:rsid w:val="0B567DE4"/>
    <w:rsid w:val="0B5D318C"/>
    <w:rsid w:val="0B601557"/>
    <w:rsid w:val="0C52434E"/>
    <w:rsid w:val="0C626CBF"/>
    <w:rsid w:val="0C65A37F"/>
    <w:rsid w:val="0C8249C0"/>
    <w:rsid w:val="0CC9EC98"/>
    <w:rsid w:val="0CE9BE56"/>
    <w:rsid w:val="0CFBE5B8"/>
    <w:rsid w:val="0D27E936"/>
    <w:rsid w:val="0D28C0F8"/>
    <w:rsid w:val="0D4ABB51"/>
    <w:rsid w:val="0D6FB3BF"/>
    <w:rsid w:val="0D875097"/>
    <w:rsid w:val="0DAC3E39"/>
    <w:rsid w:val="0DDBCBCD"/>
    <w:rsid w:val="0DF28D3B"/>
    <w:rsid w:val="0E3169E8"/>
    <w:rsid w:val="0E667C95"/>
    <w:rsid w:val="0E97B619"/>
    <w:rsid w:val="0E9A2B4D"/>
    <w:rsid w:val="0F04526F"/>
    <w:rsid w:val="0F34072A"/>
    <w:rsid w:val="1011FCC8"/>
    <w:rsid w:val="102D64F6"/>
    <w:rsid w:val="103C17CF"/>
    <w:rsid w:val="104326FC"/>
    <w:rsid w:val="1063A496"/>
    <w:rsid w:val="10A540EC"/>
    <w:rsid w:val="10E61393"/>
    <w:rsid w:val="11425B05"/>
    <w:rsid w:val="1185B11D"/>
    <w:rsid w:val="1254B92B"/>
    <w:rsid w:val="125F225A"/>
    <w:rsid w:val="13307748"/>
    <w:rsid w:val="138BE5D5"/>
    <w:rsid w:val="1401EB2C"/>
    <w:rsid w:val="1489ACC5"/>
    <w:rsid w:val="14F57FE3"/>
    <w:rsid w:val="155F0E6A"/>
    <w:rsid w:val="1582CAB8"/>
    <w:rsid w:val="15E5E25C"/>
    <w:rsid w:val="1693FB5A"/>
    <w:rsid w:val="171AA26D"/>
    <w:rsid w:val="1745B1FF"/>
    <w:rsid w:val="174F3383"/>
    <w:rsid w:val="17581909"/>
    <w:rsid w:val="1794D616"/>
    <w:rsid w:val="179FC098"/>
    <w:rsid w:val="17A4B1C8"/>
    <w:rsid w:val="17E84CFE"/>
    <w:rsid w:val="1809C788"/>
    <w:rsid w:val="18B37B0E"/>
    <w:rsid w:val="18CE73CC"/>
    <w:rsid w:val="190F164C"/>
    <w:rsid w:val="191EB16F"/>
    <w:rsid w:val="19C6967A"/>
    <w:rsid w:val="19E3CD17"/>
    <w:rsid w:val="19F0FA77"/>
    <w:rsid w:val="19F168E1"/>
    <w:rsid w:val="1A489083"/>
    <w:rsid w:val="1A573B4D"/>
    <w:rsid w:val="1A91AEC1"/>
    <w:rsid w:val="1BAE3C54"/>
    <w:rsid w:val="1BD4D9A1"/>
    <w:rsid w:val="1BE460E4"/>
    <w:rsid w:val="1C7847C0"/>
    <w:rsid w:val="1CC2A9A2"/>
    <w:rsid w:val="1CFD06AF"/>
    <w:rsid w:val="1D49CF49"/>
    <w:rsid w:val="1D88BC22"/>
    <w:rsid w:val="1DC3F944"/>
    <w:rsid w:val="1DCFB27D"/>
    <w:rsid w:val="1DD79945"/>
    <w:rsid w:val="1E5259BA"/>
    <w:rsid w:val="1E7BDA6B"/>
    <w:rsid w:val="1F007146"/>
    <w:rsid w:val="1F38F341"/>
    <w:rsid w:val="1F680896"/>
    <w:rsid w:val="207235CB"/>
    <w:rsid w:val="207E4576"/>
    <w:rsid w:val="20CB68E9"/>
    <w:rsid w:val="20E793DF"/>
    <w:rsid w:val="20ECF1E2"/>
    <w:rsid w:val="20F4B503"/>
    <w:rsid w:val="213513F0"/>
    <w:rsid w:val="2156BAA8"/>
    <w:rsid w:val="218A08F0"/>
    <w:rsid w:val="21DEFB93"/>
    <w:rsid w:val="21EC7025"/>
    <w:rsid w:val="230142EC"/>
    <w:rsid w:val="234112B6"/>
    <w:rsid w:val="239D13FF"/>
    <w:rsid w:val="23B11005"/>
    <w:rsid w:val="23BA69BB"/>
    <w:rsid w:val="24125507"/>
    <w:rsid w:val="243BE3C7"/>
    <w:rsid w:val="246DAA3F"/>
    <w:rsid w:val="24981EF9"/>
    <w:rsid w:val="24DE0025"/>
    <w:rsid w:val="250D6D0D"/>
    <w:rsid w:val="26B51482"/>
    <w:rsid w:val="26B7B5BE"/>
    <w:rsid w:val="272BB8F4"/>
    <w:rsid w:val="277EAF12"/>
    <w:rsid w:val="27B843D4"/>
    <w:rsid w:val="27CECC34"/>
    <w:rsid w:val="27CFADD9"/>
    <w:rsid w:val="282E4352"/>
    <w:rsid w:val="28AEE68E"/>
    <w:rsid w:val="28FF31FD"/>
    <w:rsid w:val="296B7E3A"/>
    <w:rsid w:val="29843631"/>
    <w:rsid w:val="2A428C5C"/>
    <w:rsid w:val="2A6CA08E"/>
    <w:rsid w:val="2AAF7128"/>
    <w:rsid w:val="2AFB030C"/>
    <w:rsid w:val="2BF8C831"/>
    <w:rsid w:val="2C4B4189"/>
    <w:rsid w:val="2C9F698F"/>
    <w:rsid w:val="2CA34856"/>
    <w:rsid w:val="2CEE47A1"/>
    <w:rsid w:val="2D88ACE7"/>
    <w:rsid w:val="2E3CA507"/>
    <w:rsid w:val="2E70EFA5"/>
    <w:rsid w:val="2EFE7406"/>
    <w:rsid w:val="2F35EEAE"/>
    <w:rsid w:val="309B6F97"/>
    <w:rsid w:val="30AB49A8"/>
    <w:rsid w:val="30AB9FB8"/>
    <w:rsid w:val="30BC7373"/>
    <w:rsid w:val="31A89067"/>
    <w:rsid w:val="32659F3B"/>
    <w:rsid w:val="335CC1F0"/>
    <w:rsid w:val="33821990"/>
    <w:rsid w:val="340CBCE4"/>
    <w:rsid w:val="342F27E8"/>
    <w:rsid w:val="342F9C0E"/>
    <w:rsid w:val="34FBF02A"/>
    <w:rsid w:val="3519D1E1"/>
    <w:rsid w:val="35344DE1"/>
    <w:rsid w:val="35D786CB"/>
    <w:rsid w:val="36FC9F01"/>
    <w:rsid w:val="374DA03A"/>
    <w:rsid w:val="383A827D"/>
    <w:rsid w:val="3841B901"/>
    <w:rsid w:val="38E7ECC0"/>
    <w:rsid w:val="38F039B2"/>
    <w:rsid w:val="39FCC3D2"/>
    <w:rsid w:val="3A78FCD4"/>
    <w:rsid w:val="3AA4844E"/>
    <w:rsid w:val="3AD7244C"/>
    <w:rsid w:val="3B66A5C7"/>
    <w:rsid w:val="3BA14BD0"/>
    <w:rsid w:val="3BC03E9B"/>
    <w:rsid w:val="3CF033F9"/>
    <w:rsid w:val="3D43A7F6"/>
    <w:rsid w:val="3D651972"/>
    <w:rsid w:val="3DB8CD64"/>
    <w:rsid w:val="3DFE2D19"/>
    <w:rsid w:val="3E76C6E2"/>
    <w:rsid w:val="3EAB249D"/>
    <w:rsid w:val="3F0326C4"/>
    <w:rsid w:val="40094292"/>
    <w:rsid w:val="40118905"/>
    <w:rsid w:val="40129743"/>
    <w:rsid w:val="40C29237"/>
    <w:rsid w:val="40F58E31"/>
    <w:rsid w:val="4193B127"/>
    <w:rsid w:val="41A0691A"/>
    <w:rsid w:val="41ADA881"/>
    <w:rsid w:val="41EFCB5E"/>
    <w:rsid w:val="428BA0C0"/>
    <w:rsid w:val="43233CA5"/>
    <w:rsid w:val="433C397B"/>
    <w:rsid w:val="4353981C"/>
    <w:rsid w:val="44099C50"/>
    <w:rsid w:val="4464CAF7"/>
    <w:rsid w:val="44960F03"/>
    <w:rsid w:val="44BF0D06"/>
    <w:rsid w:val="4516A3A1"/>
    <w:rsid w:val="45D7AA75"/>
    <w:rsid w:val="461F015D"/>
    <w:rsid w:val="46B27402"/>
    <w:rsid w:val="46B46324"/>
    <w:rsid w:val="4760DA64"/>
    <w:rsid w:val="47646B0E"/>
    <w:rsid w:val="47E6AC51"/>
    <w:rsid w:val="48C9A542"/>
    <w:rsid w:val="490781EB"/>
    <w:rsid w:val="49213E08"/>
    <w:rsid w:val="49932F0C"/>
    <w:rsid w:val="49BDE4E1"/>
    <w:rsid w:val="49EC0DC1"/>
    <w:rsid w:val="4A4783F6"/>
    <w:rsid w:val="4A63366B"/>
    <w:rsid w:val="4A8E8812"/>
    <w:rsid w:val="4AA50C7D"/>
    <w:rsid w:val="4B25FD58"/>
    <w:rsid w:val="4B48761A"/>
    <w:rsid w:val="4B54BE72"/>
    <w:rsid w:val="4BDA1B3E"/>
    <w:rsid w:val="4BDF754A"/>
    <w:rsid w:val="4BE240FE"/>
    <w:rsid w:val="4BFF06CC"/>
    <w:rsid w:val="4CA291E4"/>
    <w:rsid w:val="4CE4467B"/>
    <w:rsid w:val="4E105154"/>
    <w:rsid w:val="4E428DA2"/>
    <w:rsid w:val="4E5D9E1A"/>
    <w:rsid w:val="4EA524BF"/>
    <w:rsid w:val="4F1FBE69"/>
    <w:rsid w:val="4F65D01F"/>
    <w:rsid w:val="4F77D1CF"/>
    <w:rsid w:val="4FD4F327"/>
    <w:rsid w:val="4FECAB3E"/>
    <w:rsid w:val="501538F3"/>
    <w:rsid w:val="508D661E"/>
    <w:rsid w:val="51CC78F4"/>
    <w:rsid w:val="51F0F7A8"/>
    <w:rsid w:val="52F74D3D"/>
    <w:rsid w:val="532F56EA"/>
    <w:rsid w:val="53364B23"/>
    <w:rsid w:val="5352128A"/>
    <w:rsid w:val="53D15ED2"/>
    <w:rsid w:val="5406302E"/>
    <w:rsid w:val="54909CA7"/>
    <w:rsid w:val="54BF0934"/>
    <w:rsid w:val="551D79DB"/>
    <w:rsid w:val="55573008"/>
    <w:rsid w:val="55A872A9"/>
    <w:rsid w:val="563F126F"/>
    <w:rsid w:val="56A8EA81"/>
    <w:rsid w:val="56BB231F"/>
    <w:rsid w:val="56C990C1"/>
    <w:rsid w:val="56EB2AFF"/>
    <w:rsid w:val="57332B72"/>
    <w:rsid w:val="575C1481"/>
    <w:rsid w:val="579A16CE"/>
    <w:rsid w:val="57D0478B"/>
    <w:rsid w:val="57EB5803"/>
    <w:rsid w:val="59E9276D"/>
    <w:rsid w:val="59F15F9B"/>
    <w:rsid w:val="5AD5AC5B"/>
    <w:rsid w:val="5B179EFF"/>
    <w:rsid w:val="5B316D6B"/>
    <w:rsid w:val="5C069C95"/>
    <w:rsid w:val="5C2038B6"/>
    <w:rsid w:val="5C8B230F"/>
    <w:rsid w:val="5D494AD2"/>
    <w:rsid w:val="5D5D584D"/>
    <w:rsid w:val="5D82840F"/>
    <w:rsid w:val="5D9F9DDE"/>
    <w:rsid w:val="5DFDD977"/>
    <w:rsid w:val="5E45FD89"/>
    <w:rsid w:val="5F310BE6"/>
    <w:rsid w:val="606D405C"/>
    <w:rsid w:val="6074A4F8"/>
    <w:rsid w:val="60A156F3"/>
    <w:rsid w:val="61F51B48"/>
    <w:rsid w:val="622A7DC9"/>
    <w:rsid w:val="622EB5BB"/>
    <w:rsid w:val="624B26FB"/>
    <w:rsid w:val="62565D30"/>
    <w:rsid w:val="6287B36E"/>
    <w:rsid w:val="62C028E6"/>
    <w:rsid w:val="634D5755"/>
    <w:rsid w:val="639F2291"/>
    <w:rsid w:val="641761C1"/>
    <w:rsid w:val="641ED5C0"/>
    <w:rsid w:val="6471BC70"/>
    <w:rsid w:val="64C285F8"/>
    <w:rsid w:val="6512A7C3"/>
    <w:rsid w:val="65B105D6"/>
    <w:rsid w:val="65CCAA1C"/>
    <w:rsid w:val="66E1CD78"/>
    <w:rsid w:val="67A02DCF"/>
    <w:rsid w:val="67B592C2"/>
    <w:rsid w:val="67D37E82"/>
    <w:rsid w:val="68397AC7"/>
    <w:rsid w:val="68B969EE"/>
    <w:rsid w:val="6906E9A7"/>
    <w:rsid w:val="692C78D8"/>
    <w:rsid w:val="69952A4D"/>
    <w:rsid w:val="69C39DF7"/>
    <w:rsid w:val="69E89C11"/>
    <w:rsid w:val="6A1F53D0"/>
    <w:rsid w:val="6A9F22CA"/>
    <w:rsid w:val="6ADC5E51"/>
    <w:rsid w:val="6AEFC8E0"/>
    <w:rsid w:val="6B532F70"/>
    <w:rsid w:val="6B68B86D"/>
    <w:rsid w:val="6BE75791"/>
    <w:rsid w:val="6C17CB3A"/>
    <w:rsid w:val="6CF117B2"/>
    <w:rsid w:val="6D2206AB"/>
    <w:rsid w:val="6D62F383"/>
    <w:rsid w:val="6D70633A"/>
    <w:rsid w:val="6DA66CDC"/>
    <w:rsid w:val="6DBB5F7D"/>
    <w:rsid w:val="6E0F6F53"/>
    <w:rsid w:val="6E70F022"/>
    <w:rsid w:val="6F2E6D96"/>
    <w:rsid w:val="6FB51A81"/>
    <w:rsid w:val="6FDB9B0F"/>
    <w:rsid w:val="70565D65"/>
    <w:rsid w:val="7098E8DB"/>
    <w:rsid w:val="70F00981"/>
    <w:rsid w:val="71566CBE"/>
    <w:rsid w:val="719D4FC8"/>
    <w:rsid w:val="71A4F1D3"/>
    <w:rsid w:val="71EEBEBA"/>
    <w:rsid w:val="7202AB7D"/>
    <w:rsid w:val="72301D38"/>
    <w:rsid w:val="73736665"/>
    <w:rsid w:val="73781FD2"/>
    <w:rsid w:val="73FD31A7"/>
    <w:rsid w:val="7464F988"/>
    <w:rsid w:val="74E1A28D"/>
    <w:rsid w:val="75616506"/>
    <w:rsid w:val="76454DE8"/>
    <w:rsid w:val="76AFC094"/>
    <w:rsid w:val="7787F11C"/>
    <w:rsid w:val="77973DE3"/>
    <w:rsid w:val="7799F871"/>
    <w:rsid w:val="779CBED2"/>
    <w:rsid w:val="77A640C9"/>
    <w:rsid w:val="784D6EA8"/>
    <w:rsid w:val="78B0DA7C"/>
    <w:rsid w:val="78DD9E2F"/>
    <w:rsid w:val="793008DD"/>
    <w:rsid w:val="794F9C10"/>
    <w:rsid w:val="798BFE72"/>
    <w:rsid w:val="79954091"/>
    <w:rsid w:val="79B5D427"/>
    <w:rsid w:val="79D5E602"/>
    <w:rsid w:val="79F4EFB6"/>
    <w:rsid w:val="7A284E2E"/>
    <w:rsid w:val="7B708E61"/>
    <w:rsid w:val="7B85DC94"/>
    <w:rsid w:val="7BA0A41E"/>
    <w:rsid w:val="7C0A8D1A"/>
    <w:rsid w:val="7C740CA4"/>
    <w:rsid w:val="7C7D79B1"/>
    <w:rsid w:val="7CC2BD5D"/>
    <w:rsid w:val="7CF5668E"/>
    <w:rsid w:val="7D9068B3"/>
    <w:rsid w:val="7E22335B"/>
    <w:rsid w:val="7EEEF338"/>
    <w:rsid w:val="7F30DF1E"/>
    <w:rsid w:val="7F588F87"/>
    <w:rsid w:val="7F7C0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5C8365"/>
  <w15:docId w15:val="{3EB53198-9DA1-4777-83F8-1A169188F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B49"/>
    <w:rPr>
      <w:rFonts w:ascii="Times New Roman" w:eastAsia="Times New Roman" w:hAnsi="Times New Roman" w:cs="Times New Roman"/>
    </w:rPr>
  </w:style>
  <w:style w:type="paragraph" w:styleId="Heading1">
    <w:name w:val="heading 1"/>
    <w:basedOn w:val="Normal"/>
    <w:next w:val="Normal"/>
    <w:link w:val="Heading1Char"/>
    <w:uiPriority w:val="9"/>
    <w:qFormat/>
    <w:rsid w:val="00192C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92C2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34457"/>
    <w:rPr>
      <w:sz w:val="16"/>
      <w:szCs w:val="16"/>
    </w:rPr>
  </w:style>
  <w:style w:type="paragraph" w:styleId="CommentText">
    <w:name w:val="annotation text"/>
    <w:basedOn w:val="Normal"/>
    <w:link w:val="CommentTextChar"/>
    <w:uiPriority w:val="99"/>
    <w:unhideWhenUsed/>
    <w:rsid w:val="00634457"/>
    <w:pPr>
      <w:spacing w:after="160"/>
    </w:pPr>
    <w:rPr>
      <w:rFonts w:ascii="Calibri" w:eastAsia="Calibri" w:hAnsi="Calibri" w:cs="Calibri"/>
      <w:sz w:val="20"/>
      <w:szCs w:val="20"/>
    </w:rPr>
  </w:style>
  <w:style w:type="character" w:customStyle="1" w:styleId="CommentTextChar">
    <w:name w:val="Comment Text Char"/>
    <w:basedOn w:val="DefaultParagraphFont"/>
    <w:link w:val="CommentText"/>
    <w:uiPriority w:val="99"/>
    <w:rsid w:val="00634457"/>
    <w:rPr>
      <w:rFonts w:ascii="Calibri" w:eastAsia="Calibri" w:hAnsi="Calibri" w:cs="Calibri"/>
      <w:sz w:val="20"/>
      <w:szCs w:val="20"/>
    </w:rPr>
  </w:style>
  <w:style w:type="character" w:customStyle="1" w:styleId="Mention1">
    <w:name w:val="Mention1"/>
    <w:basedOn w:val="DefaultParagraphFont"/>
    <w:uiPriority w:val="99"/>
    <w:unhideWhenUsed/>
    <w:rsid w:val="00634457"/>
    <w:rPr>
      <w:color w:val="2B579A"/>
      <w:shd w:val="clear" w:color="auto" w:fill="E1DFDD"/>
    </w:rPr>
  </w:style>
  <w:style w:type="paragraph" w:styleId="Revision">
    <w:name w:val="Revision"/>
    <w:hidden/>
    <w:uiPriority w:val="99"/>
    <w:semiHidden/>
    <w:rsid w:val="003C143A"/>
    <w:rPr>
      <w:rFonts w:ascii="Calibri" w:eastAsia="Calibri" w:hAnsi="Calibri" w:cs="Calibri"/>
      <w:sz w:val="22"/>
      <w:szCs w:val="22"/>
    </w:rPr>
  </w:style>
  <w:style w:type="paragraph" w:styleId="CommentSubject">
    <w:name w:val="annotation subject"/>
    <w:basedOn w:val="CommentText"/>
    <w:next w:val="CommentText"/>
    <w:link w:val="CommentSubjectChar"/>
    <w:uiPriority w:val="99"/>
    <w:semiHidden/>
    <w:unhideWhenUsed/>
    <w:rsid w:val="00CD562D"/>
    <w:rPr>
      <w:b/>
      <w:bCs/>
    </w:rPr>
  </w:style>
  <w:style w:type="character" w:customStyle="1" w:styleId="CommentSubjectChar">
    <w:name w:val="Comment Subject Char"/>
    <w:basedOn w:val="CommentTextChar"/>
    <w:link w:val="CommentSubject"/>
    <w:uiPriority w:val="99"/>
    <w:semiHidden/>
    <w:rsid w:val="00CD562D"/>
    <w:rPr>
      <w:rFonts w:ascii="Calibri" w:eastAsia="Calibri" w:hAnsi="Calibri" w:cs="Calibri"/>
      <w:b/>
      <w:bCs/>
      <w:sz w:val="20"/>
      <w:szCs w:val="20"/>
    </w:rPr>
  </w:style>
  <w:style w:type="table" w:styleId="TableGrid">
    <w:name w:val="Table Grid"/>
    <w:basedOn w:val="TableNormal"/>
    <w:uiPriority w:val="39"/>
    <w:rsid w:val="00912B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3F4BD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3F4BD1"/>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2-Accent5">
    <w:name w:val="Grid Table 2 Accent 5"/>
    <w:basedOn w:val="TableNormal"/>
    <w:uiPriority w:val="47"/>
    <w:rsid w:val="00464553"/>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1Light-Accent5">
    <w:name w:val="Grid Table 1 Light Accent 5"/>
    <w:basedOn w:val="TableNormal"/>
    <w:uiPriority w:val="46"/>
    <w:rsid w:val="00464553"/>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2-Accent6">
    <w:name w:val="Grid Table 2 Accent 6"/>
    <w:basedOn w:val="TableNormal"/>
    <w:uiPriority w:val="47"/>
    <w:rsid w:val="00542F27"/>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ListParagraph">
    <w:name w:val="List Paragraph"/>
    <w:basedOn w:val="Normal"/>
    <w:uiPriority w:val="34"/>
    <w:qFormat/>
    <w:rsid w:val="00B425FB"/>
    <w:pPr>
      <w:spacing w:after="160" w:line="259" w:lineRule="auto"/>
      <w:ind w:left="720"/>
      <w:contextualSpacing/>
    </w:pPr>
    <w:rPr>
      <w:rFonts w:ascii="Calibri" w:eastAsia="Calibri" w:hAnsi="Calibri" w:cs="Calibri"/>
      <w:sz w:val="22"/>
      <w:szCs w:val="22"/>
    </w:rPr>
  </w:style>
  <w:style w:type="table" w:styleId="PlainTable2">
    <w:name w:val="Plain Table 2"/>
    <w:basedOn w:val="TableNormal"/>
    <w:uiPriority w:val="42"/>
    <w:rsid w:val="00336CE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4">
    <w:name w:val="List Table 4"/>
    <w:basedOn w:val="TableNormal"/>
    <w:uiPriority w:val="49"/>
    <w:rsid w:val="001C241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Accent5">
    <w:name w:val="List Table 3 Accent 5"/>
    <w:basedOn w:val="TableNormal"/>
    <w:uiPriority w:val="48"/>
    <w:rsid w:val="001C2411"/>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GridTable6Colorful-Accent5">
    <w:name w:val="Grid Table 6 Colorful Accent 5"/>
    <w:basedOn w:val="TableNormal"/>
    <w:uiPriority w:val="51"/>
    <w:rsid w:val="001C2411"/>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1Light-Accent6">
    <w:name w:val="Grid Table 1 Light Accent 6"/>
    <w:basedOn w:val="TableNormal"/>
    <w:uiPriority w:val="46"/>
    <w:rsid w:val="000D13A9"/>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ListTable3-Accent1">
    <w:name w:val="List Table 3 Accent 1"/>
    <w:basedOn w:val="TableNormal"/>
    <w:uiPriority w:val="48"/>
    <w:rsid w:val="000D13A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customStyle="1" w:styleId="Heading1Char">
    <w:name w:val="Heading 1 Char"/>
    <w:basedOn w:val="DefaultParagraphFont"/>
    <w:link w:val="Heading1"/>
    <w:uiPriority w:val="9"/>
    <w:rsid w:val="00192C24"/>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192C2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2C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2C24"/>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192C24"/>
    <w:rPr>
      <w:rFonts w:eastAsiaTheme="minorEastAsia"/>
      <w:color w:val="5A5A5A" w:themeColor="text1" w:themeTint="A5"/>
      <w:spacing w:val="15"/>
      <w:sz w:val="22"/>
      <w:szCs w:val="22"/>
    </w:rPr>
  </w:style>
  <w:style w:type="character" w:customStyle="1" w:styleId="Heading2Char">
    <w:name w:val="Heading 2 Char"/>
    <w:basedOn w:val="DefaultParagraphFont"/>
    <w:link w:val="Heading2"/>
    <w:uiPriority w:val="9"/>
    <w:rsid w:val="00192C24"/>
    <w:rPr>
      <w:rFonts w:asciiTheme="majorHAnsi" w:eastAsiaTheme="majorEastAsia" w:hAnsiTheme="majorHAnsi" w:cstheme="majorBidi"/>
      <w:color w:val="2F5496" w:themeColor="accent1" w:themeShade="BF"/>
      <w:sz w:val="26"/>
      <w:szCs w:val="26"/>
    </w:rPr>
  </w:style>
  <w:style w:type="paragraph" w:styleId="IntenseQuote">
    <w:name w:val="Intense Quote"/>
    <w:basedOn w:val="Normal"/>
    <w:next w:val="Normal"/>
    <w:link w:val="IntenseQuoteChar"/>
    <w:uiPriority w:val="30"/>
    <w:qFormat/>
    <w:rsid w:val="00192C24"/>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192C24"/>
    <w:rPr>
      <w:rFonts w:ascii="Times New Roman" w:eastAsia="Times New Roman" w:hAnsi="Times New Roman" w:cs="Times New Roman"/>
      <w:i/>
      <w:iCs/>
      <w:color w:val="4472C4" w:themeColor="accent1"/>
    </w:rPr>
  </w:style>
  <w:style w:type="character" w:customStyle="1" w:styleId="HeaderChar">
    <w:name w:val="Header Char"/>
    <w:basedOn w:val="DefaultParagraphFont"/>
    <w:link w:val="Header"/>
    <w:uiPriority w:val="99"/>
    <w:rPr>
      <w:rFonts w:ascii="Times New Roman" w:eastAsia="Times New Roman" w:hAnsi="Times New Roman" w:cs="Times New Roman"/>
    </w:rPr>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rPr>
      <w:rFonts w:ascii="Times New Roman" w:eastAsia="Times New Roman" w:hAnsi="Times New Roman" w:cs="Times New Roman"/>
    </w:rPr>
  </w:style>
  <w:style w:type="paragraph" w:styleId="Footer">
    <w:name w:val="footer"/>
    <w:basedOn w:val="Normal"/>
    <w:link w:val="FooterChar"/>
    <w:uiPriority w:val="99"/>
    <w:unhideWhenUsed/>
    <w:pPr>
      <w:tabs>
        <w:tab w:val="center" w:pos="4680"/>
        <w:tab w:val="right" w:pos="9360"/>
      </w:tabs>
    </w:pPr>
  </w:style>
  <w:style w:type="character" w:styleId="IntenseEmphasis">
    <w:name w:val="Intense Emphasis"/>
    <w:basedOn w:val="DefaultParagraphFont"/>
    <w:uiPriority w:val="21"/>
    <w:qFormat/>
    <w:rsid w:val="007231C9"/>
    <w:rPr>
      <w:i/>
      <w:iCs/>
      <w:color w:val="4472C4" w:themeColor="accent1"/>
    </w:rPr>
  </w:style>
  <w:style w:type="character" w:styleId="Strong">
    <w:name w:val="Strong"/>
    <w:basedOn w:val="DefaultParagraphFont"/>
    <w:uiPriority w:val="22"/>
    <w:qFormat/>
    <w:rsid w:val="007231C9"/>
    <w:rPr>
      <w:b/>
      <w:bCs/>
    </w:rPr>
  </w:style>
  <w:style w:type="character" w:customStyle="1" w:styleId="HeaderChar1">
    <w:name w:val="Header Char1"/>
    <w:basedOn w:val="DefaultParagraphFont"/>
    <w:uiPriority w:val="99"/>
    <w:semiHidden/>
    <w:rsid w:val="007C71D1"/>
    <w:rPr>
      <w:rFonts w:ascii="Times New Roman" w:eastAsia="Times New Roman" w:hAnsi="Times New Roman" w:cs="Times New Roman"/>
    </w:rPr>
  </w:style>
  <w:style w:type="character" w:customStyle="1" w:styleId="FooterChar1">
    <w:name w:val="Footer Char1"/>
    <w:basedOn w:val="DefaultParagraphFont"/>
    <w:uiPriority w:val="99"/>
    <w:semiHidden/>
    <w:rsid w:val="007C71D1"/>
    <w:rPr>
      <w:rFonts w:ascii="Times New Roman" w:eastAsia="Times New Roman" w:hAnsi="Times New Roman" w:cs="Times New Roman"/>
    </w:rPr>
  </w:style>
  <w:style w:type="character" w:styleId="PlaceholderText">
    <w:name w:val="Placeholder Text"/>
    <w:basedOn w:val="DefaultParagraphFont"/>
    <w:uiPriority w:val="99"/>
    <w:semiHidden/>
    <w:rsid w:val="007C71D1"/>
    <w:rPr>
      <w:color w:val="808080"/>
    </w:rPr>
  </w:style>
  <w:style w:type="character" w:styleId="Hyperlink">
    <w:name w:val="Hyperlink"/>
    <w:basedOn w:val="DefaultParagraphFont"/>
    <w:uiPriority w:val="99"/>
    <w:unhideWhenUsed/>
    <w:rPr>
      <w:color w:val="0563C1" w:themeColor="hyperlink"/>
      <w:u w:val="single"/>
    </w:rPr>
  </w:style>
  <w:style w:type="table" w:styleId="GridTable7Colorful-Accent6">
    <w:name w:val="Grid Table 7 Colorful Accent 6"/>
    <w:basedOn w:val="TableNormal"/>
    <w:uiPriority w:val="52"/>
    <w:rsid w:val="00F53959"/>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7Colorful-Accent5">
    <w:name w:val="Grid Table 7 Colorful Accent 5"/>
    <w:basedOn w:val="TableNormal"/>
    <w:uiPriority w:val="52"/>
    <w:rsid w:val="00F53959"/>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character" w:styleId="PageNumber">
    <w:name w:val="page number"/>
    <w:basedOn w:val="DefaultParagraphFont"/>
    <w:uiPriority w:val="99"/>
    <w:semiHidden/>
    <w:unhideWhenUsed/>
    <w:rsid w:val="005006C4"/>
  </w:style>
  <w:style w:type="paragraph" w:styleId="NoSpacing">
    <w:name w:val="No Spacing"/>
    <w:uiPriority w:val="1"/>
    <w:qFormat/>
    <w:rsid w:val="007C713E"/>
    <w:rPr>
      <w:rFonts w:eastAsiaTheme="minorEastAsia"/>
      <w:sz w:val="22"/>
      <w:szCs w:val="22"/>
      <w:lang w:eastAsia="zh-CN"/>
    </w:rPr>
  </w:style>
  <w:style w:type="paragraph" w:styleId="TOC1">
    <w:name w:val="toc 1"/>
    <w:basedOn w:val="Normal"/>
    <w:next w:val="Normal"/>
    <w:autoRedefine/>
    <w:uiPriority w:val="39"/>
    <w:unhideWhenUsed/>
    <w:rsid w:val="00FF20C7"/>
    <w:pPr>
      <w:spacing w:before="240" w:after="120"/>
    </w:pPr>
    <w:rPr>
      <w:rFonts w:asciiTheme="minorHAnsi" w:hAnsiTheme="minorHAnsi" w:cstheme="minorHAnsi"/>
      <w:b/>
      <w:bCs/>
      <w:sz w:val="20"/>
      <w:szCs w:val="20"/>
    </w:rPr>
  </w:style>
  <w:style w:type="paragraph" w:styleId="TOC2">
    <w:name w:val="toc 2"/>
    <w:basedOn w:val="Normal"/>
    <w:next w:val="Normal"/>
    <w:autoRedefine/>
    <w:uiPriority w:val="39"/>
    <w:unhideWhenUsed/>
    <w:rsid w:val="00FF20C7"/>
    <w:pPr>
      <w:spacing w:before="120"/>
      <w:ind w:left="240"/>
    </w:pPr>
    <w:rPr>
      <w:rFonts w:asciiTheme="minorHAnsi" w:hAnsiTheme="minorHAnsi" w:cstheme="minorHAnsi"/>
      <w:i/>
      <w:iCs/>
      <w:sz w:val="20"/>
      <w:szCs w:val="20"/>
    </w:rPr>
  </w:style>
  <w:style w:type="paragraph" w:styleId="TOC3">
    <w:name w:val="toc 3"/>
    <w:basedOn w:val="Normal"/>
    <w:next w:val="Normal"/>
    <w:autoRedefine/>
    <w:uiPriority w:val="39"/>
    <w:unhideWhenUsed/>
    <w:rsid w:val="00FF20C7"/>
    <w:pPr>
      <w:ind w:left="480"/>
    </w:pPr>
    <w:rPr>
      <w:rFonts w:asciiTheme="minorHAnsi" w:hAnsiTheme="minorHAnsi" w:cstheme="minorHAnsi"/>
      <w:sz w:val="20"/>
      <w:szCs w:val="20"/>
    </w:rPr>
  </w:style>
  <w:style w:type="paragraph" w:styleId="TOC4">
    <w:name w:val="toc 4"/>
    <w:basedOn w:val="Normal"/>
    <w:next w:val="Normal"/>
    <w:autoRedefine/>
    <w:uiPriority w:val="39"/>
    <w:unhideWhenUsed/>
    <w:rsid w:val="00FF20C7"/>
    <w:pPr>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FF20C7"/>
    <w:pPr>
      <w:ind w:left="960"/>
    </w:pPr>
    <w:rPr>
      <w:rFonts w:asciiTheme="minorHAnsi" w:hAnsiTheme="minorHAnsi" w:cstheme="minorHAnsi"/>
      <w:sz w:val="20"/>
      <w:szCs w:val="20"/>
    </w:rPr>
  </w:style>
  <w:style w:type="paragraph" w:styleId="TOC6">
    <w:name w:val="toc 6"/>
    <w:basedOn w:val="Normal"/>
    <w:next w:val="Normal"/>
    <w:autoRedefine/>
    <w:uiPriority w:val="39"/>
    <w:unhideWhenUsed/>
    <w:rsid w:val="00FF20C7"/>
    <w:pPr>
      <w:ind w:left="1200"/>
    </w:pPr>
    <w:rPr>
      <w:rFonts w:asciiTheme="minorHAnsi" w:hAnsiTheme="minorHAnsi" w:cstheme="minorHAnsi"/>
      <w:sz w:val="20"/>
      <w:szCs w:val="20"/>
    </w:rPr>
  </w:style>
  <w:style w:type="paragraph" w:styleId="TOC7">
    <w:name w:val="toc 7"/>
    <w:basedOn w:val="Normal"/>
    <w:next w:val="Normal"/>
    <w:autoRedefine/>
    <w:uiPriority w:val="39"/>
    <w:unhideWhenUsed/>
    <w:rsid w:val="00FF20C7"/>
    <w:pPr>
      <w:ind w:left="1440"/>
    </w:pPr>
    <w:rPr>
      <w:rFonts w:asciiTheme="minorHAnsi" w:hAnsiTheme="minorHAnsi" w:cstheme="minorHAnsi"/>
      <w:sz w:val="20"/>
      <w:szCs w:val="20"/>
    </w:rPr>
  </w:style>
  <w:style w:type="paragraph" w:styleId="TOC8">
    <w:name w:val="toc 8"/>
    <w:basedOn w:val="Normal"/>
    <w:next w:val="Normal"/>
    <w:autoRedefine/>
    <w:uiPriority w:val="39"/>
    <w:unhideWhenUsed/>
    <w:rsid w:val="00FF20C7"/>
    <w:pPr>
      <w:ind w:left="1680"/>
    </w:pPr>
    <w:rPr>
      <w:rFonts w:asciiTheme="minorHAnsi" w:hAnsiTheme="minorHAnsi" w:cstheme="minorHAnsi"/>
      <w:sz w:val="20"/>
      <w:szCs w:val="20"/>
    </w:rPr>
  </w:style>
  <w:style w:type="paragraph" w:styleId="TOC9">
    <w:name w:val="toc 9"/>
    <w:basedOn w:val="Normal"/>
    <w:next w:val="Normal"/>
    <w:autoRedefine/>
    <w:uiPriority w:val="39"/>
    <w:unhideWhenUsed/>
    <w:rsid w:val="00FF20C7"/>
    <w:pPr>
      <w:ind w:left="1920"/>
    </w:pPr>
    <w:rPr>
      <w:rFonts w:asciiTheme="minorHAnsi" w:hAnsiTheme="minorHAnsi" w:cstheme="minorHAnsi"/>
      <w:sz w:val="20"/>
      <w:szCs w:val="20"/>
    </w:rPr>
  </w:style>
  <w:style w:type="paragraph" w:styleId="TOCHeading">
    <w:name w:val="TOC Heading"/>
    <w:basedOn w:val="Heading1"/>
    <w:next w:val="Normal"/>
    <w:uiPriority w:val="39"/>
    <w:unhideWhenUsed/>
    <w:qFormat/>
    <w:rsid w:val="00E108E0"/>
    <w:pPr>
      <w:spacing w:before="480" w:line="276" w:lineRule="auto"/>
      <w:outlineLvl w:val="9"/>
    </w:pPr>
    <w:rPr>
      <w:b/>
      <w:bCs/>
      <w:sz w:val="28"/>
      <w:szCs w:val="28"/>
    </w:rPr>
  </w:style>
  <w:style w:type="character" w:customStyle="1" w:styleId="UnresolvedMention1">
    <w:name w:val="Unresolved Mention1"/>
    <w:basedOn w:val="DefaultParagraphFont"/>
    <w:uiPriority w:val="99"/>
    <w:semiHidden/>
    <w:unhideWhenUsed/>
    <w:rsid w:val="00D57EBC"/>
    <w:rPr>
      <w:color w:val="605E5C"/>
      <w:shd w:val="clear" w:color="auto" w:fill="E1DFDD"/>
    </w:rPr>
  </w:style>
  <w:style w:type="paragraph" w:styleId="Bibliography">
    <w:name w:val="Bibliography"/>
    <w:basedOn w:val="Normal"/>
    <w:next w:val="Normal"/>
    <w:uiPriority w:val="37"/>
    <w:unhideWhenUsed/>
    <w:rsid w:val="008C458C"/>
    <w:pPr>
      <w:tabs>
        <w:tab w:val="left" w:pos="260"/>
        <w:tab w:val="left" w:pos="380"/>
        <w:tab w:val="left" w:pos="500"/>
      </w:tabs>
      <w:spacing w:after="240"/>
      <w:ind w:left="504" w:hanging="504"/>
    </w:pPr>
  </w:style>
  <w:style w:type="character" w:customStyle="1" w:styleId="cf01">
    <w:name w:val="cf01"/>
    <w:basedOn w:val="DefaultParagraphFont"/>
    <w:rsid w:val="008A3739"/>
    <w:rPr>
      <w:rFonts w:ascii="Segoe UI" w:hAnsi="Segoe UI" w:cs="Segoe UI" w:hint="default"/>
      <w:sz w:val="18"/>
      <w:szCs w:val="18"/>
    </w:rPr>
  </w:style>
  <w:style w:type="paragraph" w:styleId="BalloonText">
    <w:name w:val="Balloon Text"/>
    <w:basedOn w:val="Normal"/>
    <w:link w:val="BalloonTextChar"/>
    <w:uiPriority w:val="99"/>
    <w:semiHidden/>
    <w:unhideWhenUsed/>
    <w:rsid w:val="00013C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3C5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8326">
      <w:bodyDiv w:val="1"/>
      <w:marLeft w:val="0"/>
      <w:marRight w:val="0"/>
      <w:marTop w:val="0"/>
      <w:marBottom w:val="0"/>
      <w:divBdr>
        <w:top w:val="none" w:sz="0" w:space="0" w:color="auto"/>
        <w:left w:val="none" w:sz="0" w:space="0" w:color="auto"/>
        <w:bottom w:val="none" w:sz="0" w:space="0" w:color="auto"/>
        <w:right w:val="none" w:sz="0" w:space="0" w:color="auto"/>
      </w:divBdr>
    </w:div>
    <w:div w:id="45566161">
      <w:bodyDiv w:val="1"/>
      <w:marLeft w:val="0"/>
      <w:marRight w:val="0"/>
      <w:marTop w:val="0"/>
      <w:marBottom w:val="0"/>
      <w:divBdr>
        <w:top w:val="none" w:sz="0" w:space="0" w:color="auto"/>
        <w:left w:val="none" w:sz="0" w:space="0" w:color="auto"/>
        <w:bottom w:val="none" w:sz="0" w:space="0" w:color="auto"/>
        <w:right w:val="none" w:sz="0" w:space="0" w:color="auto"/>
      </w:divBdr>
    </w:div>
    <w:div w:id="55979218">
      <w:bodyDiv w:val="1"/>
      <w:marLeft w:val="0"/>
      <w:marRight w:val="0"/>
      <w:marTop w:val="0"/>
      <w:marBottom w:val="0"/>
      <w:divBdr>
        <w:top w:val="none" w:sz="0" w:space="0" w:color="auto"/>
        <w:left w:val="none" w:sz="0" w:space="0" w:color="auto"/>
        <w:bottom w:val="none" w:sz="0" w:space="0" w:color="auto"/>
        <w:right w:val="none" w:sz="0" w:space="0" w:color="auto"/>
      </w:divBdr>
    </w:div>
    <w:div w:id="56704911">
      <w:bodyDiv w:val="1"/>
      <w:marLeft w:val="0"/>
      <w:marRight w:val="0"/>
      <w:marTop w:val="0"/>
      <w:marBottom w:val="0"/>
      <w:divBdr>
        <w:top w:val="none" w:sz="0" w:space="0" w:color="auto"/>
        <w:left w:val="none" w:sz="0" w:space="0" w:color="auto"/>
        <w:bottom w:val="none" w:sz="0" w:space="0" w:color="auto"/>
        <w:right w:val="none" w:sz="0" w:space="0" w:color="auto"/>
      </w:divBdr>
    </w:div>
    <w:div w:id="63648557">
      <w:bodyDiv w:val="1"/>
      <w:marLeft w:val="0"/>
      <w:marRight w:val="0"/>
      <w:marTop w:val="0"/>
      <w:marBottom w:val="0"/>
      <w:divBdr>
        <w:top w:val="none" w:sz="0" w:space="0" w:color="auto"/>
        <w:left w:val="none" w:sz="0" w:space="0" w:color="auto"/>
        <w:bottom w:val="none" w:sz="0" w:space="0" w:color="auto"/>
        <w:right w:val="none" w:sz="0" w:space="0" w:color="auto"/>
      </w:divBdr>
    </w:div>
    <w:div w:id="72632507">
      <w:bodyDiv w:val="1"/>
      <w:marLeft w:val="0"/>
      <w:marRight w:val="0"/>
      <w:marTop w:val="0"/>
      <w:marBottom w:val="0"/>
      <w:divBdr>
        <w:top w:val="none" w:sz="0" w:space="0" w:color="auto"/>
        <w:left w:val="none" w:sz="0" w:space="0" w:color="auto"/>
        <w:bottom w:val="none" w:sz="0" w:space="0" w:color="auto"/>
        <w:right w:val="none" w:sz="0" w:space="0" w:color="auto"/>
      </w:divBdr>
    </w:div>
    <w:div w:id="86003317">
      <w:bodyDiv w:val="1"/>
      <w:marLeft w:val="0"/>
      <w:marRight w:val="0"/>
      <w:marTop w:val="0"/>
      <w:marBottom w:val="0"/>
      <w:divBdr>
        <w:top w:val="none" w:sz="0" w:space="0" w:color="auto"/>
        <w:left w:val="none" w:sz="0" w:space="0" w:color="auto"/>
        <w:bottom w:val="none" w:sz="0" w:space="0" w:color="auto"/>
        <w:right w:val="none" w:sz="0" w:space="0" w:color="auto"/>
      </w:divBdr>
    </w:div>
    <w:div w:id="91174262">
      <w:bodyDiv w:val="1"/>
      <w:marLeft w:val="0"/>
      <w:marRight w:val="0"/>
      <w:marTop w:val="0"/>
      <w:marBottom w:val="0"/>
      <w:divBdr>
        <w:top w:val="none" w:sz="0" w:space="0" w:color="auto"/>
        <w:left w:val="none" w:sz="0" w:space="0" w:color="auto"/>
        <w:bottom w:val="none" w:sz="0" w:space="0" w:color="auto"/>
        <w:right w:val="none" w:sz="0" w:space="0" w:color="auto"/>
      </w:divBdr>
    </w:div>
    <w:div w:id="96021683">
      <w:bodyDiv w:val="1"/>
      <w:marLeft w:val="0"/>
      <w:marRight w:val="0"/>
      <w:marTop w:val="0"/>
      <w:marBottom w:val="0"/>
      <w:divBdr>
        <w:top w:val="none" w:sz="0" w:space="0" w:color="auto"/>
        <w:left w:val="none" w:sz="0" w:space="0" w:color="auto"/>
        <w:bottom w:val="none" w:sz="0" w:space="0" w:color="auto"/>
        <w:right w:val="none" w:sz="0" w:space="0" w:color="auto"/>
      </w:divBdr>
      <w:divsChild>
        <w:div w:id="1552034425">
          <w:marLeft w:val="0"/>
          <w:marRight w:val="0"/>
          <w:marTop w:val="0"/>
          <w:marBottom w:val="0"/>
          <w:divBdr>
            <w:top w:val="single" w:sz="2" w:space="0" w:color="auto"/>
            <w:left w:val="single" w:sz="2" w:space="0" w:color="auto"/>
            <w:bottom w:val="single" w:sz="6" w:space="0" w:color="auto"/>
            <w:right w:val="single" w:sz="2" w:space="0" w:color="auto"/>
          </w:divBdr>
          <w:divsChild>
            <w:div w:id="303968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39861713">
                  <w:marLeft w:val="0"/>
                  <w:marRight w:val="0"/>
                  <w:marTop w:val="0"/>
                  <w:marBottom w:val="0"/>
                  <w:divBdr>
                    <w:top w:val="single" w:sz="2" w:space="0" w:color="D9D9E3"/>
                    <w:left w:val="single" w:sz="2" w:space="0" w:color="D9D9E3"/>
                    <w:bottom w:val="single" w:sz="2" w:space="0" w:color="D9D9E3"/>
                    <w:right w:val="single" w:sz="2" w:space="0" w:color="D9D9E3"/>
                  </w:divBdr>
                  <w:divsChild>
                    <w:div w:id="427316406">
                      <w:marLeft w:val="0"/>
                      <w:marRight w:val="0"/>
                      <w:marTop w:val="0"/>
                      <w:marBottom w:val="0"/>
                      <w:divBdr>
                        <w:top w:val="single" w:sz="2" w:space="0" w:color="D9D9E3"/>
                        <w:left w:val="single" w:sz="2" w:space="0" w:color="D9D9E3"/>
                        <w:bottom w:val="single" w:sz="2" w:space="0" w:color="D9D9E3"/>
                        <w:right w:val="single" w:sz="2" w:space="0" w:color="D9D9E3"/>
                      </w:divBdr>
                      <w:divsChild>
                        <w:div w:id="1746612535">
                          <w:marLeft w:val="0"/>
                          <w:marRight w:val="0"/>
                          <w:marTop w:val="0"/>
                          <w:marBottom w:val="0"/>
                          <w:divBdr>
                            <w:top w:val="single" w:sz="2" w:space="0" w:color="D9D9E3"/>
                            <w:left w:val="single" w:sz="2" w:space="0" w:color="D9D9E3"/>
                            <w:bottom w:val="single" w:sz="2" w:space="0" w:color="D9D9E3"/>
                            <w:right w:val="single" w:sz="2" w:space="0" w:color="D9D9E3"/>
                          </w:divBdr>
                          <w:divsChild>
                            <w:div w:id="21015574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9325559">
      <w:bodyDiv w:val="1"/>
      <w:marLeft w:val="0"/>
      <w:marRight w:val="0"/>
      <w:marTop w:val="0"/>
      <w:marBottom w:val="0"/>
      <w:divBdr>
        <w:top w:val="none" w:sz="0" w:space="0" w:color="auto"/>
        <w:left w:val="none" w:sz="0" w:space="0" w:color="auto"/>
        <w:bottom w:val="none" w:sz="0" w:space="0" w:color="auto"/>
        <w:right w:val="none" w:sz="0" w:space="0" w:color="auto"/>
      </w:divBdr>
    </w:div>
    <w:div w:id="168568135">
      <w:bodyDiv w:val="1"/>
      <w:marLeft w:val="0"/>
      <w:marRight w:val="0"/>
      <w:marTop w:val="0"/>
      <w:marBottom w:val="0"/>
      <w:divBdr>
        <w:top w:val="none" w:sz="0" w:space="0" w:color="auto"/>
        <w:left w:val="none" w:sz="0" w:space="0" w:color="auto"/>
        <w:bottom w:val="none" w:sz="0" w:space="0" w:color="auto"/>
        <w:right w:val="none" w:sz="0" w:space="0" w:color="auto"/>
      </w:divBdr>
    </w:div>
    <w:div w:id="282924519">
      <w:bodyDiv w:val="1"/>
      <w:marLeft w:val="0"/>
      <w:marRight w:val="0"/>
      <w:marTop w:val="0"/>
      <w:marBottom w:val="0"/>
      <w:divBdr>
        <w:top w:val="none" w:sz="0" w:space="0" w:color="auto"/>
        <w:left w:val="none" w:sz="0" w:space="0" w:color="auto"/>
        <w:bottom w:val="none" w:sz="0" w:space="0" w:color="auto"/>
        <w:right w:val="none" w:sz="0" w:space="0" w:color="auto"/>
      </w:divBdr>
    </w:div>
    <w:div w:id="296032723">
      <w:bodyDiv w:val="1"/>
      <w:marLeft w:val="0"/>
      <w:marRight w:val="0"/>
      <w:marTop w:val="0"/>
      <w:marBottom w:val="0"/>
      <w:divBdr>
        <w:top w:val="none" w:sz="0" w:space="0" w:color="auto"/>
        <w:left w:val="none" w:sz="0" w:space="0" w:color="auto"/>
        <w:bottom w:val="none" w:sz="0" w:space="0" w:color="auto"/>
        <w:right w:val="none" w:sz="0" w:space="0" w:color="auto"/>
      </w:divBdr>
    </w:div>
    <w:div w:id="348529182">
      <w:bodyDiv w:val="1"/>
      <w:marLeft w:val="0"/>
      <w:marRight w:val="0"/>
      <w:marTop w:val="0"/>
      <w:marBottom w:val="0"/>
      <w:divBdr>
        <w:top w:val="none" w:sz="0" w:space="0" w:color="auto"/>
        <w:left w:val="none" w:sz="0" w:space="0" w:color="auto"/>
        <w:bottom w:val="none" w:sz="0" w:space="0" w:color="auto"/>
        <w:right w:val="none" w:sz="0" w:space="0" w:color="auto"/>
      </w:divBdr>
    </w:div>
    <w:div w:id="418604804">
      <w:bodyDiv w:val="1"/>
      <w:marLeft w:val="0"/>
      <w:marRight w:val="0"/>
      <w:marTop w:val="0"/>
      <w:marBottom w:val="0"/>
      <w:divBdr>
        <w:top w:val="none" w:sz="0" w:space="0" w:color="auto"/>
        <w:left w:val="none" w:sz="0" w:space="0" w:color="auto"/>
        <w:bottom w:val="none" w:sz="0" w:space="0" w:color="auto"/>
        <w:right w:val="none" w:sz="0" w:space="0" w:color="auto"/>
      </w:divBdr>
    </w:div>
    <w:div w:id="454640695">
      <w:bodyDiv w:val="1"/>
      <w:marLeft w:val="0"/>
      <w:marRight w:val="0"/>
      <w:marTop w:val="0"/>
      <w:marBottom w:val="0"/>
      <w:divBdr>
        <w:top w:val="none" w:sz="0" w:space="0" w:color="auto"/>
        <w:left w:val="none" w:sz="0" w:space="0" w:color="auto"/>
        <w:bottom w:val="none" w:sz="0" w:space="0" w:color="auto"/>
        <w:right w:val="none" w:sz="0" w:space="0" w:color="auto"/>
      </w:divBdr>
    </w:div>
    <w:div w:id="463736112">
      <w:bodyDiv w:val="1"/>
      <w:marLeft w:val="0"/>
      <w:marRight w:val="0"/>
      <w:marTop w:val="0"/>
      <w:marBottom w:val="0"/>
      <w:divBdr>
        <w:top w:val="none" w:sz="0" w:space="0" w:color="auto"/>
        <w:left w:val="none" w:sz="0" w:space="0" w:color="auto"/>
        <w:bottom w:val="none" w:sz="0" w:space="0" w:color="auto"/>
        <w:right w:val="none" w:sz="0" w:space="0" w:color="auto"/>
      </w:divBdr>
      <w:divsChild>
        <w:div w:id="404760525">
          <w:marLeft w:val="0"/>
          <w:marRight w:val="0"/>
          <w:marTop w:val="0"/>
          <w:marBottom w:val="0"/>
          <w:divBdr>
            <w:top w:val="single" w:sz="2" w:space="0" w:color="D9D9E3"/>
            <w:left w:val="single" w:sz="2" w:space="0" w:color="D9D9E3"/>
            <w:bottom w:val="single" w:sz="2" w:space="0" w:color="D9D9E3"/>
            <w:right w:val="single" w:sz="2" w:space="0" w:color="D9D9E3"/>
          </w:divBdr>
          <w:divsChild>
            <w:div w:id="1543253059">
              <w:marLeft w:val="0"/>
              <w:marRight w:val="0"/>
              <w:marTop w:val="0"/>
              <w:marBottom w:val="0"/>
              <w:divBdr>
                <w:top w:val="single" w:sz="2" w:space="0" w:color="D9D9E3"/>
                <w:left w:val="single" w:sz="2" w:space="0" w:color="D9D9E3"/>
                <w:bottom w:val="single" w:sz="2" w:space="0" w:color="D9D9E3"/>
                <w:right w:val="single" w:sz="2" w:space="0" w:color="D9D9E3"/>
              </w:divBdr>
              <w:divsChild>
                <w:div w:id="1219316220">
                  <w:marLeft w:val="0"/>
                  <w:marRight w:val="0"/>
                  <w:marTop w:val="0"/>
                  <w:marBottom w:val="0"/>
                  <w:divBdr>
                    <w:top w:val="single" w:sz="2" w:space="0" w:color="D9D9E3"/>
                    <w:left w:val="single" w:sz="2" w:space="0" w:color="D9D9E3"/>
                    <w:bottom w:val="single" w:sz="2" w:space="0" w:color="D9D9E3"/>
                    <w:right w:val="single" w:sz="2" w:space="0" w:color="D9D9E3"/>
                  </w:divBdr>
                  <w:divsChild>
                    <w:div w:id="1157107354">
                      <w:marLeft w:val="0"/>
                      <w:marRight w:val="0"/>
                      <w:marTop w:val="0"/>
                      <w:marBottom w:val="0"/>
                      <w:divBdr>
                        <w:top w:val="single" w:sz="2" w:space="0" w:color="D9D9E3"/>
                        <w:left w:val="single" w:sz="2" w:space="0" w:color="D9D9E3"/>
                        <w:bottom w:val="single" w:sz="2" w:space="0" w:color="D9D9E3"/>
                        <w:right w:val="single" w:sz="2" w:space="0" w:color="D9D9E3"/>
                      </w:divBdr>
                      <w:divsChild>
                        <w:div w:id="1527449529">
                          <w:marLeft w:val="0"/>
                          <w:marRight w:val="0"/>
                          <w:marTop w:val="0"/>
                          <w:marBottom w:val="0"/>
                          <w:divBdr>
                            <w:top w:val="single" w:sz="2" w:space="0" w:color="auto"/>
                            <w:left w:val="single" w:sz="2" w:space="0" w:color="auto"/>
                            <w:bottom w:val="single" w:sz="6" w:space="0" w:color="auto"/>
                            <w:right w:val="single" w:sz="2" w:space="0" w:color="auto"/>
                          </w:divBdr>
                          <w:divsChild>
                            <w:div w:id="1734158918">
                              <w:marLeft w:val="0"/>
                              <w:marRight w:val="0"/>
                              <w:marTop w:val="100"/>
                              <w:marBottom w:val="100"/>
                              <w:divBdr>
                                <w:top w:val="single" w:sz="2" w:space="0" w:color="D9D9E3"/>
                                <w:left w:val="single" w:sz="2" w:space="0" w:color="D9D9E3"/>
                                <w:bottom w:val="single" w:sz="2" w:space="0" w:color="D9D9E3"/>
                                <w:right w:val="single" w:sz="2" w:space="0" w:color="D9D9E3"/>
                              </w:divBdr>
                              <w:divsChild>
                                <w:div w:id="1125199718">
                                  <w:marLeft w:val="0"/>
                                  <w:marRight w:val="0"/>
                                  <w:marTop w:val="0"/>
                                  <w:marBottom w:val="0"/>
                                  <w:divBdr>
                                    <w:top w:val="single" w:sz="2" w:space="0" w:color="D9D9E3"/>
                                    <w:left w:val="single" w:sz="2" w:space="0" w:color="D9D9E3"/>
                                    <w:bottom w:val="single" w:sz="2" w:space="0" w:color="D9D9E3"/>
                                    <w:right w:val="single" w:sz="2" w:space="0" w:color="D9D9E3"/>
                                  </w:divBdr>
                                  <w:divsChild>
                                    <w:div w:id="1356542801">
                                      <w:marLeft w:val="0"/>
                                      <w:marRight w:val="0"/>
                                      <w:marTop w:val="0"/>
                                      <w:marBottom w:val="0"/>
                                      <w:divBdr>
                                        <w:top w:val="single" w:sz="2" w:space="0" w:color="D9D9E3"/>
                                        <w:left w:val="single" w:sz="2" w:space="0" w:color="D9D9E3"/>
                                        <w:bottom w:val="single" w:sz="2" w:space="0" w:color="D9D9E3"/>
                                        <w:right w:val="single" w:sz="2" w:space="0" w:color="D9D9E3"/>
                                      </w:divBdr>
                                      <w:divsChild>
                                        <w:div w:id="1669022376">
                                          <w:marLeft w:val="0"/>
                                          <w:marRight w:val="0"/>
                                          <w:marTop w:val="0"/>
                                          <w:marBottom w:val="0"/>
                                          <w:divBdr>
                                            <w:top w:val="single" w:sz="2" w:space="0" w:color="D9D9E3"/>
                                            <w:left w:val="single" w:sz="2" w:space="0" w:color="D9D9E3"/>
                                            <w:bottom w:val="single" w:sz="2" w:space="0" w:color="D9D9E3"/>
                                            <w:right w:val="single" w:sz="2" w:space="0" w:color="D9D9E3"/>
                                          </w:divBdr>
                                          <w:divsChild>
                                            <w:div w:id="1287278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829298677">
          <w:marLeft w:val="0"/>
          <w:marRight w:val="0"/>
          <w:marTop w:val="0"/>
          <w:marBottom w:val="0"/>
          <w:divBdr>
            <w:top w:val="none" w:sz="0" w:space="0" w:color="auto"/>
            <w:left w:val="none" w:sz="0" w:space="0" w:color="auto"/>
            <w:bottom w:val="none" w:sz="0" w:space="0" w:color="auto"/>
            <w:right w:val="none" w:sz="0" w:space="0" w:color="auto"/>
          </w:divBdr>
          <w:divsChild>
            <w:div w:id="1509097663">
              <w:marLeft w:val="0"/>
              <w:marRight w:val="0"/>
              <w:marTop w:val="0"/>
              <w:marBottom w:val="0"/>
              <w:divBdr>
                <w:top w:val="single" w:sz="2" w:space="0" w:color="D9D9E3"/>
                <w:left w:val="single" w:sz="2" w:space="0" w:color="D9D9E3"/>
                <w:bottom w:val="single" w:sz="2" w:space="0" w:color="D9D9E3"/>
                <w:right w:val="single" w:sz="2" w:space="0" w:color="D9D9E3"/>
              </w:divBdr>
              <w:divsChild>
                <w:div w:id="21311944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476726788">
      <w:bodyDiv w:val="1"/>
      <w:marLeft w:val="0"/>
      <w:marRight w:val="0"/>
      <w:marTop w:val="0"/>
      <w:marBottom w:val="0"/>
      <w:divBdr>
        <w:top w:val="none" w:sz="0" w:space="0" w:color="auto"/>
        <w:left w:val="none" w:sz="0" w:space="0" w:color="auto"/>
        <w:bottom w:val="none" w:sz="0" w:space="0" w:color="auto"/>
        <w:right w:val="none" w:sz="0" w:space="0" w:color="auto"/>
      </w:divBdr>
      <w:divsChild>
        <w:div w:id="1995795411">
          <w:marLeft w:val="0"/>
          <w:marRight w:val="0"/>
          <w:marTop w:val="0"/>
          <w:marBottom w:val="0"/>
          <w:divBdr>
            <w:top w:val="single" w:sz="2" w:space="0" w:color="auto"/>
            <w:left w:val="single" w:sz="2" w:space="0" w:color="auto"/>
            <w:bottom w:val="single" w:sz="6" w:space="0" w:color="auto"/>
            <w:right w:val="single" w:sz="2" w:space="0" w:color="auto"/>
          </w:divBdr>
          <w:divsChild>
            <w:div w:id="1551990616">
              <w:marLeft w:val="0"/>
              <w:marRight w:val="0"/>
              <w:marTop w:val="100"/>
              <w:marBottom w:val="100"/>
              <w:divBdr>
                <w:top w:val="single" w:sz="2" w:space="0" w:color="D9D9E3"/>
                <w:left w:val="single" w:sz="2" w:space="0" w:color="D9D9E3"/>
                <w:bottom w:val="single" w:sz="2" w:space="0" w:color="D9D9E3"/>
                <w:right w:val="single" w:sz="2" w:space="0" w:color="D9D9E3"/>
              </w:divBdr>
              <w:divsChild>
                <w:div w:id="1962033983">
                  <w:marLeft w:val="0"/>
                  <w:marRight w:val="0"/>
                  <w:marTop w:val="0"/>
                  <w:marBottom w:val="0"/>
                  <w:divBdr>
                    <w:top w:val="single" w:sz="2" w:space="0" w:color="D9D9E3"/>
                    <w:left w:val="single" w:sz="2" w:space="0" w:color="D9D9E3"/>
                    <w:bottom w:val="single" w:sz="2" w:space="0" w:color="D9D9E3"/>
                    <w:right w:val="single" w:sz="2" w:space="0" w:color="D9D9E3"/>
                  </w:divBdr>
                  <w:divsChild>
                    <w:div w:id="1600019582">
                      <w:marLeft w:val="0"/>
                      <w:marRight w:val="0"/>
                      <w:marTop w:val="0"/>
                      <w:marBottom w:val="0"/>
                      <w:divBdr>
                        <w:top w:val="single" w:sz="2" w:space="0" w:color="D9D9E3"/>
                        <w:left w:val="single" w:sz="2" w:space="0" w:color="D9D9E3"/>
                        <w:bottom w:val="single" w:sz="2" w:space="0" w:color="D9D9E3"/>
                        <w:right w:val="single" w:sz="2" w:space="0" w:color="D9D9E3"/>
                      </w:divBdr>
                      <w:divsChild>
                        <w:div w:id="259919518">
                          <w:marLeft w:val="0"/>
                          <w:marRight w:val="0"/>
                          <w:marTop w:val="0"/>
                          <w:marBottom w:val="0"/>
                          <w:divBdr>
                            <w:top w:val="single" w:sz="2" w:space="0" w:color="D9D9E3"/>
                            <w:left w:val="single" w:sz="2" w:space="0" w:color="D9D9E3"/>
                            <w:bottom w:val="single" w:sz="2" w:space="0" w:color="D9D9E3"/>
                            <w:right w:val="single" w:sz="2" w:space="0" w:color="D9D9E3"/>
                          </w:divBdr>
                          <w:divsChild>
                            <w:div w:id="1245801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5244050">
      <w:bodyDiv w:val="1"/>
      <w:marLeft w:val="0"/>
      <w:marRight w:val="0"/>
      <w:marTop w:val="0"/>
      <w:marBottom w:val="0"/>
      <w:divBdr>
        <w:top w:val="none" w:sz="0" w:space="0" w:color="auto"/>
        <w:left w:val="none" w:sz="0" w:space="0" w:color="auto"/>
        <w:bottom w:val="none" w:sz="0" w:space="0" w:color="auto"/>
        <w:right w:val="none" w:sz="0" w:space="0" w:color="auto"/>
      </w:divBdr>
    </w:div>
    <w:div w:id="525096610">
      <w:bodyDiv w:val="1"/>
      <w:marLeft w:val="0"/>
      <w:marRight w:val="0"/>
      <w:marTop w:val="0"/>
      <w:marBottom w:val="0"/>
      <w:divBdr>
        <w:top w:val="none" w:sz="0" w:space="0" w:color="auto"/>
        <w:left w:val="none" w:sz="0" w:space="0" w:color="auto"/>
        <w:bottom w:val="none" w:sz="0" w:space="0" w:color="auto"/>
        <w:right w:val="none" w:sz="0" w:space="0" w:color="auto"/>
      </w:divBdr>
    </w:div>
    <w:div w:id="570166126">
      <w:bodyDiv w:val="1"/>
      <w:marLeft w:val="0"/>
      <w:marRight w:val="0"/>
      <w:marTop w:val="0"/>
      <w:marBottom w:val="0"/>
      <w:divBdr>
        <w:top w:val="none" w:sz="0" w:space="0" w:color="auto"/>
        <w:left w:val="none" w:sz="0" w:space="0" w:color="auto"/>
        <w:bottom w:val="none" w:sz="0" w:space="0" w:color="auto"/>
        <w:right w:val="none" w:sz="0" w:space="0" w:color="auto"/>
      </w:divBdr>
    </w:div>
    <w:div w:id="586235472">
      <w:bodyDiv w:val="1"/>
      <w:marLeft w:val="0"/>
      <w:marRight w:val="0"/>
      <w:marTop w:val="0"/>
      <w:marBottom w:val="0"/>
      <w:divBdr>
        <w:top w:val="none" w:sz="0" w:space="0" w:color="auto"/>
        <w:left w:val="none" w:sz="0" w:space="0" w:color="auto"/>
        <w:bottom w:val="none" w:sz="0" w:space="0" w:color="auto"/>
        <w:right w:val="none" w:sz="0" w:space="0" w:color="auto"/>
      </w:divBdr>
    </w:div>
    <w:div w:id="602224527">
      <w:bodyDiv w:val="1"/>
      <w:marLeft w:val="0"/>
      <w:marRight w:val="0"/>
      <w:marTop w:val="0"/>
      <w:marBottom w:val="0"/>
      <w:divBdr>
        <w:top w:val="none" w:sz="0" w:space="0" w:color="auto"/>
        <w:left w:val="none" w:sz="0" w:space="0" w:color="auto"/>
        <w:bottom w:val="none" w:sz="0" w:space="0" w:color="auto"/>
        <w:right w:val="none" w:sz="0" w:space="0" w:color="auto"/>
      </w:divBdr>
      <w:divsChild>
        <w:div w:id="1087268692">
          <w:marLeft w:val="0"/>
          <w:marRight w:val="0"/>
          <w:marTop w:val="0"/>
          <w:marBottom w:val="0"/>
          <w:divBdr>
            <w:top w:val="single" w:sz="2" w:space="0" w:color="auto"/>
            <w:left w:val="single" w:sz="2" w:space="0" w:color="auto"/>
            <w:bottom w:val="single" w:sz="6" w:space="0" w:color="auto"/>
            <w:right w:val="single" w:sz="2" w:space="0" w:color="auto"/>
          </w:divBdr>
          <w:divsChild>
            <w:div w:id="1082524674">
              <w:marLeft w:val="0"/>
              <w:marRight w:val="0"/>
              <w:marTop w:val="100"/>
              <w:marBottom w:val="100"/>
              <w:divBdr>
                <w:top w:val="single" w:sz="2" w:space="0" w:color="D9D9E3"/>
                <w:left w:val="single" w:sz="2" w:space="0" w:color="D9D9E3"/>
                <w:bottom w:val="single" w:sz="2" w:space="0" w:color="D9D9E3"/>
                <w:right w:val="single" w:sz="2" w:space="0" w:color="D9D9E3"/>
              </w:divBdr>
              <w:divsChild>
                <w:div w:id="987978687">
                  <w:marLeft w:val="0"/>
                  <w:marRight w:val="0"/>
                  <w:marTop w:val="0"/>
                  <w:marBottom w:val="0"/>
                  <w:divBdr>
                    <w:top w:val="single" w:sz="2" w:space="0" w:color="D9D9E3"/>
                    <w:left w:val="single" w:sz="2" w:space="0" w:color="D9D9E3"/>
                    <w:bottom w:val="single" w:sz="2" w:space="0" w:color="D9D9E3"/>
                    <w:right w:val="single" w:sz="2" w:space="0" w:color="D9D9E3"/>
                  </w:divBdr>
                  <w:divsChild>
                    <w:div w:id="289820462">
                      <w:marLeft w:val="0"/>
                      <w:marRight w:val="0"/>
                      <w:marTop w:val="0"/>
                      <w:marBottom w:val="0"/>
                      <w:divBdr>
                        <w:top w:val="single" w:sz="2" w:space="0" w:color="D9D9E3"/>
                        <w:left w:val="single" w:sz="2" w:space="0" w:color="D9D9E3"/>
                        <w:bottom w:val="single" w:sz="2" w:space="0" w:color="D9D9E3"/>
                        <w:right w:val="single" w:sz="2" w:space="0" w:color="D9D9E3"/>
                      </w:divBdr>
                      <w:divsChild>
                        <w:div w:id="334722260">
                          <w:marLeft w:val="0"/>
                          <w:marRight w:val="0"/>
                          <w:marTop w:val="0"/>
                          <w:marBottom w:val="0"/>
                          <w:divBdr>
                            <w:top w:val="single" w:sz="2" w:space="0" w:color="D9D9E3"/>
                            <w:left w:val="single" w:sz="2" w:space="0" w:color="D9D9E3"/>
                            <w:bottom w:val="single" w:sz="2" w:space="0" w:color="D9D9E3"/>
                            <w:right w:val="single" w:sz="2" w:space="0" w:color="D9D9E3"/>
                          </w:divBdr>
                          <w:divsChild>
                            <w:div w:id="262762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5411898">
      <w:bodyDiv w:val="1"/>
      <w:marLeft w:val="0"/>
      <w:marRight w:val="0"/>
      <w:marTop w:val="0"/>
      <w:marBottom w:val="0"/>
      <w:divBdr>
        <w:top w:val="none" w:sz="0" w:space="0" w:color="auto"/>
        <w:left w:val="none" w:sz="0" w:space="0" w:color="auto"/>
        <w:bottom w:val="none" w:sz="0" w:space="0" w:color="auto"/>
        <w:right w:val="none" w:sz="0" w:space="0" w:color="auto"/>
      </w:divBdr>
      <w:divsChild>
        <w:div w:id="1074858493">
          <w:marLeft w:val="0"/>
          <w:marRight w:val="0"/>
          <w:marTop w:val="0"/>
          <w:marBottom w:val="0"/>
          <w:divBdr>
            <w:top w:val="single" w:sz="2" w:space="0" w:color="D9D9E3"/>
            <w:left w:val="single" w:sz="2" w:space="0" w:color="D9D9E3"/>
            <w:bottom w:val="single" w:sz="2" w:space="0" w:color="D9D9E3"/>
            <w:right w:val="single" w:sz="2" w:space="0" w:color="D9D9E3"/>
          </w:divBdr>
          <w:divsChild>
            <w:div w:id="1746102491">
              <w:marLeft w:val="0"/>
              <w:marRight w:val="0"/>
              <w:marTop w:val="0"/>
              <w:marBottom w:val="0"/>
              <w:divBdr>
                <w:top w:val="single" w:sz="2" w:space="0" w:color="D9D9E3"/>
                <w:left w:val="single" w:sz="2" w:space="0" w:color="D9D9E3"/>
                <w:bottom w:val="single" w:sz="2" w:space="0" w:color="D9D9E3"/>
                <w:right w:val="single" w:sz="2" w:space="0" w:color="D9D9E3"/>
              </w:divBdr>
              <w:divsChild>
                <w:div w:id="2065256379">
                  <w:marLeft w:val="0"/>
                  <w:marRight w:val="0"/>
                  <w:marTop w:val="0"/>
                  <w:marBottom w:val="0"/>
                  <w:divBdr>
                    <w:top w:val="single" w:sz="2" w:space="0" w:color="D9D9E3"/>
                    <w:left w:val="single" w:sz="2" w:space="0" w:color="D9D9E3"/>
                    <w:bottom w:val="single" w:sz="2" w:space="0" w:color="D9D9E3"/>
                    <w:right w:val="single" w:sz="2" w:space="0" w:color="D9D9E3"/>
                  </w:divBdr>
                  <w:divsChild>
                    <w:div w:id="52434468">
                      <w:marLeft w:val="0"/>
                      <w:marRight w:val="0"/>
                      <w:marTop w:val="0"/>
                      <w:marBottom w:val="0"/>
                      <w:divBdr>
                        <w:top w:val="single" w:sz="2" w:space="0" w:color="D9D9E3"/>
                        <w:left w:val="single" w:sz="2" w:space="0" w:color="D9D9E3"/>
                        <w:bottom w:val="single" w:sz="2" w:space="0" w:color="D9D9E3"/>
                        <w:right w:val="single" w:sz="2" w:space="0" w:color="D9D9E3"/>
                      </w:divBdr>
                      <w:divsChild>
                        <w:div w:id="240605052">
                          <w:marLeft w:val="0"/>
                          <w:marRight w:val="0"/>
                          <w:marTop w:val="0"/>
                          <w:marBottom w:val="0"/>
                          <w:divBdr>
                            <w:top w:val="single" w:sz="2" w:space="0" w:color="auto"/>
                            <w:left w:val="single" w:sz="2" w:space="0" w:color="auto"/>
                            <w:bottom w:val="single" w:sz="6" w:space="0" w:color="auto"/>
                            <w:right w:val="single" w:sz="2" w:space="0" w:color="auto"/>
                          </w:divBdr>
                          <w:divsChild>
                            <w:div w:id="1802574920">
                              <w:marLeft w:val="0"/>
                              <w:marRight w:val="0"/>
                              <w:marTop w:val="100"/>
                              <w:marBottom w:val="100"/>
                              <w:divBdr>
                                <w:top w:val="single" w:sz="2" w:space="0" w:color="D9D9E3"/>
                                <w:left w:val="single" w:sz="2" w:space="0" w:color="D9D9E3"/>
                                <w:bottom w:val="single" w:sz="2" w:space="0" w:color="D9D9E3"/>
                                <w:right w:val="single" w:sz="2" w:space="0" w:color="D9D9E3"/>
                              </w:divBdr>
                              <w:divsChild>
                                <w:div w:id="874467273">
                                  <w:marLeft w:val="0"/>
                                  <w:marRight w:val="0"/>
                                  <w:marTop w:val="0"/>
                                  <w:marBottom w:val="0"/>
                                  <w:divBdr>
                                    <w:top w:val="single" w:sz="2" w:space="0" w:color="D9D9E3"/>
                                    <w:left w:val="single" w:sz="2" w:space="0" w:color="D9D9E3"/>
                                    <w:bottom w:val="single" w:sz="2" w:space="0" w:color="D9D9E3"/>
                                    <w:right w:val="single" w:sz="2" w:space="0" w:color="D9D9E3"/>
                                  </w:divBdr>
                                  <w:divsChild>
                                    <w:div w:id="1443112093">
                                      <w:marLeft w:val="0"/>
                                      <w:marRight w:val="0"/>
                                      <w:marTop w:val="0"/>
                                      <w:marBottom w:val="0"/>
                                      <w:divBdr>
                                        <w:top w:val="single" w:sz="2" w:space="0" w:color="D9D9E3"/>
                                        <w:left w:val="single" w:sz="2" w:space="0" w:color="D9D9E3"/>
                                        <w:bottom w:val="single" w:sz="2" w:space="0" w:color="D9D9E3"/>
                                        <w:right w:val="single" w:sz="2" w:space="0" w:color="D9D9E3"/>
                                      </w:divBdr>
                                      <w:divsChild>
                                        <w:div w:id="799111128">
                                          <w:marLeft w:val="0"/>
                                          <w:marRight w:val="0"/>
                                          <w:marTop w:val="0"/>
                                          <w:marBottom w:val="0"/>
                                          <w:divBdr>
                                            <w:top w:val="single" w:sz="2" w:space="0" w:color="D9D9E3"/>
                                            <w:left w:val="single" w:sz="2" w:space="0" w:color="D9D9E3"/>
                                            <w:bottom w:val="single" w:sz="2" w:space="0" w:color="D9D9E3"/>
                                            <w:right w:val="single" w:sz="2" w:space="0" w:color="D9D9E3"/>
                                          </w:divBdr>
                                          <w:divsChild>
                                            <w:div w:id="615798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2265102">
                          <w:marLeft w:val="0"/>
                          <w:marRight w:val="0"/>
                          <w:marTop w:val="0"/>
                          <w:marBottom w:val="0"/>
                          <w:divBdr>
                            <w:top w:val="single" w:sz="2" w:space="0" w:color="auto"/>
                            <w:left w:val="single" w:sz="2" w:space="0" w:color="auto"/>
                            <w:bottom w:val="single" w:sz="6" w:space="0" w:color="auto"/>
                            <w:right w:val="single" w:sz="2" w:space="0" w:color="auto"/>
                          </w:divBdr>
                          <w:divsChild>
                            <w:div w:id="690716463">
                              <w:marLeft w:val="0"/>
                              <w:marRight w:val="0"/>
                              <w:marTop w:val="100"/>
                              <w:marBottom w:val="100"/>
                              <w:divBdr>
                                <w:top w:val="single" w:sz="2" w:space="0" w:color="D9D9E3"/>
                                <w:left w:val="single" w:sz="2" w:space="0" w:color="D9D9E3"/>
                                <w:bottom w:val="single" w:sz="2" w:space="0" w:color="D9D9E3"/>
                                <w:right w:val="single" w:sz="2" w:space="0" w:color="D9D9E3"/>
                              </w:divBdr>
                              <w:divsChild>
                                <w:div w:id="662582533">
                                  <w:marLeft w:val="0"/>
                                  <w:marRight w:val="0"/>
                                  <w:marTop w:val="0"/>
                                  <w:marBottom w:val="0"/>
                                  <w:divBdr>
                                    <w:top w:val="single" w:sz="2" w:space="0" w:color="D9D9E3"/>
                                    <w:left w:val="single" w:sz="2" w:space="0" w:color="D9D9E3"/>
                                    <w:bottom w:val="single" w:sz="2" w:space="0" w:color="D9D9E3"/>
                                    <w:right w:val="single" w:sz="2" w:space="0" w:color="D9D9E3"/>
                                  </w:divBdr>
                                  <w:divsChild>
                                    <w:div w:id="1213037811">
                                      <w:marLeft w:val="0"/>
                                      <w:marRight w:val="0"/>
                                      <w:marTop w:val="0"/>
                                      <w:marBottom w:val="0"/>
                                      <w:divBdr>
                                        <w:top w:val="single" w:sz="2" w:space="0" w:color="D9D9E3"/>
                                        <w:left w:val="single" w:sz="2" w:space="0" w:color="D9D9E3"/>
                                        <w:bottom w:val="single" w:sz="2" w:space="0" w:color="D9D9E3"/>
                                        <w:right w:val="single" w:sz="2" w:space="0" w:color="D9D9E3"/>
                                      </w:divBdr>
                                      <w:divsChild>
                                        <w:div w:id="1598292567">
                                          <w:marLeft w:val="0"/>
                                          <w:marRight w:val="0"/>
                                          <w:marTop w:val="0"/>
                                          <w:marBottom w:val="0"/>
                                          <w:divBdr>
                                            <w:top w:val="single" w:sz="2" w:space="0" w:color="D9D9E3"/>
                                            <w:left w:val="single" w:sz="2" w:space="0" w:color="D9D9E3"/>
                                            <w:bottom w:val="single" w:sz="2" w:space="0" w:color="D9D9E3"/>
                                            <w:right w:val="single" w:sz="2" w:space="0" w:color="D9D9E3"/>
                                          </w:divBdr>
                                          <w:divsChild>
                                            <w:div w:id="10462245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333138979">
                                  <w:marLeft w:val="0"/>
                                  <w:marRight w:val="0"/>
                                  <w:marTop w:val="0"/>
                                  <w:marBottom w:val="0"/>
                                  <w:divBdr>
                                    <w:top w:val="single" w:sz="2" w:space="0" w:color="D9D9E3"/>
                                    <w:left w:val="single" w:sz="2" w:space="0" w:color="D9D9E3"/>
                                    <w:bottom w:val="single" w:sz="2" w:space="0" w:color="D9D9E3"/>
                                    <w:right w:val="single" w:sz="2" w:space="0" w:color="D9D9E3"/>
                                  </w:divBdr>
                                  <w:divsChild>
                                    <w:div w:id="2094617528">
                                      <w:marLeft w:val="0"/>
                                      <w:marRight w:val="0"/>
                                      <w:marTop w:val="0"/>
                                      <w:marBottom w:val="0"/>
                                      <w:divBdr>
                                        <w:top w:val="single" w:sz="2" w:space="0" w:color="D9D9E3"/>
                                        <w:left w:val="single" w:sz="2" w:space="0" w:color="D9D9E3"/>
                                        <w:bottom w:val="single" w:sz="2" w:space="0" w:color="D9D9E3"/>
                                        <w:right w:val="single" w:sz="2" w:space="0" w:color="D9D9E3"/>
                                      </w:divBdr>
                                      <w:divsChild>
                                        <w:div w:id="1064529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600328780">
          <w:marLeft w:val="0"/>
          <w:marRight w:val="0"/>
          <w:marTop w:val="0"/>
          <w:marBottom w:val="0"/>
          <w:divBdr>
            <w:top w:val="none" w:sz="0" w:space="0" w:color="auto"/>
            <w:left w:val="none" w:sz="0" w:space="0" w:color="auto"/>
            <w:bottom w:val="none" w:sz="0" w:space="0" w:color="auto"/>
            <w:right w:val="none" w:sz="0" w:space="0" w:color="auto"/>
          </w:divBdr>
          <w:divsChild>
            <w:div w:id="379016894">
              <w:marLeft w:val="0"/>
              <w:marRight w:val="0"/>
              <w:marTop w:val="0"/>
              <w:marBottom w:val="0"/>
              <w:divBdr>
                <w:top w:val="single" w:sz="2" w:space="0" w:color="D9D9E3"/>
                <w:left w:val="single" w:sz="2" w:space="0" w:color="D9D9E3"/>
                <w:bottom w:val="single" w:sz="2" w:space="0" w:color="D9D9E3"/>
                <w:right w:val="single" w:sz="2" w:space="0" w:color="D9D9E3"/>
              </w:divBdr>
              <w:divsChild>
                <w:div w:id="914894131">
                  <w:marLeft w:val="0"/>
                  <w:marRight w:val="0"/>
                  <w:marTop w:val="0"/>
                  <w:marBottom w:val="0"/>
                  <w:divBdr>
                    <w:top w:val="single" w:sz="2" w:space="0" w:color="D9D9E3"/>
                    <w:left w:val="single" w:sz="2" w:space="0" w:color="D9D9E3"/>
                    <w:bottom w:val="single" w:sz="2" w:space="0" w:color="D9D9E3"/>
                    <w:right w:val="single" w:sz="2" w:space="0" w:color="D9D9E3"/>
                  </w:divBdr>
                  <w:divsChild>
                    <w:div w:id="12116488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43311800">
      <w:bodyDiv w:val="1"/>
      <w:marLeft w:val="0"/>
      <w:marRight w:val="0"/>
      <w:marTop w:val="0"/>
      <w:marBottom w:val="0"/>
      <w:divBdr>
        <w:top w:val="none" w:sz="0" w:space="0" w:color="auto"/>
        <w:left w:val="none" w:sz="0" w:space="0" w:color="auto"/>
        <w:bottom w:val="none" w:sz="0" w:space="0" w:color="auto"/>
        <w:right w:val="none" w:sz="0" w:space="0" w:color="auto"/>
      </w:divBdr>
      <w:divsChild>
        <w:div w:id="1127624198">
          <w:marLeft w:val="570"/>
          <w:marRight w:val="0"/>
          <w:marTop w:val="0"/>
          <w:marBottom w:val="0"/>
          <w:divBdr>
            <w:top w:val="none" w:sz="0" w:space="0" w:color="auto"/>
            <w:left w:val="none" w:sz="0" w:space="0" w:color="auto"/>
            <w:bottom w:val="none" w:sz="0" w:space="0" w:color="auto"/>
            <w:right w:val="none" w:sz="0" w:space="0" w:color="auto"/>
          </w:divBdr>
        </w:div>
        <w:div w:id="1164248134">
          <w:marLeft w:val="570"/>
          <w:marRight w:val="0"/>
          <w:marTop w:val="0"/>
          <w:marBottom w:val="0"/>
          <w:divBdr>
            <w:top w:val="none" w:sz="0" w:space="0" w:color="auto"/>
            <w:left w:val="none" w:sz="0" w:space="0" w:color="auto"/>
            <w:bottom w:val="none" w:sz="0" w:space="0" w:color="auto"/>
            <w:right w:val="none" w:sz="0" w:space="0" w:color="auto"/>
          </w:divBdr>
        </w:div>
        <w:div w:id="2020043131">
          <w:marLeft w:val="570"/>
          <w:marRight w:val="0"/>
          <w:marTop w:val="0"/>
          <w:marBottom w:val="0"/>
          <w:divBdr>
            <w:top w:val="none" w:sz="0" w:space="0" w:color="auto"/>
            <w:left w:val="none" w:sz="0" w:space="0" w:color="auto"/>
            <w:bottom w:val="none" w:sz="0" w:space="0" w:color="auto"/>
            <w:right w:val="none" w:sz="0" w:space="0" w:color="auto"/>
          </w:divBdr>
        </w:div>
      </w:divsChild>
    </w:div>
    <w:div w:id="650526144">
      <w:bodyDiv w:val="1"/>
      <w:marLeft w:val="0"/>
      <w:marRight w:val="0"/>
      <w:marTop w:val="0"/>
      <w:marBottom w:val="0"/>
      <w:divBdr>
        <w:top w:val="none" w:sz="0" w:space="0" w:color="auto"/>
        <w:left w:val="none" w:sz="0" w:space="0" w:color="auto"/>
        <w:bottom w:val="none" w:sz="0" w:space="0" w:color="auto"/>
        <w:right w:val="none" w:sz="0" w:space="0" w:color="auto"/>
      </w:divBdr>
    </w:div>
    <w:div w:id="699204347">
      <w:bodyDiv w:val="1"/>
      <w:marLeft w:val="0"/>
      <w:marRight w:val="0"/>
      <w:marTop w:val="0"/>
      <w:marBottom w:val="0"/>
      <w:divBdr>
        <w:top w:val="none" w:sz="0" w:space="0" w:color="auto"/>
        <w:left w:val="none" w:sz="0" w:space="0" w:color="auto"/>
        <w:bottom w:val="none" w:sz="0" w:space="0" w:color="auto"/>
        <w:right w:val="none" w:sz="0" w:space="0" w:color="auto"/>
      </w:divBdr>
    </w:div>
    <w:div w:id="704720372">
      <w:bodyDiv w:val="1"/>
      <w:marLeft w:val="0"/>
      <w:marRight w:val="0"/>
      <w:marTop w:val="0"/>
      <w:marBottom w:val="0"/>
      <w:divBdr>
        <w:top w:val="none" w:sz="0" w:space="0" w:color="auto"/>
        <w:left w:val="none" w:sz="0" w:space="0" w:color="auto"/>
        <w:bottom w:val="none" w:sz="0" w:space="0" w:color="auto"/>
        <w:right w:val="none" w:sz="0" w:space="0" w:color="auto"/>
      </w:divBdr>
    </w:div>
    <w:div w:id="738600793">
      <w:bodyDiv w:val="1"/>
      <w:marLeft w:val="0"/>
      <w:marRight w:val="0"/>
      <w:marTop w:val="0"/>
      <w:marBottom w:val="0"/>
      <w:divBdr>
        <w:top w:val="none" w:sz="0" w:space="0" w:color="auto"/>
        <w:left w:val="none" w:sz="0" w:space="0" w:color="auto"/>
        <w:bottom w:val="none" w:sz="0" w:space="0" w:color="auto"/>
        <w:right w:val="none" w:sz="0" w:space="0" w:color="auto"/>
      </w:divBdr>
    </w:div>
    <w:div w:id="757213404">
      <w:bodyDiv w:val="1"/>
      <w:marLeft w:val="0"/>
      <w:marRight w:val="0"/>
      <w:marTop w:val="0"/>
      <w:marBottom w:val="0"/>
      <w:divBdr>
        <w:top w:val="none" w:sz="0" w:space="0" w:color="auto"/>
        <w:left w:val="none" w:sz="0" w:space="0" w:color="auto"/>
        <w:bottom w:val="none" w:sz="0" w:space="0" w:color="auto"/>
        <w:right w:val="none" w:sz="0" w:space="0" w:color="auto"/>
      </w:divBdr>
    </w:div>
    <w:div w:id="762385478">
      <w:bodyDiv w:val="1"/>
      <w:marLeft w:val="0"/>
      <w:marRight w:val="0"/>
      <w:marTop w:val="0"/>
      <w:marBottom w:val="0"/>
      <w:divBdr>
        <w:top w:val="none" w:sz="0" w:space="0" w:color="auto"/>
        <w:left w:val="none" w:sz="0" w:space="0" w:color="auto"/>
        <w:bottom w:val="none" w:sz="0" w:space="0" w:color="auto"/>
        <w:right w:val="none" w:sz="0" w:space="0" w:color="auto"/>
      </w:divBdr>
    </w:div>
    <w:div w:id="769199457">
      <w:bodyDiv w:val="1"/>
      <w:marLeft w:val="0"/>
      <w:marRight w:val="0"/>
      <w:marTop w:val="0"/>
      <w:marBottom w:val="0"/>
      <w:divBdr>
        <w:top w:val="none" w:sz="0" w:space="0" w:color="auto"/>
        <w:left w:val="none" w:sz="0" w:space="0" w:color="auto"/>
        <w:bottom w:val="none" w:sz="0" w:space="0" w:color="auto"/>
        <w:right w:val="none" w:sz="0" w:space="0" w:color="auto"/>
      </w:divBdr>
    </w:div>
    <w:div w:id="793132986">
      <w:bodyDiv w:val="1"/>
      <w:marLeft w:val="0"/>
      <w:marRight w:val="0"/>
      <w:marTop w:val="0"/>
      <w:marBottom w:val="0"/>
      <w:divBdr>
        <w:top w:val="none" w:sz="0" w:space="0" w:color="auto"/>
        <w:left w:val="none" w:sz="0" w:space="0" w:color="auto"/>
        <w:bottom w:val="none" w:sz="0" w:space="0" w:color="auto"/>
        <w:right w:val="none" w:sz="0" w:space="0" w:color="auto"/>
      </w:divBdr>
    </w:div>
    <w:div w:id="802036676">
      <w:bodyDiv w:val="1"/>
      <w:marLeft w:val="0"/>
      <w:marRight w:val="0"/>
      <w:marTop w:val="0"/>
      <w:marBottom w:val="0"/>
      <w:divBdr>
        <w:top w:val="none" w:sz="0" w:space="0" w:color="auto"/>
        <w:left w:val="none" w:sz="0" w:space="0" w:color="auto"/>
        <w:bottom w:val="none" w:sz="0" w:space="0" w:color="auto"/>
        <w:right w:val="none" w:sz="0" w:space="0" w:color="auto"/>
      </w:divBdr>
    </w:div>
    <w:div w:id="809904158">
      <w:bodyDiv w:val="1"/>
      <w:marLeft w:val="0"/>
      <w:marRight w:val="0"/>
      <w:marTop w:val="0"/>
      <w:marBottom w:val="0"/>
      <w:divBdr>
        <w:top w:val="none" w:sz="0" w:space="0" w:color="auto"/>
        <w:left w:val="none" w:sz="0" w:space="0" w:color="auto"/>
        <w:bottom w:val="none" w:sz="0" w:space="0" w:color="auto"/>
        <w:right w:val="none" w:sz="0" w:space="0" w:color="auto"/>
      </w:divBdr>
    </w:div>
    <w:div w:id="872766997">
      <w:bodyDiv w:val="1"/>
      <w:marLeft w:val="0"/>
      <w:marRight w:val="0"/>
      <w:marTop w:val="0"/>
      <w:marBottom w:val="0"/>
      <w:divBdr>
        <w:top w:val="none" w:sz="0" w:space="0" w:color="auto"/>
        <w:left w:val="none" w:sz="0" w:space="0" w:color="auto"/>
        <w:bottom w:val="none" w:sz="0" w:space="0" w:color="auto"/>
        <w:right w:val="none" w:sz="0" w:space="0" w:color="auto"/>
      </w:divBdr>
    </w:div>
    <w:div w:id="899747811">
      <w:bodyDiv w:val="1"/>
      <w:marLeft w:val="0"/>
      <w:marRight w:val="0"/>
      <w:marTop w:val="0"/>
      <w:marBottom w:val="0"/>
      <w:divBdr>
        <w:top w:val="none" w:sz="0" w:space="0" w:color="auto"/>
        <w:left w:val="none" w:sz="0" w:space="0" w:color="auto"/>
        <w:bottom w:val="none" w:sz="0" w:space="0" w:color="auto"/>
        <w:right w:val="none" w:sz="0" w:space="0" w:color="auto"/>
      </w:divBdr>
      <w:divsChild>
        <w:div w:id="232199044">
          <w:marLeft w:val="0"/>
          <w:marRight w:val="0"/>
          <w:marTop w:val="0"/>
          <w:marBottom w:val="0"/>
          <w:divBdr>
            <w:top w:val="none" w:sz="0" w:space="0" w:color="auto"/>
            <w:left w:val="none" w:sz="0" w:space="0" w:color="auto"/>
            <w:bottom w:val="none" w:sz="0" w:space="0" w:color="auto"/>
            <w:right w:val="none" w:sz="0" w:space="0" w:color="auto"/>
          </w:divBdr>
          <w:divsChild>
            <w:div w:id="936400509">
              <w:marLeft w:val="0"/>
              <w:marRight w:val="0"/>
              <w:marTop w:val="0"/>
              <w:marBottom w:val="0"/>
              <w:divBdr>
                <w:top w:val="single" w:sz="2" w:space="0" w:color="D9D9E3"/>
                <w:left w:val="single" w:sz="2" w:space="0" w:color="D9D9E3"/>
                <w:bottom w:val="single" w:sz="2" w:space="0" w:color="D9D9E3"/>
                <w:right w:val="single" w:sz="2" w:space="0" w:color="D9D9E3"/>
              </w:divBdr>
              <w:divsChild>
                <w:div w:id="1731801673">
                  <w:marLeft w:val="0"/>
                  <w:marRight w:val="0"/>
                  <w:marTop w:val="0"/>
                  <w:marBottom w:val="0"/>
                  <w:divBdr>
                    <w:top w:val="single" w:sz="2" w:space="0" w:color="D9D9E3"/>
                    <w:left w:val="single" w:sz="2" w:space="0" w:color="D9D9E3"/>
                    <w:bottom w:val="single" w:sz="2" w:space="0" w:color="D9D9E3"/>
                    <w:right w:val="single" w:sz="2" w:space="0" w:color="D9D9E3"/>
                  </w:divBdr>
                  <w:divsChild>
                    <w:div w:id="11111224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60760538">
          <w:marLeft w:val="0"/>
          <w:marRight w:val="0"/>
          <w:marTop w:val="0"/>
          <w:marBottom w:val="0"/>
          <w:divBdr>
            <w:top w:val="single" w:sz="2" w:space="0" w:color="D9D9E3"/>
            <w:left w:val="single" w:sz="2" w:space="0" w:color="D9D9E3"/>
            <w:bottom w:val="single" w:sz="2" w:space="0" w:color="D9D9E3"/>
            <w:right w:val="single" w:sz="2" w:space="0" w:color="D9D9E3"/>
          </w:divBdr>
          <w:divsChild>
            <w:div w:id="1101485815">
              <w:marLeft w:val="0"/>
              <w:marRight w:val="0"/>
              <w:marTop w:val="0"/>
              <w:marBottom w:val="0"/>
              <w:divBdr>
                <w:top w:val="single" w:sz="2" w:space="0" w:color="D9D9E3"/>
                <w:left w:val="single" w:sz="2" w:space="0" w:color="D9D9E3"/>
                <w:bottom w:val="single" w:sz="2" w:space="0" w:color="D9D9E3"/>
                <w:right w:val="single" w:sz="2" w:space="0" w:color="D9D9E3"/>
              </w:divBdr>
              <w:divsChild>
                <w:div w:id="60713726">
                  <w:marLeft w:val="0"/>
                  <w:marRight w:val="0"/>
                  <w:marTop w:val="0"/>
                  <w:marBottom w:val="0"/>
                  <w:divBdr>
                    <w:top w:val="single" w:sz="2" w:space="0" w:color="D9D9E3"/>
                    <w:left w:val="single" w:sz="2" w:space="0" w:color="D9D9E3"/>
                    <w:bottom w:val="single" w:sz="2" w:space="0" w:color="D9D9E3"/>
                    <w:right w:val="single" w:sz="2" w:space="0" w:color="D9D9E3"/>
                  </w:divBdr>
                  <w:divsChild>
                    <w:div w:id="874998695">
                      <w:marLeft w:val="0"/>
                      <w:marRight w:val="0"/>
                      <w:marTop w:val="0"/>
                      <w:marBottom w:val="0"/>
                      <w:divBdr>
                        <w:top w:val="single" w:sz="2" w:space="0" w:color="D9D9E3"/>
                        <w:left w:val="single" w:sz="2" w:space="0" w:color="D9D9E3"/>
                        <w:bottom w:val="single" w:sz="2" w:space="0" w:color="D9D9E3"/>
                        <w:right w:val="single" w:sz="2" w:space="0" w:color="D9D9E3"/>
                      </w:divBdr>
                      <w:divsChild>
                        <w:div w:id="300769188">
                          <w:marLeft w:val="0"/>
                          <w:marRight w:val="0"/>
                          <w:marTop w:val="0"/>
                          <w:marBottom w:val="0"/>
                          <w:divBdr>
                            <w:top w:val="single" w:sz="2" w:space="0" w:color="auto"/>
                            <w:left w:val="single" w:sz="2" w:space="0" w:color="auto"/>
                            <w:bottom w:val="single" w:sz="6" w:space="0" w:color="auto"/>
                            <w:right w:val="single" w:sz="2" w:space="0" w:color="auto"/>
                          </w:divBdr>
                          <w:divsChild>
                            <w:div w:id="633025740">
                              <w:marLeft w:val="0"/>
                              <w:marRight w:val="0"/>
                              <w:marTop w:val="100"/>
                              <w:marBottom w:val="100"/>
                              <w:divBdr>
                                <w:top w:val="single" w:sz="2" w:space="0" w:color="D9D9E3"/>
                                <w:left w:val="single" w:sz="2" w:space="0" w:color="D9D9E3"/>
                                <w:bottom w:val="single" w:sz="2" w:space="0" w:color="D9D9E3"/>
                                <w:right w:val="single" w:sz="2" w:space="0" w:color="D9D9E3"/>
                              </w:divBdr>
                              <w:divsChild>
                                <w:div w:id="1686439137">
                                  <w:marLeft w:val="0"/>
                                  <w:marRight w:val="0"/>
                                  <w:marTop w:val="0"/>
                                  <w:marBottom w:val="0"/>
                                  <w:divBdr>
                                    <w:top w:val="single" w:sz="2" w:space="0" w:color="D9D9E3"/>
                                    <w:left w:val="single" w:sz="2" w:space="0" w:color="D9D9E3"/>
                                    <w:bottom w:val="single" w:sz="2" w:space="0" w:color="D9D9E3"/>
                                    <w:right w:val="single" w:sz="2" w:space="0" w:color="D9D9E3"/>
                                  </w:divBdr>
                                  <w:divsChild>
                                    <w:div w:id="1450473109">
                                      <w:marLeft w:val="0"/>
                                      <w:marRight w:val="0"/>
                                      <w:marTop w:val="0"/>
                                      <w:marBottom w:val="0"/>
                                      <w:divBdr>
                                        <w:top w:val="single" w:sz="2" w:space="0" w:color="D9D9E3"/>
                                        <w:left w:val="single" w:sz="2" w:space="0" w:color="D9D9E3"/>
                                        <w:bottom w:val="single" w:sz="2" w:space="0" w:color="D9D9E3"/>
                                        <w:right w:val="single" w:sz="2" w:space="0" w:color="D9D9E3"/>
                                      </w:divBdr>
                                      <w:divsChild>
                                        <w:div w:id="366687915">
                                          <w:marLeft w:val="0"/>
                                          <w:marRight w:val="0"/>
                                          <w:marTop w:val="0"/>
                                          <w:marBottom w:val="0"/>
                                          <w:divBdr>
                                            <w:top w:val="single" w:sz="2" w:space="0" w:color="D9D9E3"/>
                                            <w:left w:val="single" w:sz="2" w:space="0" w:color="D9D9E3"/>
                                            <w:bottom w:val="single" w:sz="2" w:space="0" w:color="D9D9E3"/>
                                            <w:right w:val="single" w:sz="2" w:space="0" w:color="D9D9E3"/>
                                          </w:divBdr>
                                          <w:divsChild>
                                            <w:div w:id="1739937745">
                                              <w:marLeft w:val="0"/>
                                              <w:marRight w:val="0"/>
                                              <w:marTop w:val="0"/>
                                              <w:marBottom w:val="0"/>
                                              <w:divBdr>
                                                <w:top w:val="single" w:sz="2" w:space="0" w:color="D9D9E3"/>
                                                <w:left w:val="single" w:sz="2" w:space="0" w:color="D9D9E3"/>
                                                <w:bottom w:val="single" w:sz="2" w:space="0" w:color="D9D9E3"/>
                                                <w:right w:val="single" w:sz="2" w:space="0" w:color="D9D9E3"/>
                                              </w:divBdr>
                                              <w:divsChild>
                                                <w:div w:id="1433282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940138182">
      <w:bodyDiv w:val="1"/>
      <w:marLeft w:val="0"/>
      <w:marRight w:val="0"/>
      <w:marTop w:val="0"/>
      <w:marBottom w:val="0"/>
      <w:divBdr>
        <w:top w:val="none" w:sz="0" w:space="0" w:color="auto"/>
        <w:left w:val="none" w:sz="0" w:space="0" w:color="auto"/>
        <w:bottom w:val="none" w:sz="0" w:space="0" w:color="auto"/>
        <w:right w:val="none" w:sz="0" w:space="0" w:color="auto"/>
      </w:divBdr>
    </w:div>
    <w:div w:id="1018851641">
      <w:bodyDiv w:val="1"/>
      <w:marLeft w:val="0"/>
      <w:marRight w:val="0"/>
      <w:marTop w:val="0"/>
      <w:marBottom w:val="0"/>
      <w:divBdr>
        <w:top w:val="none" w:sz="0" w:space="0" w:color="auto"/>
        <w:left w:val="none" w:sz="0" w:space="0" w:color="auto"/>
        <w:bottom w:val="none" w:sz="0" w:space="0" w:color="auto"/>
        <w:right w:val="none" w:sz="0" w:space="0" w:color="auto"/>
      </w:divBdr>
    </w:div>
    <w:div w:id="1067145331">
      <w:bodyDiv w:val="1"/>
      <w:marLeft w:val="0"/>
      <w:marRight w:val="0"/>
      <w:marTop w:val="0"/>
      <w:marBottom w:val="0"/>
      <w:divBdr>
        <w:top w:val="none" w:sz="0" w:space="0" w:color="auto"/>
        <w:left w:val="none" w:sz="0" w:space="0" w:color="auto"/>
        <w:bottom w:val="none" w:sz="0" w:space="0" w:color="auto"/>
        <w:right w:val="none" w:sz="0" w:space="0" w:color="auto"/>
      </w:divBdr>
    </w:div>
    <w:div w:id="1103263993">
      <w:bodyDiv w:val="1"/>
      <w:marLeft w:val="0"/>
      <w:marRight w:val="0"/>
      <w:marTop w:val="0"/>
      <w:marBottom w:val="0"/>
      <w:divBdr>
        <w:top w:val="none" w:sz="0" w:space="0" w:color="auto"/>
        <w:left w:val="none" w:sz="0" w:space="0" w:color="auto"/>
        <w:bottom w:val="none" w:sz="0" w:space="0" w:color="auto"/>
        <w:right w:val="none" w:sz="0" w:space="0" w:color="auto"/>
      </w:divBdr>
    </w:div>
    <w:div w:id="1159349534">
      <w:bodyDiv w:val="1"/>
      <w:marLeft w:val="0"/>
      <w:marRight w:val="0"/>
      <w:marTop w:val="0"/>
      <w:marBottom w:val="0"/>
      <w:divBdr>
        <w:top w:val="none" w:sz="0" w:space="0" w:color="auto"/>
        <w:left w:val="none" w:sz="0" w:space="0" w:color="auto"/>
        <w:bottom w:val="none" w:sz="0" w:space="0" w:color="auto"/>
        <w:right w:val="none" w:sz="0" w:space="0" w:color="auto"/>
      </w:divBdr>
    </w:div>
    <w:div w:id="1165509868">
      <w:bodyDiv w:val="1"/>
      <w:marLeft w:val="0"/>
      <w:marRight w:val="0"/>
      <w:marTop w:val="0"/>
      <w:marBottom w:val="0"/>
      <w:divBdr>
        <w:top w:val="none" w:sz="0" w:space="0" w:color="auto"/>
        <w:left w:val="none" w:sz="0" w:space="0" w:color="auto"/>
        <w:bottom w:val="none" w:sz="0" w:space="0" w:color="auto"/>
        <w:right w:val="none" w:sz="0" w:space="0" w:color="auto"/>
      </w:divBdr>
    </w:div>
    <w:div w:id="1260989981">
      <w:bodyDiv w:val="1"/>
      <w:marLeft w:val="0"/>
      <w:marRight w:val="0"/>
      <w:marTop w:val="0"/>
      <w:marBottom w:val="0"/>
      <w:divBdr>
        <w:top w:val="none" w:sz="0" w:space="0" w:color="auto"/>
        <w:left w:val="none" w:sz="0" w:space="0" w:color="auto"/>
        <w:bottom w:val="none" w:sz="0" w:space="0" w:color="auto"/>
        <w:right w:val="none" w:sz="0" w:space="0" w:color="auto"/>
      </w:divBdr>
      <w:divsChild>
        <w:div w:id="948121719">
          <w:marLeft w:val="0"/>
          <w:marRight w:val="0"/>
          <w:marTop w:val="0"/>
          <w:marBottom w:val="0"/>
          <w:divBdr>
            <w:top w:val="single" w:sz="2" w:space="0" w:color="auto"/>
            <w:left w:val="single" w:sz="2" w:space="0" w:color="auto"/>
            <w:bottom w:val="single" w:sz="6" w:space="0" w:color="auto"/>
            <w:right w:val="single" w:sz="2" w:space="0" w:color="auto"/>
          </w:divBdr>
          <w:divsChild>
            <w:div w:id="558170183">
              <w:marLeft w:val="0"/>
              <w:marRight w:val="0"/>
              <w:marTop w:val="100"/>
              <w:marBottom w:val="100"/>
              <w:divBdr>
                <w:top w:val="single" w:sz="2" w:space="0" w:color="D9D9E3"/>
                <w:left w:val="single" w:sz="2" w:space="0" w:color="D9D9E3"/>
                <w:bottom w:val="single" w:sz="2" w:space="0" w:color="D9D9E3"/>
                <w:right w:val="single" w:sz="2" w:space="0" w:color="D9D9E3"/>
              </w:divBdr>
              <w:divsChild>
                <w:div w:id="513541825">
                  <w:marLeft w:val="0"/>
                  <w:marRight w:val="0"/>
                  <w:marTop w:val="0"/>
                  <w:marBottom w:val="0"/>
                  <w:divBdr>
                    <w:top w:val="single" w:sz="2" w:space="0" w:color="D9D9E3"/>
                    <w:left w:val="single" w:sz="2" w:space="0" w:color="D9D9E3"/>
                    <w:bottom w:val="single" w:sz="2" w:space="0" w:color="D9D9E3"/>
                    <w:right w:val="single" w:sz="2" w:space="0" w:color="D9D9E3"/>
                  </w:divBdr>
                  <w:divsChild>
                    <w:div w:id="165676303">
                      <w:marLeft w:val="0"/>
                      <w:marRight w:val="0"/>
                      <w:marTop w:val="0"/>
                      <w:marBottom w:val="0"/>
                      <w:divBdr>
                        <w:top w:val="single" w:sz="2" w:space="0" w:color="D9D9E3"/>
                        <w:left w:val="single" w:sz="2" w:space="0" w:color="D9D9E3"/>
                        <w:bottom w:val="single" w:sz="2" w:space="0" w:color="D9D9E3"/>
                        <w:right w:val="single" w:sz="2" w:space="0" w:color="D9D9E3"/>
                      </w:divBdr>
                      <w:divsChild>
                        <w:div w:id="1959331967">
                          <w:marLeft w:val="0"/>
                          <w:marRight w:val="0"/>
                          <w:marTop w:val="0"/>
                          <w:marBottom w:val="0"/>
                          <w:divBdr>
                            <w:top w:val="single" w:sz="2" w:space="0" w:color="D9D9E3"/>
                            <w:left w:val="single" w:sz="2" w:space="0" w:color="D9D9E3"/>
                            <w:bottom w:val="single" w:sz="2" w:space="0" w:color="D9D9E3"/>
                            <w:right w:val="single" w:sz="2" w:space="0" w:color="D9D9E3"/>
                          </w:divBdr>
                          <w:divsChild>
                            <w:div w:id="11770433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63952845">
      <w:bodyDiv w:val="1"/>
      <w:marLeft w:val="0"/>
      <w:marRight w:val="0"/>
      <w:marTop w:val="0"/>
      <w:marBottom w:val="0"/>
      <w:divBdr>
        <w:top w:val="none" w:sz="0" w:space="0" w:color="auto"/>
        <w:left w:val="none" w:sz="0" w:space="0" w:color="auto"/>
        <w:bottom w:val="none" w:sz="0" w:space="0" w:color="auto"/>
        <w:right w:val="none" w:sz="0" w:space="0" w:color="auto"/>
      </w:divBdr>
    </w:div>
    <w:div w:id="1314213421">
      <w:bodyDiv w:val="1"/>
      <w:marLeft w:val="0"/>
      <w:marRight w:val="0"/>
      <w:marTop w:val="0"/>
      <w:marBottom w:val="0"/>
      <w:divBdr>
        <w:top w:val="none" w:sz="0" w:space="0" w:color="auto"/>
        <w:left w:val="none" w:sz="0" w:space="0" w:color="auto"/>
        <w:bottom w:val="none" w:sz="0" w:space="0" w:color="auto"/>
        <w:right w:val="none" w:sz="0" w:space="0" w:color="auto"/>
      </w:divBdr>
    </w:div>
    <w:div w:id="1409300546">
      <w:bodyDiv w:val="1"/>
      <w:marLeft w:val="0"/>
      <w:marRight w:val="0"/>
      <w:marTop w:val="0"/>
      <w:marBottom w:val="0"/>
      <w:divBdr>
        <w:top w:val="none" w:sz="0" w:space="0" w:color="auto"/>
        <w:left w:val="none" w:sz="0" w:space="0" w:color="auto"/>
        <w:bottom w:val="none" w:sz="0" w:space="0" w:color="auto"/>
        <w:right w:val="none" w:sz="0" w:space="0" w:color="auto"/>
      </w:divBdr>
    </w:div>
    <w:div w:id="1454135230">
      <w:bodyDiv w:val="1"/>
      <w:marLeft w:val="0"/>
      <w:marRight w:val="0"/>
      <w:marTop w:val="0"/>
      <w:marBottom w:val="0"/>
      <w:divBdr>
        <w:top w:val="none" w:sz="0" w:space="0" w:color="auto"/>
        <w:left w:val="none" w:sz="0" w:space="0" w:color="auto"/>
        <w:bottom w:val="none" w:sz="0" w:space="0" w:color="auto"/>
        <w:right w:val="none" w:sz="0" w:space="0" w:color="auto"/>
      </w:divBdr>
    </w:div>
    <w:div w:id="1458332788">
      <w:bodyDiv w:val="1"/>
      <w:marLeft w:val="0"/>
      <w:marRight w:val="0"/>
      <w:marTop w:val="0"/>
      <w:marBottom w:val="0"/>
      <w:divBdr>
        <w:top w:val="none" w:sz="0" w:space="0" w:color="auto"/>
        <w:left w:val="none" w:sz="0" w:space="0" w:color="auto"/>
        <w:bottom w:val="none" w:sz="0" w:space="0" w:color="auto"/>
        <w:right w:val="none" w:sz="0" w:space="0" w:color="auto"/>
      </w:divBdr>
    </w:div>
    <w:div w:id="1486167224">
      <w:bodyDiv w:val="1"/>
      <w:marLeft w:val="0"/>
      <w:marRight w:val="0"/>
      <w:marTop w:val="0"/>
      <w:marBottom w:val="0"/>
      <w:divBdr>
        <w:top w:val="none" w:sz="0" w:space="0" w:color="auto"/>
        <w:left w:val="none" w:sz="0" w:space="0" w:color="auto"/>
        <w:bottom w:val="none" w:sz="0" w:space="0" w:color="auto"/>
        <w:right w:val="none" w:sz="0" w:space="0" w:color="auto"/>
      </w:divBdr>
    </w:div>
    <w:div w:id="1544058733">
      <w:bodyDiv w:val="1"/>
      <w:marLeft w:val="0"/>
      <w:marRight w:val="0"/>
      <w:marTop w:val="0"/>
      <w:marBottom w:val="0"/>
      <w:divBdr>
        <w:top w:val="none" w:sz="0" w:space="0" w:color="auto"/>
        <w:left w:val="none" w:sz="0" w:space="0" w:color="auto"/>
        <w:bottom w:val="none" w:sz="0" w:space="0" w:color="auto"/>
        <w:right w:val="none" w:sz="0" w:space="0" w:color="auto"/>
      </w:divBdr>
    </w:div>
    <w:div w:id="1641494725">
      <w:bodyDiv w:val="1"/>
      <w:marLeft w:val="0"/>
      <w:marRight w:val="0"/>
      <w:marTop w:val="0"/>
      <w:marBottom w:val="0"/>
      <w:divBdr>
        <w:top w:val="none" w:sz="0" w:space="0" w:color="auto"/>
        <w:left w:val="none" w:sz="0" w:space="0" w:color="auto"/>
        <w:bottom w:val="none" w:sz="0" w:space="0" w:color="auto"/>
        <w:right w:val="none" w:sz="0" w:space="0" w:color="auto"/>
      </w:divBdr>
    </w:div>
    <w:div w:id="1645506751">
      <w:bodyDiv w:val="1"/>
      <w:marLeft w:val="0"/>
      <w:marRight w:val="0"/>
      <w:marTop w:val="0"/>
      <w:marBottom w:val="0"/>
      <w:divBdr>
        <w:top w:val="none" w:sz="0" w:space="0" w:color="auto"/>
        <w:left w:val="none" w:sz="0" w:space="0" w:color="auto"/>
        <w:bottom w:val="none" w:sz="0" w:space="0" w:color="auto"/>
        <w:right w:val="none" w:sz="0" w:space="0" w:color="auto"/>
      </w:divBdr>
    </w:div>
    <w:div w:id="1725716813">
      <w:bodyDiv w:val="1"/>
      <w:marLeft w:val="0"/>
      <w:marRight w:val="0"/>
      <w:marTop w:val="0"/>
      <w:marBottom w:val="0"/>
      <w:divBdr>
        <w:top w:val="none" w:sz="0" w:space="0" w:color="auto"/>
        <w:left w:val="none" w:sz="0" w:space="0" w:color="auto"/>
        <w:bottom w:val="none" w:sz="0" w:space="0" w:color="auto"/>
        <w:right w:val="none" w:sz="0" w:space="0" w:color="auto"/>
      </w:divBdr>
    </w:div>
    <w:div w:id="1741365286">
      <w:bodyDiv w:val="1"/>
      <w:marLeft w:val="0"/>
      <w:marRight w:val="0"/>
      <w:marTop w:val="0"/>
      <w:marBottom w:val="0"/>
      <w:divBdr>
        <w:top w:val="none" w:sz="0" w:space="0" w:color="auto"/>
        <w:left w:val="none" w:sz="0" w:space="0" w:color="auto"/>
        <w:bottom w:val="none" w:sz="0" w:space="0" w:color="auto"/>
        <w:right w:val="none" w:sz="0" w:space="0" w:color="auto"/>
      </w:divBdr>
      <w:divsChild>
        <w:div w:id="660812503">
          <w:marLeft w:val="0"/>
          <w:marRight w:val="0"/>
          <w:marTop w:val="0"/>
          <w:marBottom w:val="0"/>
          <w:divBdr>
            <w:top w:val="single" w:sz="2" w:space="0" w:color="auto"/>
            <w:left w:val="single" w:sz="2" w:space="0" w:color="auto"/>
            <w:bottom w:val="single" w:sz="6" w:space="0" w:color="auto"/>
            <w:right w:val="single" w:sz="2" w:space="0" w:color="auto"/>
          </w:divBdr>
          <w:divsChild>
            <w:div w:id="1069889137">
              <w:marLeft w:val="0"/>
              <w:marRight w:val="0"/>
              <w:marTop w:val="100"/>
              <w:marBottom w:val="100"/>
              <w:divBdr>
                <w:top w:val="single" w:sz="2" w:space="0" w:color="D9D9E3"/>
                <w:left w:val="single" w:sz="2" w:space="0" w:color="D9D9E3"/>
                <w:bottom w:val="single" w:sz="2" w:space="0" w:color="D9D9E3"/>
                <w:right w:val="single" w:sz="2" w:space="0" w:color="D9D9E3"/>
              </w:divBdr>
              <w:divsChild>
                <w:div w:id="1964577094">
                  <w:marLeft w:val="0"/>
                  <w:marRight w:val="0"/>
                  <w:marTop w:val="0"/>
                  <w:marBottom w:val="0"/>
                  <w:divBdr>
                    <w:top w:val="single" w:sz="2" w:space="0" w:color="D9D9E3"/>
                    <w:left w:val="single" w:sz="2" w:space="0" w:color="D9D9E3"/>
                    <w:bottom w:val="single" w:sz="2" w:space="0" w:color="D9D9E3"/>
                    <w:right w:val="single" w:sz="2" w:space="0" w:color="D9D9E3"/>
                  </w:divBdr>
                  <w:divsChild>
                    <w:div w:id="495614424">
                      <w:marLeft w:val="0"/>
                      <w:marRight w:val="0"/>
                      <w:marTop w:val="0"/>
                      <w:marBottom w:val="0"/>
                      <w:divBdr>
                        <w:top w:val="single" w:sz="2" w:space="0" w:color="D9D9E3"/>
                        <w:left w:val="single" w:sz="2" w:space="0" w:color="D9D9E3"/>
                        <w:bottom w:val="single" w:sz="2" w:space="0" w:color="D9D9E3"/>
                        <w:right w:val="single" w:sz="2" w:space="0" w:color="D9D9E3"/>
                      </w:divBdr>
                      <w:divsChild>
                        <w:div w:id="316810560">
                          <w:marLeft w:val="0"/>
                          <w:marRight w:val="0"/>
                          <w:marTop w:val="0"/>
                          <w:marBottom w:val="0"/>
                          <w:divBdr>
                            <w:top w:val="single" w:sz="2" w:space="0" w:color="D9D9E3"/>
                            <w:left w:val="single" w:sz="2" w:space="0" w:color="D9D9E3"/>
                            <w:bottom w:val="single" w:sz="2" w:space="0" w:color="D9D9E3"/>
                            <w:right w:val="single" w:sz="2" w:space="0" w:color="D9D9E3"/>
                          </w:divBdr>
                          <w:divsChild>
                            <w:div w:id="297718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58361535">
      <w:bodyDiv w:val="1"/>
      <w:marLeft w:val="0"/>
      <w:marRight w:val="0"/>
      <w:marTop w:val="0"/>
      <w:marBottom w:val="0"/>
      <w:divBdr>
        <w:top w:val="none" w:sz="0" w:space="0" w:color="auto"/>
        <w:left w:val="none" w:sz="0" w:space="0" w:color="auto"/>
        <w:bottom w:val="none" w:sz="0" w:space="0" w:color="auto"/>
        <w:right w:val="none" w:sz="0" w:space="0" w:color="auto"/>
      </w:divBdr>
    </w:div>
    <w:div w:id="1890922364">
      <w:bodyDiv w:val="1"/>
      <w:marLeft w:val="0"/>
      <w:marRight w:val="0"/>
      <w:marTop w:val="0"/>
      <w:marBottom w:val="0"/>
      <w:divBdr>
        <w:top w:val="none" w:sz="0" w:space="0" w:color="auto"/>
        <w:left w:val="none" w:sz="0" w:space="0" w:color="auto"/>
        <w:bottom w:val="none" w:sz="0" w:space="0" w:color="auto"/>
        <w:right w:val="none" w:sz="0" w:space="0" w:color="auto"/>
      </w:divBdr>
      <w:divsChild>
        <w:div w:id="221866174">
          <w:marLeft w:val="0"/>
          <w:marRight w:val="0"/>
          <w:marTop w:val="0"/>
          <w:marBottom w:val="0"/>
          <w:divBdr>
            <w:top w:val="single" w:sz="2" w:space="0" w:color="auto"/>
            <w:left w:val="single" w:sz="2" w:space="0" w:color="auto"/>
            <w:bottom w:val="single" w:sz="6" w:space="0" w:color="auto"/>
            <w:right w:val="single" w:sz="2" w:space="0" w:color="auto"/>
          </w:divBdr>
          <w:divsChild>
            <w:div w:id="1047728139">
              <w:marLeft w:val="0"/>
              <w:marRight w:val="0"/>
              <w:marTop w:val="100"/>
              <w:marBottom w:val="100"/>
              <w:divBdr>
                <w:top w:val="single" w:sz="2" w:space="0" w:color="D9D9E3"/>
                <w:left w:val="single" w:sz="2" w:space="0" w:color="D9D9E3"/>
                <w:bottom w:val="single" w:sz="2" w:space="0" w:color="D9D9E3"/>
                <w:right w:val="single" w:sz="2" w:space="0" w:color="D9D9E3"/>
              </w:divBdr>
              <w:divsChild>
                <w:div w:id="479883894">
                  <w:marLeft w:val="0"/>
                  <w:marRight w:val="0"/>
                  <w:marTop w:val="0"/>
                  <w:marBottom w:val="0"/>
                  <w:divBdr>
                    <w:top w:val="single" w:sz="2" w:space="0" w:color="D9D9E3"/>
                    <w:left w:val="single" w:sz="2" w:space="0" w:color="D9D9E3"/>
                    <w:bottom w:val="single" w:sz="2" w:space="0" w:color="D9D9E3"/>
                    <w:right w:val="single" w:sz="2" w:space="0" w:color="D9D9E3"/>
                  </w:divBdr>
                  <w:divsChild>
                    <w:div w:id="1544632458">
                      <w:marLeft w:val="0"/>
                      <w:marRight w:val="0"/>
                      <w:marTop w:val="0"/>
                      <w:marBottom w:val="0"/>
                      <w:divBdr>
                        <w:top w:val="single" w:sz="2" w:space="0" w:color="D9D9E3"/>
                        <w:left w:val="single" w:sz="2" w:space="0" w:color="D9D9E3"/>
                        <w:bottom w:val="single" w:sz="2" w:space="0" w:color="D9D9E3"/>
                        <w:right w:val="single" w:sz="2" w:space="0" w:color="D9D9E3"/>
                      </w:divBdr>
                      <w:divsChild>
                        <w:div w:id="444154240">
                          <w:marLeft w:val="0"/>
                          <w:marRight w:val="0"/>
                          <w:marTop w:val="0"/>
                          <w:marBottom w:val="0"/>
                          <w:divBdr>
                            <w:top w:val="single" w:sz="2" w:space="0" w:color="D9D9E3"/>
                            <w:left w:val="single" w:sz="2" w:space="0" w:color="D9D9E3"/>
                            <w:bottom w:val="single" w:sz="2" w:space="0" w:color="D9D9E3"/>
                            <w:right w:val="single" w:sz="2" w:space="0" w:color="D9D9E3"/>
                          </w:divBdr>
                          <w:divsChild>
                            <w:div w:id="15110228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56738938">
      <w:bodyDiv w:val="1"/>
      <w:marLeft w:val="0"/>
      <w:marRight w:val="0"/>
      <w:marTop w:val="0"/>
      <w:marBottom w:val="0"/>
      <w:divBdr>
        <w:top w:val="none" w:sz="0" w:space="0" w:color="auto"/>
        <w:left w:val="none" w:sz="0" w:space="0" w:color="auto"/>
        <w:bottom w:val="none" w:sz="0" w:space="0" w:color="auto"/>
        <w:right w:val="none" w:sz="0" w:space="0" w:color="auto"/>
      </w:divBdr>
    </w:div>
    <w:div w:id="2115322900">
      <w:bodyDiv w:val="1"/>
      <w:marLeft w:val="0"/>
      <w:marRight w:val="0"/>
      <w:marTop w:val="0"/>
      <w:marBottom w:val="0"/>
      <w:divBdr>
        <w:top w:val="none" w:sz="0" w:space="0" w:color="auto"/>
        <w:left w:val="none" w:sz="0" w:space="0" w:color="auto"/>
        <w:bottom w:val="none" w:sz="0" w:space="0" w:color="auto"/>
        <w:right w:val="none" w:sz="0" w:space="0" w:color="auto"/>
      </w:divBdr>
    </w:div>
    <w:div w:id="21309276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15D2C6B4-FBEA-0B40-80AC-1480EE6B2D2E}">
  <we:reference id="wa200001011" version="1.2.0.0" store="en-US" storeType="OMEX"/>
  <we:alternateReferences>
    <we:reference id="wa200001011" version="1.2.0.0" store="WA200001011"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8B1759C5-5AC4-4346-AACF-CB3CC53C4F17}">
  <we:reference id="wa104382081" version="1.55.1.0" store="en-US" storeType="OMEX"/>
  <we:alternateReferences>
    <we:reference id="wa104382081" version="1.55.1.0" store="" storeType="OMEX"/>
  </we:alternateReferences>
  <we:properties>
    <we:property name="MENDELEY_CITATIONS" value="[{&quot;citationID&quot;:&quot;MENDELEY_CITATION_1203512d-c746-488d-8e72-1272e76bdecb&quot;,&quot;properties&quot;:{&quot;noteIndex&quot;:0},&quot;isEdited&quot;:false,&quot;manualOverride&quot;:{&quot;isManuallyOverridden&quot;:false,&quot;citeprocText&quot;:&quot;&lt;sup&gt;1&lt;/sup&gt;&quot;,&quot;manualOverrideText&quot;:&quot;&quot;},&quot;citationItems&quot;:[{&quot;id&quot;:&quot;7642fa66-19d6-3715-b772-63bc45f93f74&quot;,&quot;itemData&quot;:{&quot;type&quot;:&quot;article-journal&quot;,&quot;id&quot;:&quot;7642fa66-19d6-3715-b772-63bc45f93f74&quot;,&quot;title&quot;:&quot;Breast cancer statistics, 2013&quot;,&quot;author&quot;:[{&quot;family&quot;:&quot;DeSantis&quot;,&quot;given&quot;:&quot;Carol&quot;,&quot;parse-names&quot;:false,&quot;dropping-particle&quot;:&quot;&quot;,&quot;non-dropping-particle&quot;:&quot;&quot;},{&quot;family&quot;:&quot;Ma&quot;,&quot;given&quot;:&quot;Jiemin&quot;,&quot;parse-names&quot;:false,&quot;dropping-particle&quot;:&quot;&quot;,&quot;non-dropping-particle&quot;:&quot;&quot;},{&quot;family&quot;:&quot;Bryan&quot;,&quot;given&quot;:&quot;Leah&quot;,&quot;parse-names&quot;:false,&quot;dropping-particle&quot;:&quot;&quot;,&quot;non-dropping-particle&quot;:&quot;&quot;},{&quot;family&quot;:&quot;Jemal&quot;,&quot;given&quot;:&quot;Ahmedin&quot;,&quot;parse-names&quot;:false,&quot;dropping-particle&quot;:&quot;&quot;,&quot;non-dropping-particle&quot;:&quot;&quot;}],&quot;container-title&quot;:&quot;CA: A Cancer Journal for Clinicians&quot;,&quot;container-title-short&quot;:&quot;CA Cancer J Clin&quot;,&quot;DOI&quot;:&quot;10.3322/caac.21203&quot;,&quot;ISSN&quot;:&quot;00079235&quot;,&quot;PMID&quot;:&quot;24114568&quot;,&quot;issued&quot;:{&quot;date-parts&quot;:[[2014]]},&quot;page&quot;:&quot;52-62&quot;,&quot;abstract&quot;:&quot;In this article, the American Cancer Society provides an overview of female breast cancer statistics in the United States, including data on incidence, mortality, survival, and screening. Approximately 232,340 new cases of invasive breast cancer and 39,620 breast cancer deaths are expected to occur among US women in 2013. One in 8 women in the United States will develop breast cancer in her lifetime. Breast cancer incidence rates increased slightly among African American women; decreased among Hispanic women; and were stable among whites, Asian Americans/Pacific Islanders, and American Indians/Alaska Natives from 2006 to 2010. Historically, white women have had the highest breast cancer incidence rates among women aged 40 years and older; however, incidence rates are converging among white and African American women, particularly among women aged 50 years to 59 years. Incidence rates increased for estrogen receptor-positive breast cancers in the youngest white women, Hispanic women aged 60 years to 69 years, and all but the oldest African American women. In contrast, estrogen receptor-negative breast cancers declined among most age and racial/ethnic groups. These divergent trends may reflect etiologic heterogeneity and the differing effects of some factors, such as obesity and parity, on risk by tumor subtype. Since 1990, breast cancer death rates have dropped by 34% and this decrease was evident in all racial/ethnic groups except American Indians/Alaska Natives. Nevertheless, survival disparities persist by race/ethnicity, with African American women having the poorest breast cancer survival of any racial/ethnic group. Continued progress in the control of breast cancer will require sustained and increased efforts to provide high-quality screening, diagnosis, and treatment to all segments of the population.&quot;,&quot;issue&quot;:&quot;1&quot;,&quot;volume&quot;:&quot;64&quot;},&quot;isTemporary&quot;:false}],&quot;citationTag&quot;:&quot;MENDELEY_CITATION_v3_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&quot;},{&quot;citationID&quot;:&quot;MENDELEY_CITATION_aded02b1-d14c-4060-976e-6ebf612fae6e&quot;,&quot;properties&quot;:{&quot;noteIndex&quot;:0},&quot;isEdited&quot;:false,&quot;manualOverride&quot;:{&quot;isManuallyOverridden&quot;:false,&quot;citeprocText&quot;:&quot;&lt;sup&gt;2&lt;/sup&gt;&quot;,&quot;manualOverrideText&quot;:&quot;&quot;},&quot;citationItems&quot;:[{&quot;id&quot;:&quot;41801fe9-9001-308c-a45b-1b1dc1d9df05&quot;,&quot;itemData&quot;:{&quot;type&quot;:&quot;article-journal&quot;,&quot;id&quot;:&quot;41801fe9-9001-308c-a45b-1b1dc1d9df05&quot;,&quot;title&quot;:&quot;Ten-year survival in women with primary stage IV breast cancer.&quot;,&quot;author&quot;:[{&quot;family&quot;:&quot;Eng&quot;,&quot;given&quot;:&quot;Lee Guek&quot;,&quot;parse-names&quot;:false,&quot;dropping-particle&quot;:&quot;&quot;,&quot;non-dropping-particle&quot;:&quot;&quot;},{&quot;family&quot;:&quot;Dawood&quot;,&quot;given&quot;:&quot;Shaheenah&quot;,&quot;parse-names&quot;:false,&quot;dropping-particle&quot;:&quot;&quot;,&quot;non-dropping-particle&quot;:&quot;&quot;},{&quot;family&quot;:&quot;Sopik&quot;,&quot;given&quot;:&quot;Victoria&quot;,&quot;parse-names&quot;:false,&quot;dropping-particle&quot;:&quot;&quot;,&quot;non-dropping-particle&quot;:&quot;&quot;},{&quot;family&quot;:&quot;Haaland&quot;,&quot;given&quot;:&quot;Benjamin&quot;,&quot;parse-names&quot;:false,&quot;dropping-particle&quot;:&quot;&quot;,&quot;non-dropping-particle&quot;:&quot;&quot;},{&quot;family&quot;:&quot;Tan&quot;,&quot;given&quot;:&quot;Pui San&quot;,&quot;parse-names&quot;:false,&quot;dropping-particle&quot;:&quot;&quot;,&quot;non-dropping-particle&quot;:&quot;&quot;},{&quot;family&quot;:&quot;Bhoo-Pathy&quot;,&quot;given&quot;:&quot;Nirmala&quot;,&quot;parse-names&quot;:false,&quot;dropping-particle&quot;:&quot;&quot;,&quot;non-dropping-particle&quot;:&quot;&quot;},{&quot;family&quot;:&quot;Warner&quot;,&quot;given&quot;:&quot;Ellen&quot;,&quot;parse-names&quot;:false,&quot;dropping-particle&quot;:&quot;&quot;,&quot;non-dropping-particle&quot;:&quot;&quot;},{&quot;family&quot;:&quot;Iqbal&quot;,&quot;given&quot;:&quot;Javaid&quot;,&quot;parse-names&quot;:false,&quot;dropping-particle&quot;:&quot;&quot;,&quot;non-dropping-particle&quot;:&quot;&quot;},{&quot;family&quot;:&quot;Narod&quot;,&quot;given&quot;:&quot;Steven A&quot;,&quot;parse-names&quot;:false,&quot;dropping-particle&quot;:&quot;&quot;,&quot;non-dropping-particle&quot;:&quot;&quot;},{&quot;family&quot;:&quot;Dent&quot;,&quot;given&quot;:&quot;Rebecca&quot;,&quot;parse-names&quot;:false,&quot;dropping-particle&quot;:&quot;&quot;,&quot;non-dropping-particle&quot;:&quot;&quot;}],&quot;container-title&quot;:&quot;Breast cancer research and treatment&quot;,&quot;container-title-short&quot;:&quot;Breast Cancer Res Treat&quot;,&quot;DOI&quot;:&quot;10.1007/s10549-016-3974-x&quot;,&quot;ISSN&quot;:&quot;1573-7217 (Electronic)&quot;,&quot;PMID&quot;:&quot;27628191&quot;,&quot;issued&quot;:{&quot;date-parts&quot;:[[2016,11]]},&quot;page&quot;:&quot;145-152&quot;,&quot;language&quot;:&quot;eng&quot;,&quot;abstract&quot;:&quot;PURPOSE: To evaluate breast cancer-specific survival at 10 years in patients who  present with primary stage IV breast cancer, and to determine whether survival varies with age of diagnosis. METHODS: We retrieved the records of 25,323 women diagnosed with primary stage IV breast cancer in the surveillance, epidemiology, and end results 18 registries database from 1990 to 2012. For each case, we extracted information on age at diagnosis, tumour size, nodal status, oestrogen receptor status, progesterone receptor status, ethnicity, cause of death and date of death. The Cox proportional hazards model was used to estimate the unadjusted and adjusted hazard ratio (HR) of death due to stage IV breast cancer, according to age group. RESULTS: Among 25,323 women with stage IV breast cancer, 2542 (10.0 %) were diagnosed at age 40 or below, 5562 (22.0 %) were diagnosed between ages 41 and 50 and 17,219 (68.0 %) were diagnosed between ages 51 and 70. After a mean follow-up of 2.2 years, 16,387 (64.7 %) women died of breast cancer (median survival 2.3 years). The ten-year actuarial breast cancer-specific survival rate was 15.7 % for women ages 40 and below, 14.9 % for women ages 41-50 and 11.7 % for women ages 51 to 70 (p &lt; 0.0001). In an adjusted analysis, the risk of death from breast cancer at 10 years was significantly lower for women ages 40 and below (HR 0.78; 95 % CI 0.74-0.82; p &lt; 0.0001) and for women ages 41-50 (HR 0.82; 95 % CI 0.79-0.85; p &lt; 0.0001), compared to women ages 51-70. CONCLUSIONS: Approximately 13 % of women with primary stage IV breast cancer survive 10 years after diagnosis. Women diagnosed with stage IV breast cancer before age 50 have better survival at 10 years compared to older women.&quot;,&quot;issue&quot;:&quot;1&quot;,&quot;volume&quot;:&quot;160&quot;},&quot;isTemporary&quot;:false}],&quot;citationTag&quot;:&quot;MENDELEY_CITATION_v3_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&quot;},{&quot;citationID&quot;:&quot;MENDELEY_CITATION_6eeba35e-e493-4430-a8ed-bedc6b3405c4&quot;,&quot;properties&quot;:{&quot;noteIndex&quot;:0},&quot;isEdited&quot;:false,&quot;manualOverride&quot;:{&quot;isManuallyOverridden&quot;:false,&quot;citeprocText&quot;:&quot;&lt;sup&gt;2&lt;/sup&gt;&quot;,&quot;manualOverrideText&quot;:&quot;&quot;},&quot;citationItems&quot;:[{&quot;id&quot;:&quot;41801fe9-9001-308c-a45b-1b1dc1d9df05&quot;,&quot;itemData&quot;:{&quot;type&quot;:&quot;article-journal&quot;,&quot;id&quot;:&quot;41801fe9-9001-308c-a45b-1b1dc1d9df05&quot;,&quot;title&quot;:&quot;Ten-year survival in women with primary stage IV breast cancer.&quot;,&quot;author&quot;:[{&quot;family&quot;:&quot;Eng&quot;,&quot;given&quot;:&quot;Lee Guek&quot;,&quot;parse-names&quot;:false,&quot;dropping-particle&quot;:&quot;&quot;,&quot;non-dropping-particle&quot;:&quot;&quot;},{&quot;family&quot;:&quot;Dawood&quot;,&quot;given&quot;:&quot;Shaheenah&quot;,&quot;parse-names&quot;:false,&quot;dropping-particle&quot;:&quot;&quot;,&quot;non-dropping-particle&quot;:&quot;&quot;},{&quot;family&quot;:&quot;Sopik&quot;,&quot;given&quot;:&quot;Victoria&quot;,&quot;parse-names&quot;:false,&quot;dropping-particle&quot;:&quot;&quot;,&quot;non-dropping-particle&quot;:&quot;&quot;},{&quot;family&quot;:&quot;Haaland&quot;,&quot;given&quot;:&quot;Benjamin&quot;,&quot;parse-names&quot;:false,&quot;dropping-particle&quot;:&quot;&quot;,&quot;non-dropping-particle&quot;:&quot;&quot;},{&quot;family&quot;:&quot;Tan&quot;,&quot;given&quot;:&quot;Pui San&quot;,&quot;parse-names&quot;:false,&quot;dropping-particle&quot;:&quot;&quot;,&quot;non-dropping-particle&quot;:&quot;&quot;},{&quot;family&quot;:&quot;Bhoo-Pathy&quot;,&quot;given&quot;:&quot;Nirmala&quot;,&quot;parse-names&quot;:false,&quot;dropping-particle&quot;:&quot;&quot;,&quot;non-dropping-particle&quot;:&quot;&quot;},{&quot;family&quot;:&quot;Warner&quot;,&quot;given&quot;:&quot;Ellen&quot;,&quot;parse-names&quot;:false,&quot;dropping-particle&quot;:&quot;&quot;,&quot;non-dropping-particle&quot;:&quot;&quot;},{&quot;family&quot;:&quot;Iqbal&quot;,&quot;given&quot;:&quot;Javaid&quot;,&quot;parse-names&quot;:false,&quot;dropping-particle&quot;:&quot;&quot;,&quot;non-dropping-particle&quot;:&quot;&quot;},{&quot;family&quot;:&quot;Narod&quot;,&quot;given&quot;:&quot;Steven A&quot;,&quot;parse-names&quot;:false,&quot;dropping-particle&quot;:&quot;&quot;,&quot;non-dropping-particle&quot;:&quot;&quot;},{&quot;family&quot;:&quot;Dent&quot;,&quot;given&quot;:&quot;Rebecca&quot;,&quot;parse-names&quot;:false,&quot;dropping-particle&quot;:&quot;&quot;,&quot;non-dropping-particle&quot;:&quot;&quot;}],&quot;container-title&quot;:&quot;Breast cancer research and treatment&quot;,&quot;container-title-short&quot;:&quot;Breast Cancer Res Treat&quot;,&quot;DOI&quot;:&quot;10.1007/s10549-016-3974-x&quot;,&quot;ISSN&quot;:&quot;1573-7217 (Electronic)&quot;,&quot;PMID&quot;:&quot;27628191&quot;,&quot;issued&quot;:{&quot;date-parts&quot;:[[2016,11]]},&quot;page&quot;:&quot;145-152&quot;,&quot;language&quot;:&quot;eng&quot;,&quot;abstract&quot;:&quot;PURPOSE: To evaluate breast cancer-specific survival at 10 years in patients who  present with primary stage IV breast cancer, and to determine whether survival varies with age of diagnosis. METHODS: We retrieved the records of 25,323 women diagnosed with primary stage IV breast cancer in the surveillance, epidemiology, and end results 18 registries database from 1990 to 2012. For each case, we extracted information on age at diagnosis, tumour size, nodal status, oestrogen receptor status, progesterone receptor status, ethnicity, cause of death and date of death. The Cox proportional hazards model was used to estimate the unadjusted and adjusted hazard ratio (HR) of death due to stage IV breast cancer, according to age group. RESULTS: Among 25,323 women with stage IV breast cancer, 2542 (10.0 %) were diagnosed at age 40 or below, 5562 (22.0 %) were diagnosed between ages 41 and 50 and 17,219 (68.0 %) were diagnosed between ages 51 and 70. After a mean follow-up of 2.2 years, 16,387 (64.7 %) women died of breast cancer (median survival 2.3 years). The ten-year actuarial breast cancer-specific survival rate was 15.7 % for women ages 40 and below, 14.9 % for women ages 41-50 and 11.7 % for women ages 51 to 70 (p &lt; 0.0001). In an adjusted analysis, the risk of death from breast cancer at 10 years was significantly lower for women ages 40 and below (HR 0.78; 95 % CI 0.74-0.82; p &lt; 0.0001) and for women ages 41-50 (HR 0.82; 95 % CI 0.79-0.85; p &lt; 0.0001), compared to women ages 51-70. CONCLUSIONS: Approximately 13 % of women with primary stage IV breast cancer survive 10 years after diagnosis. Women diagnosed with stage IV breast cancer before age 50 have better survival at 10 years compared to older women.&quot;,&quot;issue&quot;:&quot;1&quot;,&quot;volume&quot;:&quot;160&quot;},&quot;isTemporary&quot;:false}],&quot;citationTag&quot;:&quot;MENDELEY_CITATION_v3_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&quot;},{&quot;citationID&quot;:&quot;MENDELEY_CITATION_eeef86a1-6fa0-4d36-836f-71307ee81795&quot;,&quot;properties&quot;:{&quot;noteIndex&quot;:0},&quot;isEdited&quot;:false,&quot;manualOverride&quot;:{&quot;isManuallyOverridden&quot;:false,&quot;citeprocText&quot;:&quot;&lt;sup&gt;3,4&lt;/sup&gt;&quot;,&quot;manualOverrideText&quot;:&quot;&quot;},&quot;citationItems&quot;:[{&quot;id&quot;:&quot;006cae39-e3c9-3400-b4b7-d70938815565&quot;,&quot;itemData&quot;:{&quot;type&quot;:&quot;article-journal&quot;,&quot;id&quot;:&quot;006cae39-e3c9-3400-b4b7-d70938815565&quot;,&quot;title&quot;:&quot;FDA analysis of enrollment of older adults in clinical trials for cancer drug registration: A 10-year experience by the U.S. Food and Drug Administration.&quot;,&quot;author&quot;:[{&quot;family&quot;:&quot;Singh&quot;,&quot;given&quot;:&quot;Harpreet&quot;,&quot;parse-names&quot;:false,&quot;dropping-particle&quot;:&quot;&quot;,&quot;non-dropping-particle&quot;:&quot;&quot;},{&quot;family&quot;:&quot;Kanapuru&quot;,&quot;given&quot;:&quot;Bindu&quot;,&quot;parse-names&quot;:false,&quot;dropping-particle&quot;:&quot;&quot;,&quot;non-dropping-particle&quot;:&quot;&quot;},{&quot;family&quot;:&quot;Smith&quot;,&quot;given&quot;:&quot;Che&quot;,&quot;parse-names&quot;:false,&quot;dropping-particle&quot;:&quot;&quot;,&quot;non-dropping-particle&quot;:&quot;&quot;},{&quot;family&quot;:&quot;Fashoyin-Aje&quot;,&quot;given&quot;:&quot;Lola A.&quot;,&quot;parse-names&quot;:false,&quot;dropping-particle&quot;:&quot;&quot;,&quot;non-dropping-particle&quot;:&quot;&quot;},{&quot;family&quot;:&quot;Myers&quot;,&quot;given&quot;:&quot;Adrian&quot;,&quot;parse-names&quot;:false,&quot;dropping-particle&quot;:&quot;&quot;,&quot;non-dropping-particle&quot;:&quot;&quot;},{&quot;family&quot;:&quot;Kim&quot;,&quot;given&quot;:&quot;Geoffrey&quot;,&quot;parse-names&quot;:false,&quot;dropping-particle&quot;:&quot;&quot;,&quot;non-dropping-particle&quot;:&quot;&quot;},{&quot;family&quot;:&quot;Pazdur&quot;,&quot;given&quot;:&quot;Richard&quot;,&quot;parse-names&quot;:false,&quot;dropping-particle&quot;:&quot;&quot;,&quot;non-dropping-particle&quot;:&quot;&quot;}],&quot;container-title&quot;:&quot;https://doi.org/10.1200/JCO.2017.35.15_suppl.10009&quot;,&quot;accessed&quot;:{&quot;date-parts&quot;:[[2023,3,28]]},&quot;DOI&quot;:&quot;10.1200/JCO.2017.35.15_SUPPL.10009&quot;,&quot;ISSN&quot;:&quot;0732-183X&quot;,&quot;issued&quot;:{&quot;date-parts&quot;:[[2017,5,30]]},&quot;page&quot;:&quot;10009-10009&quot;,&quot;abstract&quot;:&quot;10009Background: Older adults are a growing segment of our oncology population, with an expected increase in cancer incidence of 67% from 2010 to 2030 in people age 65 and older. However, older adu...&quot;,&quot;publisher&quot;:&quot;American Society of Clinical Oncology&quot;,&quot;issue&quot;:&quot;15_suppl&quot;,&quot;volume&quot;:&quot;35&quot;,&quot;container-title-short&quot;:&quot;&quot;},&quot;isTemporary&quot;:false},{&quot;id&quot;:&quot;3dc794b5-7294-3117-b3d2-b58220f5f903&quot;,&quot;itemData&quot;:{&quot;type&quot;:&quot;article-journal&quot;,&quot;id&quot;:&quot;3dc794b5-7294-3117-b3d2-b58220f5f903&quot;,&quot;title&quot;:&quot;Older adult participation in cancer clinical trials: A systematic review of barriers and interventions&quot;,&quot;author&quot;:[{&quot;family&quot;:&quot;Sedrak&quot;,&quot;given&quot;:&quot;Mina S.&quot;,&quot;parse-names&quot;:false,&quot;dropping-particle&quot;:&quot;&quot;,&quot;non-dropping-particle&quot;:&quot;&quot;},{&quot;family&quot;:&quot;Freedman&quot;,&quot;given&quot;:&quot;Rachel A.&quot;,&quot;parse-names&quot;:false,&quot;dropping-particle&quot;:&quot;&quot;,&quot;non-dropping-particle&quot;:&quot;&quot;},{&quot;family&quot;:&quot;Cohen&quot;,&quot;given&quot;:&quot;Harvey J.&quot;,&quot;parse-names&quot;:false,&quot;dropping-particle&quot;:&quot;&quot;,&quot;non-dropping-particle&quot;:&quot;&quot;},{&quot;family&quot;:&quot;Muss&quot;,&quot;given&quot;:&quot;Hyman B.&quot;,&quot;parse-names&quot;:false,&quot;dropping-particle&quot;:&quot;&quot;,&quot;non-dropping-particle&quot;:&quot;&quot;},{&quot;family&quot;:&quot;Jatoi&quot;,&quot;given&quot;:&quot;Aminah&quot;,&quot;parse-names&quot;:false,&quot;dropping-particle&quot;:&quot;&quot;,&quot;non-dropping-particle&quot;:&quot;&quot;},{&quot;family&quot;:&quot;Klepin&quot;,&quot;given&quot;:&quot;Heidi D.&quot;,&quot;parse-names&quot;:false,&quot;dropping-particle&quot;:&quot;&quot;,&quot;non-dropping-particle&quot;:&quot;&quot;},{&quot;family&quot;:&quot;Wildes&quot;,&quot;given&quot;:&quot;Tanya M.&quot;,&quot;parse-names&quot;:false,&quot;dropping-particle&quot;:&quot;&quot;,&quot;non-dropping-particle&quot;:&quot;&quot;},{&quot;family&quot;:&quot;Le‐Rademacher&quot;,&quot;given&quot;:&quot;Jennifer G.&quot;,&quot;parse-names&quot;:false,&quot;dropping-particle&quot;:&quot;&quot;,&quot;non-dropping-particle&quot;:&quot;&quot;},{&quot;family&quot;:&quot;Kimmick&quot;,&quot;given&quot;:&quot;Gretchen G.&quot;,&quot;parse-names&quot;:false,&quot;dropping-particle&quot;:&quot;&quot;,&quot;non-dropping-particle&quot;:&quot;&quot;},{&quot;family&quot;:&quot;Tew&quot;,&quot;given&quot;:&quot;William P.&quot;,&quot;parse-names&quot;:false,&quot;dropping-particle&quot;:&quot;&quot;,&quot;non-dropping-particle&quot;:&quot;&quot;},{&quot;family&quot;:&quot;George&quot;,&quot;given&quot;:&quot;Kevin&quot;,&quot;parse-names&quot;:false,&quot;dropping-particle&quot;:&quot;&quot;,&quot;non-dropping-particle&quot;:&quot;&quot;},{&quot;family&quot;:&quot;Padam&quot;,&quot;given&quot;:&quot;Simran&quot;,&quot;parse-names&quot;:false,&quot;dropping-particle&quot;:&quot;&quot;,&quot;non-dropping-particle&quot;:&quot;&quot;},{&quot;family&quot;:&quot;Liu&quot;,&quot;given&quot;:&quot;Jennifer&quot;,&quot;parse-names&quot;:false,&quot;dropping-particle&quot;:&quot;&quot;,&quot;non-dropping-particle&quot;:&quot;&quot;},{&quot;family&quot;:&quot;Wong&quot;,&quot;given&quot;:&quot;Andrew R.&quot;,&quot;parse-names&quot;:false,&quot;dropping-particle&quot;:&quot;&quot;,&quot;non-dropping-particle&quot;:&quot;&quot;},{&quot;family&quot;:&quot;Lynch&quot;,&quot;given&quot;:&quot;Andrea&quot;,&quot;parse-names&quot;:false,&quot;dropping-particle&quot;:&quot;&quot;,&quot;non-dropping-particle&quot;:&quot;&quot;},{&quot;family&quot;:&quot;Djulbegovic&quot;,&quot;given&quot;:&quot;Benjamin&quot;,&quot;parse-names&quot;:false,&quot;dropping-particle&quot;:&quot;&quot;,&quot;non-dropping-particle&quot;:&quot;&quot;},{&quot;family&quot;:&quot;Mohile&quot;,&quot;given&quot;:&quot;Supriya G.&quot;,&quot;parse-names&quot;:false,&quot;dropping-particle&quot;:&quot;&quot;,&quot;non-dropping-particle&quot;:&quot;&quot;},{&quot;family&quot;:&quot;Dale&quot;,&quot;given&quot;:&quot;William&quot;,&quot;parse-names&quot;:false,&quot;dropping-particle&quot;:&quot;&quot;,&quot;non-dropping-particle&quot;:&quot;&quot;}],&quot;container-title&quot;:&quot;CA: A Cancer Journal for Clinicians&quot;,&quot;container-title-short&quot;:&quot;CA Cancer J Clin&quot;,&quot;accessed&quot;:{&quot;date-parts&quot;:[[2023,3,28]]},&quot;DOI&quot;:&quot;10.3322/CAAC.21638&quot;,&quot;ISSN&quot;:&quot;0007-9235&quot;,&quot;PMID&quot;:&quot;33002206&quot;,&quot;issued&quot;:{&quot;date-parts&quot;:[[2021,1]]},&quot;page&quot;:&quot;78-92&quot;,&quot;abstract&quot;:&quot;Cancer is a disease of aging and, as the world's population ages, the number of older persons with cancer is increasing and will make up a growing share of the oncology population in virtually every country. Despite this, older patients remain vastly underrepresented in research that sets the standards for cancer treatments. Consequently, most of what we know about cancer therapeutics is based on clinical trials conducted in younger, healthier patients, and effective strategies to improve clinical trial participation of older adults with cancer remain sparse. This systematic review evaluated published studies regarding barriers to participation and interventions to improve participation of older adults in cancer trials. The quality of the available evidence was low and, despite a literature describing multifaceted barriers, only one intervention study aimed to increase enrollment of older adults in trials. Our findings starkly amplify the paucity of evidence-based effective strategies to improve participation of this underrepresented population in cancer trials. Within these limitations, we provide our opinion on how the current cancer research infrastructure must be modified to accommodate the needs of older patients. We offer several underutilized solutions to expand clinical trials to include older adults with cancer. However, as currently constructed, these recommendations alone will not solve the evidence gap in geriatric oncology, and efforts are needed to meet older and frail adults where they are by expanding clinical trials designed specifically for this population and leveraging real-world data.&quot;,&quot;publisher&quot;:&quot;Wiley&quot;,&quot;issue&quot;:&quot;1&quot;,&quot;volume&quot;:&quot;71&quot;},&quot;isTemporary&quot;:false}],&quot;citationTag&quot;:&quot;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&quot;},{&quot;citationID&quot;:&quot;MENDELEY_CITATION_9863bc81-ee7f-4472-85ad-ac7251ec7ba7&quot;,&quot;properties&quot;:{&quot;noteIndex&quot;:0},&quot;isEdited&quot;:false,&quot;manualOverride&quot;:{&quot;isManuallyOverridden&quot;:false,&quot;citeprocText&quot;:&quot;&lt;sup&gt;5,6&lt;/sup&gt;&quot;,&quot;manualOverrideText&quot;:&quot;&quot;},&quot;citationItems&quot;:[{&quot;id&quot;:&quot;533f736d-971f-3ed9-bf04-d1058eaa2d4f&quot;,&quot;itemData&quot;:{&quot;type&quot;:&quot;article-journal&quot;,&quot;id&quot;:&quot;533f736d-971f-3ed9-bf04-d1058eaa2d4f&quot;,&quot;title&quot;:&quot;Decision Making in Older Adults With Cancer&quot;,&quot;author&quot;:[{&quot;family&quot;:&quot;DuMontier&quot;,&quot;given&quot;:&quot;Clark&quot;,&quot;parse-names&quot;:false,&quot;dropping-particle&quot;:&quot;&quot;,&quot;non-dropping-particle&quot;:&quot;&quot;},{&quot;family&quot;:&quot;Loh&quot;,&quot;given&quot;:&quot;Kah Poh&quot;,&quot;parse-names&quot;:false,&quot;dropping-particle&quot;:&quot;&quot;,&quot;non-dropping-particle&quot;:&quot;&quot;},{&quot;family&quot;:&quot;Soto-Perez-de-Celis&quot;,&quot;given&quot;:&quot;Enrique&quot;,&quot;parse-names&quot;:false,&quot;dropping-particle&quot;:&quot;&quot;,&quot;non-dropping-particle&quot;:&quot;&quot;},{&quot;family&quot;:&quot;Dale&quot;,&quot;given&quot;:&quot;William&quot;,&quot;parse-names&quot;:false,&quot;dropping-particle&quot;:&quot;&quot;,&quot;non-dropping-particle&quot;:&quot;&quot;}],&quot;container-title&quot;:&quot;Journal of Clinical Oncology&quot;,&quot;DOI&quot;:&quot;10.1200/JCO.21.00165&quot;,&quot;ISSN&quot;:&quot;0732-183X&quot;,&quot;URL&quot;:&quot;https://doi.org/10.1200/JCO.21.00165&quot;,&quot;issued&quot;:{&quot;date-parts&quot;:[[2021,5]]},&quot;page&quot;:&quot;2164-2174&quot;,&quot;publisher&quot;:&quot;Wolters Kluwer&quot;,&quot;issue&quot;:&quot;19&quot;,&quot;volume&quot;:&quot;39&quot;,&quot;container-title-short&quot;:&quot;&quot;},&quot;isTemporary&quot;:false},{&quot;id&quot;:&quot;1a49b5be-a147-3606-891d-b3236f348185&quot;,&quot;itemData&quot;:{&quot;type&quot;:&quot;article-journal&quot;,&quot;id&quot;:&quot;1a49b5be-a147-3606-891d-b3236f348185&quot;,&quot;title&quot;:&quot;Special considerations of breast cancer management in the elderly&quot;,&quot;author&quot;:[{&quot;family&quot;:&quot;Cornell&quot;,&quot;given&quot;:&quot;Lauren F&quot;,&quot;parse-names&quot;:false,&quot;dropping-particle&quot;:&quot;&quot;,&quot;non-dropping-particle&quot;:&quot;&quot;},{&quot;family&quot;:&quot;Mclaughlin&quot;,&quot;given&quot;:&quot;Sarah A&quot;,&quot;parse-names&quot;:false,&quot;dropping-particle&quot;:&quot;&quot;,&quot;non-dropping-particle&quot;:&quot;&quot;},{&quot;family&quot;:&quot;Pruthi&quot;,&quot;given&quot;:&quot;Sandhya&quot;,&quot;parse-names&quot;:false,&quot;dropping-particle&quot;:&quot;&quot;,&quot;non-dropping-particle&quot;:&quot;&quot;},{&quot;family&quot;:&quot;Mussallem&quot;,&quot;given&quot;:&quot;Dawn M&quot;,&quot;parse-names&quot;:false,&quot;dropping-particle&quot;:&quot;&quot;,&quot;non-dropping-particle&quot;:&quot;&quot;}],&quot;container-title&quot;:&quot;Breast Cancer Management&quot;,&quot;container-title-short&quot;:&quot;Breast Cancer Manag&quot;,&quot;DOI&quot;:&quot;10.2217/bmt-2020-0023&quot;,&quot;ISSN&quot;:&quot;1758-1923&quot;,&quot;URL&quot;:&quot;https://doi.org/10.2217/bmt-2020-0023&quot;,&quot;issued&quot;:{&quot;date-parts&quot;:[[2020,9]]},&quot;page&quot;:&quot;BMT46&quot;,&quot;abstract&quot;:&quot;There are increasing numbers of elderly patients diagnosed with breast cancer. These patients are under-represented in available clinical trials, and as such, there are limited evidence-based guidelines for treatment in this population. Elderly patients have unique needs and management strategies should be tailored accordingly. This article reviews available literature regarding breast cancer management and special considerations in elderly patients.&quot;,&quot;publisher&quot;:&quot;Future Medicine&quot;,&quot;issue&quot;:&quot;4&quot;,&quot;volume&quot;:&quot;9&quot;},&quot;isTemporary&quot;:false}],&quot;citationTag&quot;:&quot;MENDELEY_CITATION_v3_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&quot;},{&quot;citationID&quot;:&quot;MENDELEY_CITATION_7009bb51-c64e-478f-9a8c-384b2e7b1fad&quot;,&quot;properties&quot;:{&quot;noteIndex&quot;:0},&quot;isEdited&quot;:false,&quot;manualOverride&quot;:{&quot;isManuallyOverridden&quot;:false,&quot;citeprocText&quot;:&quot;&lt;sup&gt;7,8&lt;/sup&gt;&quot;,&quot;manualOverrideText&quot;:&quot;&quot;},&quot;citationItems&quot;:[{&quot;id&quot;:&quot;9266afb2-438a-345f-8dab-40cb842df290&quot;,&quot;itemData&quot;:{&quot;type&quot;:&quot;article-journal&quot;,&quot;id&quot;:&quot;9266afb2-438a-345f-8dab-40cb842df290&quot;,&quot;title&quot;:&quot;Estimating patient time costs associated with colorectal cancer care&quot;,&quot;author&quot;:[{&quot;family&quot;:&quot;Yabroff&quot;,&quot;given&quot;:&quot;K Robin&quot;,&quot;parse-names&quot;:false,&quot;dropping-particle&quot;:&quot;&quot;,&quot;non-dropping-particle&quot;:&quot;&quot;},{&quot;family&quot;:&quot;Warren&quot;,&quot;given&quot;:&quot;Joan L&quot;,&quot;parse-names&quot;:false,&quot;dropping-particle&quot;:&quot;&quot;,&quot;non-dropping-particle&quot;:&quot;&quot;},{&quot;family&quot;:&quot;Knopf&quot;,&quot;given&quot;:&quot;Kevin&quot;,&quot;parse-names&quot;:false,&quot;dropping-particle&quot;:&quot;&quot;,&quot;non-dropping-particle&quot;:&quot;&quot;},{&quot;family&quot;:&quot;Davis&quot;,&quot;given&quot;:&quot;William W&quot;,&quot;parse-names&quot;:false,&quot;dropping-particle&quot;:&quot;&quot;,&quot;non-dropping-particle&quot;:&quot;&quot;},{&quot;family&quot;:&quot;Brown&quot;,&quot;given&quot;:&quot;Martin L&quot;,&quot;parse-names&quot;:false,&quot;dropping-particle&quot;:&quot;&quot;,&quot;non-dropping-particle&quot;:&quot;&quot;}],&quot;container-title&quot;:&quot;Medical Care&quot;,&quot;container-title-short&quot;:&quot;Med Care&quot;,&quot;DOI&quot;:&quot;10.1097/01.mlr.0000167177.45020.4a&quot;,&quot;ISSN&quot;:&quot;00257079&quot;,&quot;PMID&quot;:&quot;15970778&quot;,&quot;issued&quot;:{&quot;date-parts&quot;:[[2005]]},&quot;page&quot;:&quot;640-648&quot;,&quot;abstract&quot;:&quot;Background: Nonmedical costs of care, such as patient time associated with travel to, waiting for, and seeking medical care, are rarely measured systematically with population-based data. Objectives: The purpose of this study was to estimate patient time costs associated with colorectal cancer care. Methods: We identified categories of key medical services for colorectal cancer care and then estimated patient time associated with each service category using data from national surveys. To estimate average service frequencies for each service category, we used a nested case control design and SEER-Medicare data. Estimates were calculated by phase of care for cases and controls, using data from 1995 to 1998. Average service frequencies were then combined with estimates of patient time for each category of service, and the value of patient time assigned. Net patient time costs were calculated for each service category, summarized by phase of care, and compared with previously reported net direct costs of colorectal cancer care. Results: Net patient time costs for the 3 phases of colorectal cancer care averaged 4592 (95% confidence interval [CI] 4427-4757) over the 12 months of the initial phase, 2788 (95% CI 2614-2963) over the 12 months of the terminal phase, and 25 (95% CI: 23-26) per month in the continuing phase of care. Hospitalizations accounted for more than two thirds of these estimates. Patient time costs were 19.3% of direct medical costs in the initial phase, 15.8% in the continuing phase, and 36.8% in the terminal phase of care. Conclusions: Patient time costs are an important component of the costs of colorectal cancer care. Application of this method to other tumor sites and inclusion of other components of the costs of medical care will be important in delineating the economic burden of cancer in the United States. Copyright © 2005 by Lippincott Williams &amp; Wilkins.&quot;,&quot;issue&quot;:&quot;7&quot;,&quot;volume&quot;:&quot;43&quot;},&quot;isTemporary&quot;:false},{&quot;id&quot;:&quot;9a8915fc-6cfd-3a30-9b1c-755ec90041d1&quot;,&quot;itemData&quot;:{&quot;type&quot;:&quot;article-journal&quot;,&quot;id&quot;:&quot;9a8915fc-6cfd-3a30-9b1c-755ec90041d1&quot;,&quot;title&quot;:&quot;Perceptions of time spent pursuing cancer care among patients, caregivers, and oncology professionals&quot;,&quot;author&quot;:[{&quot;family&quot;:&quot;Hall&quot;,&quot;given&quot;:&quot;Evan T.&quot;,&quot;parse-names&quot;:false,&quot;dropping-particle&quot;:&quot;&quot;,&quot;non-dropping-particle&quot;:&quot;&quot;},{&quot;family&quot;:&quot;Sridhar&quot;,&quot;given&quot;:&quot;Deepa&quot;,&quot;parse-names&quot;:false,&quot;dropping-particle&quot;:&quot;&quot;,&quot;non-dropping-particle&quot;:&quot;&quot;},{&quot;family&quot;:&quot;Singhal&quot;,&quot;given&quot;:&quot;Surbhi&quot;,&quot;parse-names&quot;:false,&quot;dropping-particle&quot;:&quot;&quot;,&quot;non-dropping-particle&quot;:&quot;&quot;},{&quot;family&quot;:&quot;Fardeen&quot;,&quot;given&quot;:&quot;Touran&quot;,&quot;parse-names&quot;:false,&quot;dropping-particle&quot;:&quot;&quot;,&quot;non-dropping-particle&quot;:&quot;&quot;},{&quot;family&quot;:&quot;Lahijani&quot;,&quot;given&quot;:&quot;Sheila&quot;,&quot;parse-names&quot;:false,&quot;dropping-particle&quot;:&quot;&quot;,&quot;non-dropping-particle&quot;:&quot;&quot;},{&quot;family&quot;:&quot;Trivedi&quot;,&quot;given&quot;:&quot;Ranak&quot;,&quot;parse-names&quot;:false,&quot;dropping-particle&quot;:&quot;&quot;,&quot;non-dropping-particle&quot;:&quot;&quot;},{&quot;family&quot;:&quot;Gray&quot;,&quot;given&quot;:&quot;Caroline&quot;,&quot;parse-names&quot;:false,&quot;dropping-particle&quot;:&quot;&quot;,&quot;non-dropping-particle&quot;:&quot;&quot;},{&quot;family&quot;:&quot;Schapira&quot;,&quot;given&quot;:&quot;Lidia&quot;,&quot;parse-names&quot;:false,&quot;dropping-particle&quot;:&quot;&quot;,&quot;non-dropping-particle&quot;:&quot;&quot;}],&quot;container-title&quot;:&quot;Supportive Care in Cancer&quot;,&quot;DOI&quot;:&quot;10.1007/s00520-020-05763-9&quot;,&quot;ISSN&quot;:&quot;14337339&quot;,&quot;PMID&quot;:&quot;32935204&quot;,&quot;issued&quot;:{&quot;date-parts&quot;:[[2021,5,1]]},&quot;page&quot;:&quot;2493-2500&quot;,&quot;abstract&quot;:&quot;Purpose: Patients with cancer spend significant time receiving treatment and recovering from side effects. Little is known about how patients and their caregivers perceive time spent receiving cancer treatment and how this impacts health-related quality of life (HRQoL). Our study aims to characterize perceptions of time invested in receiving cancer therapy as experienced by patients, caregivers, and oncology professionals. Methods: We conducted semi-structured interviews with patients undergoing treatment for advanced lung cancer and melanoma, their informal caregivers, and oncology professionals (physicians, nurses, social workers, and chaplains). Participants received and provided care at a tertiary cancer center. Interviews were audiorecorded and transcribed verbatim. Transcripts were analyzed qualitatively using predominantly inductive coding to identify themes relating to time perception and cancer care. Results: We interviewed 29 participants (11 patients, 7 informal caregivers, and 11 oncology professionals) and found they consistently differentiated between time remaining in life (“existential time”) and time required to manage cancer treatment and symptoms (“chronological time”). Patients and caregivers reported distress around the mechanics of oncologic care that interrupted their daily lives (hobbies, activities). Participants described the impact of time invested in cancer care on dimensions of quality of life, ranging from minimal to substantial negative impact. Conclusions: We found that the time spent undergoing cancer treatment affects well-being and often prevents patients and caregivers from participating in meaningful activities. The investment of personal time undergoing cancer therapy for patients with advanced solid tumors merits further study and can enhance communication between patients, caregivers, and their oncologists.&quot;,&quot;publisher&quot;:&quot;Springer Science and Business Media Deutschland GmbH&quot;,&quot;issue&quot;:&quot;5&quot;,&quot;volume&quot;:&quot;29&quot;},&quot;isTemporary&quot;:false}],&quot;citationTag&quot;:&quot;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&quot;},{&quot;citationID&quot;:&quot;MENDELEY_CITATION_98aa2c5f-0e28-4970-9e5a-6ff28311753c&quot;,&quot;properties&quot;:{&quot;noteIndex&quot;:0},&quot;isEdited&quot;:false,&quot;manualOverride&quot;:{&quot;isManuallyOverridden&quot;:false,&quot;citeprocText&quot;:&quot;&lt;sup&gt;9&lt;/sup&gt;&quot;,&quot;manualOverrideText&quot;:&quot;&quot;},&quot;citationItems&quot;:[{&quot;id&quot;:&quot;6fe63904-7688-3afc-adec-feb19a9d2b0b&quot;,&quot;itemData&quot;:{&quot;type&quot;:&quot;article-journal&quot;,&quot;id&quot;:&quot;6fe63904-7688-3afc-adec-feb19a9d2b0b&quot;,&quot;title&quot;:&quot;Annual patient time costs associated with medical care among cancer survivors in the United States&quot;,&quot;author&quot;:[{&quot;family&quot;:&quot;Yabroff&quot;,&quot;given&quot;:&quot;K Robin&quot;,&quot;parse-names&quot;:false,&quot;dropping-particle&quot;:&quot;&quot;,&quot;non-dropping-particle&quot;:&quot;&quot;},{&quot;family&quot;:&quot;Guy&quot;,&quot;given&quot;:&quot;Gery P&quot;,&quot;parse-names&quot;:false,&quot;dropping-particle&quot;:&quot;&quot;,&quot;non-dropping-particle&quot;:&quot;&quot;},{&quot;family&quot;:&quot;Ekwueme&quot;,&quot;given&quot;:&quot;Donatus U&quot;,&quot;parse-names&quot;:false,&quot;dropping-particle&quot;:&quot;&quot;,&quot;non-dropping-particle&quot;:&quot;&quot;},{&quot;family&quot;:&quot;McNeel&quot;,&quot;given&quot;:&quot;Timothy&quot;,&quot;parse-names&quot;:false,&quot;dropping-particle&quot;:&quot;&quot;,&quot;non-dropping-particle&quot;:&quot;&quot;},{&quot;family&quot;:&quot;Rozjabek&quot;,&quot;given&quot;:&quot;Heather M&quot;,&quot;parse-names&quot;:false,&quot;dropping-particle&quot;:&quot;&quot;,&quot;non-dropping-particle&quot;:&quot;&quot;},{&quot;family&quot;:&quot;Dowling&quot;,&quot;given&quot;:&quot;Emily&quot;,&quot;parse-names&quot;:false,&quot;dropping-particle&quot;:&quot;&quot;,&quot;non-dropping-particle&quot;:&quot;&quot;},{&quot;family&quot;:&quot;Li&quot;,&quot;given&quot;:&quot;Chunyu&quot;,&quot;parse-names&quot;:false,&quot;dropping-particle&quot;:&quot;&quot;,&quot;non-dropping-particle&quot;:&quot;&quot;},{&quot;family&quot;:&quot;Virgo&quot;,&quot;given&quot;:&quot;Katherine S&quot;,&quot;parse-names&quot;:false,&quot;dropping-particle&quot;:&quot;&quot;,&quot;non-dropping-particle&quot;:&quot;&quot;}],&quot;container-title&quot;:&quot;Medical Care&quot;,&quot;container-title-short&quot;:&quot;Med Care&quot;,&quot;DOI&quot;:&quot;10.1097/MLR.0000000000000151&quot;,&quot;ISBN&quot;:&quot;0000000000000&quot;,&quot;ISSN&quot;:&quot;15371948&quot;,&quot;PMID&quot;:&quot;24926706&quot;,&quot;issued&quot;:{&quot;date-parts&quot;:[[2014]]},&quot;page&quot;:&quot;594-601&quot;,&quot;abstract&quot;:&quot;BACKGROUND: Although patient time costs are recommended for inclusion in cost-effectiveness analyses, these data are not routinely collected. We used nationally representative data and a medical service-based approach to estimate the annual patient time costs among cancer survivors. METHODS: We identified adult 6699 cancer survivors and 86,412 individuals without a cancer history ages 18 years or more from 2008-2011 Medical Expenditure Panel Survey (MEPS). Service use was categorized as hospitalizations, emergency room use, provider visits, ambulatory surgery, chemotherapy, and radiation therapy. Service time estimates were applied to frequencies for each service category and the US median wage rate in 2011 was used to value time. We evaluated the association between cancer survivorship and service use frequencies and patient time costs with multivariable regression models, stratified by age group (18-64 and 65+ y). Sensitivity analyses evaluated different approaches for valuing time. RESULTS: Cancer survivors were more likely to have hospitalizations, emergency room visits, ambulatory surgeries, and provider visits in the past year than individuals without a cancer history in adjusted analyses (P&lt;0.05). Annual patient time was higher for cancer survivors than individuals without a cancer history among those aged 18-64 years (30.2 vs. 13.6 h; P&lt;0.001) and 65+ years (55.1 vs. 36.6 h; P&lt;0.001), as were annual patient time costs (18-64 y: 500 vs. 226; P&lt;0.001 and 65+ y: 913 vs. 607; P&lt;0.001). CONCLUSIONS: Cancer survivors had greater annual medical service use and patient time costs than individuals without a cancer history. This medical service-based approach for estimating annual time costs can also be applied to other conditions. Copyright © 2014 by Lippincott Williams &amp; Wilkins.&quot;,&quot;issue&quot;:&quot;7&quot;,&quot;volume&quot;:&quot;52&quot;},&quot;isTemporary&quot;:false}],&quot;citationTag&quot;:&quot;MENDELEY_CITATION_v3_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&quot;},{&quot;citationID&quot;:&quot;MENDELEY_CITATION_e903c15e-5b97-44ac-bc0e-d6032ca29ecb&quot;,&quot;properties&quot;:{&quot;noteIndex&quot;:0},&quot;isEdited&quot;:false,&quot;manualOverride&quot;:{&quot;isManuallyOverridden&quot;:false,&quot;citeprocText&quot;:&quot;&lt;sup&gt;9&lt;/sup&gt;&quot;,&quot;manualOverrideText&quot;:&quot;&quot;},&quot;citationItems&quot;:[{&quot;id&quot;:&quot;6fe63904-7688-3afc-adec-feb19a9d2b0b&quot;,&quot;itemData&quot;:{&quot;type&quot;:&quot;article-journal&quot;,&quot;id&quot;:&quot;6fe63904-7688-3afc-adec-feb19a9d2b0b&quot;,&quot;title&quot;:&quot;Annual patient time costs associated with medical care among cancer survivors in the United States&quot;,&quot;author&quot;:[{&quot;family&quot;:&quot;Yabroff&quot;,&quot;given&quot;:&quot;K Robin&quot;,&quot;parse-names&quot;:false,&quot;dropping-particle&quot;:&quot;&quot;,&quot;non-dropping-particle&quot;:&quot;&quot;},{&quot;family&quot;:&quot;Guy&quot;,&quot;given&quot;:&quot;Gery P&quot;,&quot;parse-names&quot;:false,&quot;dropping-particle&quot;:&quot;&quot;,&quot;non-dropping-particle&quot;:&quot;&quot;},{&quot;family&quot;:&quot;Ekwueme&quot;,&quot;given&quot;:&quot;Donatus U&quot;,&quot;parse-names&quot;:false,&quot;dropping-particle&quot;:&quot;&quot;,&quot;non-dropping-particle&quot;:&quot;&quot;},{&quot;family&quot;:&quot;McNeel&quot;,&quot;given&quot;:&quot;Timothy&quot;,&quot;parse-names&quot;:false,&quot;dropping-particle&quot;:&quot;&quot;,&quot;non-dropping-particle&quot;:&quot;&quot;},{&quot;family&quot;:&quot;Rozjabek&quot;,&quot;given&quot;:&quot;Heather M&quot;,&quot;parse-names&quot;:false,&quot;dropping-particle&quot;:&quot;&quot;,&quot;non-dropping-particle&quot;:&quot;&quot;},{&quot;family&quot;:&quot;Dowling&quot;,&quot;given&quot;:&quot;Emily&quot;,&quot;parse-names&quot;:false,&quot;dropping-particle&quot;:&quot;&quot;,&quot;non-dropping-particle&quot;:&quot;&quot;},{&quot;family&quot;:&quot;Li&quot;,&quot;given&quot;:&quot;Chunyu&quot;,&quot;parse-names&quot;:false,&quot;dropping-particle&quot;:&quot;&quot;,&quot;non-dropping-particle&quot;:&quot;&quot;},{&quot;family&quot;:&quot;Virgo&quot;,&quot;given&quot;:&quot;Katherine S&quot;,&quot;parse-names&quot;:false,&quot;dropping-particle&quot;:&quot;&quot;,&quot;non-dropping-particle&quot;:&quot;&quot;}],&quot;container-title&quot;:&quot;Medical Care&quot;,&quot;container-title-short&quot;:&quot;Med Care&quot;,&quot;DOI&quot;:&quot;10.1097/MLR.0000000000000151&quot;,&quot;ISBN&quot;:&quot;0000000000000&quot;,&quot;ISSN&quot;:&quot;15371948&quot;,&quot;PMID&quot;:&quot;24926706&quot;,&quot;issued&quot;:{&quot;date-parts&quot;:[[2014]]},&quot;page&quot;:&quot;594-601&quot;,&quot;abstract&quot;:&quot;BACKGROUND: Although patient time costs are recommended for inclusion in cost-effectiveness analyses, these data are not routinely collected. We used nationally representative data and a medical service-based approach to estimate the annual patient time costs among cancer survivors. METHODS: We identified adult 6699 cancer survivors and 86,412 individuals without a cancer history ages 18 years or more from 2008-2011 Medical Expenditure Panel Survey (MEPS). Service use was categorized as hospitalizations, emergency room use, provider visits, ambulatory surgery, chemotherapy, and radiation therapy. Service time estimates were applied to frequencies for each service category and the US median wage rate in 2011 was used to value time. We evaluated the association between cancer survivorship and service use frequencies and patient time costs with multivariable regression models, stratified by age group (18-64 and 65+ y). Sensitivity analyses evaluated different approaches for valuing time. RESULTS: Cancer survivors were more likely to have hospitalizations, emergency room visits, ambulatory surgeries, and provider visits in the past year than individuals without a cancer history in adjusted analyses (P&lt;0.05). Annual patient time was higher for cancer survivors than individuals without a cancer history among those aged 18-64 years (30.2 vs. 13.6 h; P&lt;0.001) and 65+ years (55.1 vs. 36.6 h; P&lt;0.001), as were annual patient time costs (18-64 y: 500 vs. 226; P&lt;0.001 and 65+ y: 913 vs. 607; P&lt;0.001). CONCLUSIONS: Cancer survivors had greater annual medical service use and patient time costs than individuals without a cancer history. This medical service-based approach for estimating annual time costs can also be applied to other conditions. Copyright © 2014 by Lippincott Williams &amp; Wilkins.&quot;,&quot;issue&quot;:&quot;7&quot;,&quot;volume&quot;:&quot;52&quot;},&quot;isTemporary&quot;:false}],&quot;citationTag&quot;:&quot;MENDELEY_CITATION_v3_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&quot;},{&quot;citationID&quot;:&quot;MENDELEY_CITATION_4083aea9-d6f3-4e29-927f-2474a5b35fb4&quot;,&quot;properties&quot;:{&quot;noteIndex&quot;:0},&quot;isEdited&quot;:false,&quot;manualOverride&quot;:{&quot;isManuallyOverridden&quot;:false,&quot;citeprocText&quot;:&quot;&lt;sup&gt;10&lt;/sup&gt;&quot;,&quot;manualOverrideText&quot;:&quot;&quot;},&quot;citationItems&quot;:[{&quot;id&quot;:&quot;e4f199e9-0a3c-300c-a0e0-ba3c6fec6fd6&quot;,&quot;itemData&quot;:{&quot;type&quot;:&quot;article-journal&quot;,&quot;id&quot;:&quot;e4f199e9-0a3c-300c-a0e0-ba3c6fec6fd6&quot;,&quot;title&quot;:&quot;Opportunity Costs of Receiving Palliative Chemotherapy for Metastatic Pancreatic Ductal Adenocarcinoma&quot;,&quot;author&quot;:[{&quot;family&quot;:&quot;Bange&quot;,&quot;given&quot;:&quot;Erin M.&quot;,&quot;parse-names&quot;:false,&quot;dropping-particle&quot;:&quot;&quot;,&quot;non-dropping-particle&quot;:&quot;&quot;},{&quot;family&quot;:&quot;Doucette&quot;,&quot;given&quot;:&quot;Abigail&quot;,&quot;parse-names&quot;:false,&quot;dropping-particle&quot;:&quot;&quot;,&quot;non-dropping-particle&quot;:&quot;&quot;},{&quot;family&quot;:&quot;Gabriel&quot;,&quot;given&quot;:&quot;Peter E.&quot;,&quot;parse-names&quot;:false,&quot;dropping-particle&quot;:&quot;&quot;,&quot;non-dropping-particle&quot;:&quot;&quot;},{&quot;family&quot;:&quot;Porterfield&quot;,&quot;given&quot;:&quot;Florence&quot;,&quot;parse-names&quot;:false,&quot;dropping-particle&quot;:&quot;&quot;,&quot;non-dropping-particle&quot;:&quot;&quot;},{&quot;family&quot;:&quot;Harrigan&quot;,&quot;given&quot;:&quot;James J.&quot;,&quot;parse-names&quot;:false,&quot;dropping-particle&quot;:&quot;&quot;,&quot;non-dropping-particle&quot;:&quot;&quot;},{&quot;family&quot;:&quot;Wang&quot;,&quot;given&quot;:&quot;Robin&quot;,&quot;parse-names&quot;:false,&quot;dropping-particle&quot;:&quot;&quot;,&quot;non-dropping-particle&quot;:&quot;&quot;},{&quot;family&quot;:&quot;Wojcieszynski&quot;,&quot;given&quot;:&quot;Andrzej P.&quot;,&quot;parse-names&quot;:false,&quot;dropping-particle&quot;:&quot;&quot;,&quot;non-dropping-particle&quot;:&quot;&quot;},{&quot;family&quot;:&quot;Boursi&quot;,&quot;given&quot;:&quot;Ben&quot;,&quot;parse-names&quot;:false,&quot;dropping-particle&quot;:&quot;&quot;,&quot;non-dropping-particle&quot;:&quot;&quot;},{&quot;family&quot;:&quot;Mooney&quot;,&quot;given&quot;:&quot;Bethany I.&quot;,&quot;parse-names&quot;:false,&quot;dropping-particle&quot;:&quot;&quot;,&quot;non-dropping-particle&quot;:&quot;&quot;},{&quot;family&quot;:&quot;Reiss&quot;,&quot;given&quot;:&quot;Kim A.&quot;,&quot;parse-names&quot;:false,&quot;dropping-particle&quot;:&quot;&quot;,&quot;non-dropping-particle&quot;:&quot;&quot;},{&quot;family&quot;:&quot;Mamtani&quot;,&quot;given&quot;:&quot;Ronac&quot;,&quot;parse-names&quot;:false,&quot;dropping-particle&quot;:&quot;&quot;,&quot;non-dropping-particle&quot;:&quot;&quot;}],&quot;container-title&quot;:&quot;JCO Oncology Practice&quot;,&quot;container-title-short&quot;:&quot;JCO Oncol Pract&quot;,&quot;accessed&quot;:{&quot;date-parts&quot;:[[2023,4,2]]},&quot;DOI&quot;:&quot;10.1200/JOP.19.00328&quot;,&quot;ISSN&quot;:&quot;2688-1527&quot;,&quot;PMID&quot;:&quot;32130074&quot;,&quot;URL&quot;:&quot;https://www.researchgate.net/publication/339701114_Opportunity_Costs_of_Receiving_Palliative_Chemotherapy_for_Metastatic_Pancreatic_Ductal_Adenocarcinoma&quot;,&quot;issued&quot;:{&quot;date-parts&quot;:[[2020,8]]},&quot;page&quot;:&quot;e678-e687&quot;,&quot;abstract&quot;:&quot;PURPOSE The median overall survival (OS) for metastatic pancreatic ductal adenocarcinoma (mPDAC) is &lt; 1 year. Factors that contribute to quality of life during treatment are critical to quantify. One factor-time spent obtaining clinical services-is understudied. We quantified total outpatient time among patients with mPDAC receiving palliative systemic chemotherapy. METHODS We conducted a retrospective analysis using four patient-level time measures calculated from the medical record of patients with mPDAC receiving 5-fluorouracil infusion, leucovorin, oxaliplatin, and irinotecan; gemcitabine/nab-paclitaxel; or gemcitabine within the University of Pennsylvania Health System between January 1, 2011 and January 15, 2019. These included the total number of health care encounter days (any day with at least one visit) and total visit time. Total visit time represented the time spent receiving care (care time) plus time spent commuting and waiting for care (noncare time). We performed descriptive statistics on these outpatient time metrics and compared the number of encounter days to OS. RESULTS A total of 362 patients were identified (median age, 65 years; 52% male; 78% white; 62% received gemcitabine plus nab-paclitaxel). Median OS was 230.5 days (7.6 months), with 79% of patients deceased at the end of follow-up. On average, patients had 22 health care encounter days, accounting for 10% of their total days survived. Median visit time was 4.6 hours, of which 2.5 hours was spent commuting or waiting for care. CONCLUSION On average, patients receiving palliative chemotherapy for mPDAC spend 10% of survival time on outpatient health care. More than half of this time is spent commuting and waiting for care. These findings provide an important snapshot of the patient experience during ambulatory care, and efforts to enhance efficiency of care delivery may be warranted.&quot;,&quot;publisher&quot;:&quot;American Society of Clinical Oncology (ASCO)&quot;,&quot;issue&quot;:&quot;8&quot;,&quot;volume&quot;:&quot;16&quot;},&quot;isTemporary&quot;:false}],&quot;citationTag&quot;:&quot;MENDELEY_CITATION_v3_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&quot;},{&quot;citationID&quot;:&quot;MENDELEY_CITATION_8c6e0991-2589-446c-898c-a82124280130&quot;,&quot;properties&quot;:{&quot;noteIndex&quot;:0},&quot;isEdited&quot;:false,&quot;manualOverride&quot;:{&quot;isManuallyOverridden&quot;:false,&quot;citeprocText&quot;:&quot;&lt;sup&gt;11&lt;/sup&gt;&quot;,&quot;manualOverrideText&quot;:&quot;&quot;},&quot;citationItems&quot;:[{&quot;id&quot;:&quot;06bc4af6-0f7a-305e-9a54-bf3818839499&quot;,&quot;itemData&quot;:{&quot;type&quot;:&quot;article-journal&quot;,&quot;id&quot;:&quot;06bc4af6-0f7a-305e-9a54-bf3818839499&quot;,&quot;title&quot;:&quot;Time Spent Away from Home in the Year Following High-Risk Cancer Surgery in Older Adults&quot;,&quot;author&quot;:[{&quot;family&quot;:&quot;Suskind&quot;,&quot;given&quot;:&quot;Anne M.&quot;,&quot;parse-names&quot;:false,&quot;dropping-particle&quot;:&quot;&quot;,&quot;non-dropping-particle&quot;:&quot;&quot;},{&quot;family&quot;:&quot;Zhao&quot;,&quot;given&quot;:&quot;Shoujun&quot;,&quot;parse-names&quot;:false,&quot;dropping-particle&quot;:&quot;&quot;,&quot;non-dropping-particle&quot;:&quot;&quot;},{&quot;family&quot;:&quot;Boscardin&quot;,&quot;given&quot;:&quot;W. John&quot;,&quot;parse-names&quot;:false,&quot;dropping-particle&quot;:&quot;&quot;,&quot;non-dropping-particle&quot;:&quot;&quot;},{&quot;family&quot;:&quot;Smith&quot;,&quot;given&quot;:&quot;Alexander&quot;,&quot;parse-names&quot;:false,&quot;dropping-particle&quot;:&quot;&quot;,&quot;non-dropping-particle&quot;:&quot;&quot;},{&quot;family&quot;:&quot;Finlayson&quot;,&quot;given&quot;:&quot;Emily&quot;,&quot;parse-names&quot;:false,&quot;dropping-particle&quot;:&quot;&quot;,&quot;non-dropping-particle&quot;:&quot;&quot;}],&quot;container-title&quot;:&quot;Journal of the American Geriatrics Society&quot;,&quot;container-title-short&quot;:&quot;J Am Geriatr Soc&quot;,&quot;DOI&quot;:&quot;10.1111/jgs.16344&quot;,&quot;ISSN&quot;:&quot;15325415&quot;,&quot;PMID&quot;:&quot;31981366&quot;,&quot;issued&quot;:{&quot;date-parts&quot;:[[2020,3,1]]},&quot;page&quot;:&quot;505-510&quot;,&quot;abstract&quot;:&quot;OBJECTIVES: To understand where older adults spend time (at home, in the hospital, or in a nursing home) in the year following high-risk cancer surgery. DESIGN: Retrospective cohort study. SETTING: Medicare beneficiaries using data from Medicare Inpatient claims to ascertain hospital days and the Minimum Data Set to ascertain nursing home days. PARTICIPANTS: Beneficiaries who underwent high-risk cancer surgery (cystectomy, pancreaticoduodenectomy, gastrectomy, or esophagectomy) were identified to determine cumulative time spent away from home in the year following surgery. MEASUREMENTS: Adjusted percentages of time spent away from home (ie, days in a hospital or nursing home) were modeled for the year following surgery. RESULTS: A total of 37 748 beneficiaries underwent high-risk cancer surgery during the study period, and 28.3% died within 1 year. Overall, beneficiaries spent 13.9 ± 26.2 days in the hospital (over 1.5 ± 2.0 hospital readmissions) and 37.2 ± 50.6 days in the nursing home (over 1.5 ± 1.0 admissions) in the year following surgery. Among beneficiaries who were alive and dead at 1 year, 18.5% and 30.1% of time was spent away from home, respectively. Beneficiaries who were initially discharged to a facility following surgery and died within 1 year spent 44.4% of their final year away from home. CONCLUSION: Time spent away from home in the hospital and/or nursing home in the year following high-risk cancer surgery is substantial among Medicare beneficiaries. This information is crucial in counseling patients on postoperative expectations and may additionally influence preoperative decision making. J Am Geriatr Soc 68:505–510, 2020.&quot;,&quot;publisher&quot;:&quot;Blackwell Publishing Inc.&quot;,&quot;issue&quot;:&quot;3&quot;,&quot;volume&quot;:&quot;68&quot;},&quot;isTemporary&quot;:false}],&quot;citationTag&quot;:&quot;MENDELEY_CITATION_v3_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&quot;},{&quot;citationID&quot;:&quot;MENDELEY_CITATION_be99249f-f304-49be-9071-b51ed3ba5a4f&quot;,&quot;properties&quot;:{&quot;noteIndex&quot;:0},&quot;isEdited&quot;:false,&quot;manualOverride&quot;:{&quot;isManuallyOverridden&quot;:false,&quot;citeprocText&quot;:&quot;&lt;sup&gt;12&lt;/sup&gt;&quot;,&quot;manualOverrideText&quot;:&quot;&quot;},&quot;citationItems&quot;:[{&quot;id&quot;:&quot;692e764e-e155-35a5-90de-229afbcb72af&quot;,&quot;itemData&quot;:{&quot;type&quot;:&quot;article-journal&quot;,&quot;id&quot;:&quot;692e764e-e155-35a5-90de-229afbcb72af&quot;,&quot;title&quot;:&quot;Treatment burden of medicare beneficiaries with stage i non-small-cell lung cancer&quot;,&quot;author&quot;:[{&quot;family&quot;:&quot;Presley&quot;,&quot;given&quot;:&quot;Carolyn J&quot;,&quot;parse-names&quot;:false,&quot;dropping-particle&quot;:&quot;&quot;,&quot;non-dropping-particle&quot;:&quot;&quot;},{&quot;family&quot;:&quot;Soulos&quot;,&quot;given&quot;:&quot;Pamela R&quot;,&quot;parse-names&quot;:false,&quot;dropping-particle&quot;:&quot;&quot;,&quot;non-dropping-particle&quot;:&quot;&quot;},{&quot;family&quot;:&quot;Tinetti&quot;,&quot;given&quot;:&quot;Mary&quot;,&quot;parse-names&quot;:false,&quot;dropping-particle&quot;:&quot;&quot;,&quot;non-dropping-particle&quot;:&quot;&quot;},{&quot;family&quot;:&quot;Montori&quot;,&quot;given&quot;:&quot;Victor M&quot;,&quot;parse-names&quot;:false,&quot;dropping-particle&quot;:&quot;&quot;,&quot;non-dropping-particle&quot;:&quot;&quot;},{&quot;family&quot;:&quot;Yu&quot;,&quot;given&quot;:&quot;James B&quot;,&quot;parse-names&quot;:false,&quot;dropping-particle&quot;:&quot;&quot;,&quot;non-dropping-particle&quot;:&quot;&quot;},{&quot;family&quot;:&quot;Gross&quot;,&quot;given&quot;:&quot;Cary P&quot;,&quot;parse-names&quot;:false,&quot;dropping-particle&quot;:&quot;&quot;,&quot;non-dropping-particle&quot;:&quot;&quot;}],&quot;container-title&quot;:&quot;Journal of Oncology Practice&quot;,&quot;container-title-short&quot;:&quot;J Oncol Pract&quot;,&quot;DOI&quot;:&quot;10.1200/JOP.2016.014100&quot;,&quot;ISSN&quot;:&quot;1935469X&quot;,&quot;PMID&quot;:&quot;27997301&quot;,&quot;issued&quot;:{&quot;date-parts&quot;:[[2017]]},&quot;page&quot;:&quot;e98–e107&quot;,&quot;abstract&quot;:&quot;Purpose To quantify the burden and complexity associated with treatment of Medicare beneficiaries with stage I non-small-cell lung cancer (NSCLC). Methods Using the SEER-Medicare database, we conducted a retrospective cohort study of Medicare beneficiaries who were diagnosed with stage I NSCLC from 2007 to 2011 and who were treated with surgery, stereotactic body radiation therapy, or external beam radiation therapy. Main outcome measures were the number of days a patient was in contact with the health care system (encounter days), the number of physicians involved in a patient's care, and the number of medications prescribed. Logistic regression modeled the association between patient characteristics, treatment type, and high treatment burden (defined as  66 encounter days). Results Onaverage, 7,955 patients spent 1 in 3 days interacting with the health care system during the initial 60 days of treatment. Patients experienced a median of 44 encounter days with high variability (interquartile range [IQR], 29 to 66) in the 12 months after treatment initiation. The median number of physicians involved was 20 (IQR, 14 to 28), and the mediannumberof medications prescribedwas12(IQR,8to17). Patientswhowere treated with surgery had high treatment burden (predicted probability, 21.6%; 95% CI, 20.2 to 23.1) compared with patients who were treated with stereotactic body radiation therapy (predicted probability, 16.1%; 95% CI, 12.9 to 19.3), whereas patients who were treated with external beam radiation therapy had the highest burden (predicted probability, 46.8%; 95% CI, 43.3 to 50.2). Conclusion The treatment burden imposed on patients with early-stage NSCLC was substantial in terms of the number of encounters, physicians involved, and medications prescribed. Because treatment burden varied markedly across patients and treatment types, future work should identify opportunities to understand and ameliorate this burden.&quot;,&quot;issue&quot;:&quot;2&quot;,&quot;volume&quot;:&quot;13&quot;},&quot;isTemporary&quot;:false}],&quot;citationTag&quot;:&quot;MENDELEY_CITATION_v3_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&quot;},{&quot;citationID&quot;:&quot;MENDELEY_CITATION_bf77cc64-cf47-443d-9899-cf22c3863b9c&quot;,&quot;properties&quot;:{&quot;noteIndex&quot;:0},&quot;isEdited&quot;:false,&quot;manualOverride&quot;:{&quot;isManuallyOverridden&quot;:false,&quot;citeprocText&quot;:&quot;&lt;sup&gt;12&lt;/sup&gt;&quot;,&quot;manualOverrideText&quot;:&quot;&quot;},&quot;citationItems&quot;:[{&quot;id&quot;:&quot;692e764e-e155-35a5-90de-229afbcb72af&quot;,&quot;itemData&quot;:{&quot;type&quot;:&quot;article-journal&quot;,&quot;id&quot;:&quot;692e764e-e155-35a5-90de-229afbcb72af&quot;,&quot;title&quot;:&quot;Treatment burden of medicare beneficiaries with stage i non-small-cell lung cancer&quot;,&quot;author&quot;:[{&quot;family&quot;:&quot;Presley&quot;,&quot;given&quot;:&quot;Carolyn J&quot;,&quot;parse-names&quot;:false,&quot;dropping-particle&quot;:&quot;&quot;,&quot;non-dropping-particle&quot;:&quot;&quot;},{&quot;family&quot;:&quot;Soulos&quot;,&quot;given&quot;:&quot;Pamela R&quot;,&quot;parse-names&quot;:false,&quot;dropping-particle&quot;:&quot;&quot;,&quot;non-dropping-particle&quot;:&quot;&quot;},{&quot;family&quot;:&quot;Tinetti&quot;,&quot;given&quot;:&quot;Mary&quot;,&quot;parse-names&quot;:false,&quot;dropping-particle&quot;:&quot;&quot;,&quot;non-dropping-particle&quot;:&quot;&quot;},{&quot;family&quot;:&quot;Montori&quot;,&quot;given&quot;:&quot;Victor M&quot;,&quot;parse-names&quot;:false,&quot;dropping-particle&quot;:&quot;&quot;,&quot;non-dropping-particle&quot;:&quot;&quot;},{&quot;family&quot;:&quot;Yu&quot;,&quot;given&quot;:&quot;James B&quot;,&quot;parse-names&quot;:false,&quot;dropping-particle&quot;:&quot;&quot;,&quot;non-dropping-particle&quot;:&quot;&quot;},{&quot;family&quot;:&quot;Gross&quot;,&quot;given&quot;:&quot;Cary P&quot;,&quot;parse-names&quot;:false,&quot;dropping-particle&quot;:&quot;&quot;,&quot;non-dropping-particle&quot;:&quot;&quot;}],&quot;container-title&quot;:&quot;Journal of Oncology Practice&quot;,&quot;container-title-short&quot;:&quot;J Oncol Pract&quot;,&quot;DOI&quot;:&quot;10.1200/JOP.2016.014100&quot;,&quot;ISSN&quot;:&quot;1935469X&quot;,&quot;PMID&quot;:&quot;27997301&quot;,&quot;issued&quot;:{&quot;date-parts&quot;:[[2017]]},&quot;page&quot;:&quot;e98–e107&quot;,&quot;abstract&quot;:&quot;Purpose To quantify the burden and complexity associated with treatment of Medicare beneficiaries with stage I non-small-cell lung cancer (NSCLC). Methods Using the SEER-Medicare database, we conducted a retrospective cohort study of Medicare beneficiaries who were diagnosed with stage I NSCLC from 2007 to 2011 and who were treated with surgery, stereotactic body radiation therapy, or external beam radiation therapy. Main outcome measures were the number of days a patient was in contact with the health care system (encounter days), the number of physicians involved in a patient's care, and the number of medications prescribed. Logistic regression modeled the association between patient characteristics, treatment type, and high treatment burden (defined as  66 encounter days). Results Onaverage, 7,955 patients spent 1 in 3 days interacting with the health care system during the initial 60 days of treatment. Patients experienced a median of 44 encounter days with high variability (interquartile range [IQR], 29 to 66) in the 12 months after treatment initiation. The median number of physicians involved was 20 (IQR, 14 to 28), and the mediannumberof medications prescribedwas12(IQR,8to17). Patientswhowere treated with surgery had high treatment burden (predicted probability, 21.6%; 95% CI, 20.2 to 23.1) compared with patients who were treated with stereotactic body radiation therapy (predicted probability, 16.1%; 95% CI, 12.9 to 19.3), whereas patients who were treated with external beam radiation therapy had the highest burden (predicted probability, 46.8%; 95% CI, 43.3 to 50.2). Conclusion The treatment burden imposed on patients with early-stage NSCLC was substantial in terms of the number of encounters, physicians involved, and medications prescribed. Because treatment burden varied markedly across patients and treatment types, future work should identify opportunities to understand and ameliorate this burden.&quot;,&quot;issue&quot;:&quot;2&quot;,&quot;volume&quot;:&quot;13&quot;},&quot;isTemporary&quot;:false}],&quot;citationTag&quot;:&quot;MENDELEY_CITATION_v3_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&quot;},{&quot;citationID&quot;:&quot;MENDELEY_CITATION_910ffc24-a3c0-40d0-b7e3-2219b65a2e9e&quot;,&quot;properties&quot;:{&quot;noteIndex&quot;:0},&quot;isEdited&quot;:false,&quot;manualOverride&quot;:{&quot;isManuallyOverridden&quot;:false,&quot;citeprocText&quot;:&quot;&lt;sup&gt;13,14&lt;/sup&gt;&quot;,&quot;manualOverrideText&quot;:&quot;&quot;},&quot;citationItems&quot;:[{&quot;id&quot;:&quot;807a8d4f-008e-32cd-a1bf-0524c5d16d66&quot;,&quot;itemData&quot;:{&quot;type&quot;:&quot;article-journal&quot;,&quot;id&quot;:&quot;807a8d4f-008e-32cd-a1bf-0524c5d16d66&quot;,&quot;title&quot;:&quot;Time spent in clinic for metastatic breast cancer patients receiving systemic therapy&quot;,&quot;author&quot;:[{&quot;family&quot;:&quot;Lin&quot;,&quot;given&quot;:&quot;M. S.&quot;,&quot;parse-names&quot;:false,&quot;dropping-particle&quot;:&quot;&quot;,&quot;non-dropping-particle&quot;:&quot;&quot;},{&quot;family&quot;:&quot;Sardesai&quot;,&quot;given&quot;:&quot;S. D.&quot;,&quot;parse-names&quot;:false,&quot;dropping-particle&quot;:&quot;&quot;,&quot;non-dropping-particle&quot;:&quot;&quot;},{&quot;family&quot;:&quot;Wang&quot;,&quot;given&quot;:&quot;S. Y.&quot;,&quot;parse-names&quot;:false,&quot;dropping-particle&quot;:&quot;&quot;,&quot;non-dropping-particle&quot;:&quot;&quot;},{&quot;family&quot;:&quot;Ballman&quot;,&quot;given&quot;:&quot;K.&quot;,&quot;parse-names&quot;:false,&quot;dropping-particle&quot;:&quot;V&quot;,&quot;non-dropping-particle&quot;:&quot;&quot;}],&quot;container-title&quot;:&quot;Journal of Clinical Oncology&quot;,&quot;issued&quot;:{&quot;date-parts&quot;:[[2020]]},&quot;page&quot;:&quot;e19055&quot;,&quot;issue&quot;:&quot;15_suppl&quot;,&quot;volume&quot;:&quot;38&quot;,&quot;container-title-short&quot;:&quot;&quot;},&quot;isTemporary&quot;:false},{&quot;id&quot;:&quot;49014c7d-506c-3585-8075-f3b86837683c&quot;,&quot;itemData&quot;:{&quot;type&quot;:&quot;article-journal&quot;,&quot;id&quot;:&quot;49014c7d-506c-3585-8075-f3b86837683c&quot;,&quot;title&quot;:&quot;The Use of Real-World Evidence for Oral Chemotherapies in Breast Cancer&quot;,&quot;author&quot;:[{&quot;family&quot;:&quot;Hanna, PharmD, BCPS, BCOP&quot;,&quot;given&quot;:&quot;Kirollos&quot;,&quot;parse-names&quot;:false,&quot;dropping-particle&quot;:&quot;&quot;,&quot;non-dropping-particle&quot;:&quot;&quot;},{&quot;family&quot;:&quot;Mayden, MSN, FNP, AOCNP&quot;,&quot;given&quot;:&quot;Kelley&quot;,&quot;parse-names&quot;:false,&quot;dropping-particle&quot;:&quot;&quot;,&quot;non-dropping-particle&quot;:&quot;&quot;}],&quot;container-title&quot;:&quot;Journal of the advanced practitioner in oncology&quot;,&quot;container-title-short&quot;:&quot;J Adv Pract Oncol&quot;,&quot;accessed&quot;:{&quot;date-parts&quot;:[[2023,3,13]]},&quot;DOI&quot;:&quot;10.6004/JADPRO.2021.12.2.12&quot;,&quot;ISSN&quot;:&quot;2150-0878&quot;,&quot;PMID&quot;:&quot;34113475&quot;,&quot;URL&quot;:&quot;https://pubmed.ncbi.nlm.nih.gov/34113475/&quot;,&quot;issued&quot;:{&quot;date-parts&quot;:[[2021,3,1]]},&quot;abstract&quot;:&quot;Almost all patients with breast cancer will eventually receive chemotherapy drugs, the majority of which are administered as IV infusions. Real-world evidence indicates that while current treatment paradigms vary considerably from guideline recommendations, there is an increasing trend towards a preference for oral oncolytics among patients with breast cancer. Recent data have shown that oral anticancer therapeutics represent 25% of the oncology drug market share and that there is a high demand for these agents. Therefore, oral formulations of chemotherapy agents such as paclitaxel are currently under development. Although oral oncolytics are associated with several advantages over conventional intravenous drugs, maintaining adherence to therapy is a major barrier in achieving improved outcomes with these agents. Advanced practitioners can facilitate improved adherence to oral oncolytics by integrating evidence into practice to support better education and communication strategies to address patient concerns, overcome key hurdles, and ultimately, empower patients.&quot;,&quot;publisher&quot;:&quot;J Adv Pract Oncol&quot;,&quot;issue&quot;:&quot;Suppl 2&quot;,&quot;volume&quot;:&quot;12&quot;},&quot;isTemporary&quot;:false}],&quot;citationTag&quot;:&quot;MENDELEY_CITATION_v3_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&quot;},{&quot;citationID&quot;:&quot;MENDELEY_CITATION_0ea056f0-2021-4855-bb3f-1608467a600c&quot;,&quot;properties&quot;:{&quot;noteIndex&quot;:0},&quot;isEdited&quot;:false,&quot;manualOverride&quot;:{&quot;isManuallyOverridden&quot;:false,&quot;citeprocText&quot;:&quot;&lt;sup&gt;15&lt;/sup&gt;&quot;,&quot;manualOverrideText&quot;:&quot;&quot;},&quot;citationItems&quot;:[{&quot;id&quot;:&quot;ae79422e-1447-3422-b37b-0cbdc9f962b1&quot;,&quot;itemData&quot;:{&quot;type&quot;:&quot;article-journal&quot;,&quot;id&quot;:&quot;ae79422e-1447-3422-b37b-0cbdc9f962b1&quot;,&quot;title&quot;:&quot;Estimation of time cost of anti-cancer drugs approved based on comparisons to best supportive care: A cross sectional analysis&quot;,&quot;author&quot;:[{&quot;family&quot;:&quot;Prasad&quot;,&quot;given&quot;:&quot;Vinay&quot;,&quot;parse-names&quot;:false,&quot;dropping-particle&quot;:&quot;&quot;,&quot;non-dropping-particle&quot;:&quot;&quot;},{&quot;family&quot;:&quot;Olivier&quot;,&quot;given&quot;:&quot;Timothée&quot;,&quot;parse-names&quot;:false,&quot;dropping-particle&quot;:&quot;&quot;,&quot;non-dropping-particle&quot;:&quot;&quot;},{&quot;family&quot;:&quot;Chen&quot;,&quot;given&quot;:&quot;Emerson Y.&quot;,&quot;parse-names&quot;:false,&quot;dropping-particle&quot;:&quot;&quot;,&quot;non-dropping-particle&quot;:&quot;&quot;},{&quot;family&quot;:&quot;Haslam&quot;,&quot;given&quot;:&quot;Alyson&quot;,&quot;parse-names&quot;:false,&quot;dropping-particle&quot;:&quot;&quot;,&quot;non-dropping-particle&quot;:&quot;&quot;}],&quot;container-title&quot;:&quot;Journal of Cancer Policy&quot;,&quot;container-title-short&quot;:&quot;J Cancer Policy&quot;,&quot;accessed&quot;:{&quot;date-parts&quot;:[[2023,4,2]]},&quot;DOI&quot;:&quot;10.1016/J.JCPO.2022.100363&quot;,&quot;ISSN&quot;:&quot;2213-5383&quot;,&quot;PMID&quot;:&quot;36162749&quot;,&quot;issued&quot;:{&quot;date-parts&quot;:[[2022,12,1]]},&quot;page&quot;:&quot;100363&quot;,&quot;abstract&quot;:&quot;Background: Financial costs from cancer treatment are increasingly recognized, but what has historically been underrecognized is the time cost of therapy. We sought to estimate the time burden of anti-cancer drugs approved based on comparisons to best supportive care (BSC), with the assumption that without this drug, a patient could have been treated with observation, home palliative care or hospice services, with minimal time seeking medical care. Methods: We searched all FDA approvals (2009 - March 2022) for randomized trials that used BSC as a treatment option for an anti-tumor drug in the metastatic setting and abstracted data on treatment related activities. We then estimated time spent on these activities using previously calculated times. Results: Of the 13 drugs tested against BSC, nine studies demonstrated an improvement in median OS (median 2.1 months). The median monthly time spent for patients in the intervention arm of BSC trials was 15.8 h. Conclusion: Time is a valuable resource for people who have cancer, but especially for patients who may have few to no remaining treatment options, and yet, we found that patients can spend up to 16 h in anti-cancer drug related activities per month. Policy summary: Because survival outcomes are variable for patients being treated in later lines of therapy, time resources are a valuable consideration in the treatment plan.&quot;,&quot;publisher&quot;:&quot;Elsevier&quot;,&quot;volume&quot;:&quot;34&quot;},&quot;isTemporary&quot;:false}],&quot;citationTag&quot;:&quot;MENDELEY_CITATION_v3_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&quot;},{&quot;citationID&quot;:&quot;MENDELEY_CITATION_3bdb501d-5c00-4c47-a2d6-362c92a5878b&quot;,&quot;properties&quot;:{&quot;noteIndex&quot;:0},&quot;isEdited&quot;:false,&quot;manualOverride&quot;:{&quot;isManuallyOverridden&quot;:false,&quot;citeprocText&quot;:&quot;&lt;sup&gt;16&lt;/sup&gt;&quot;,&quot;manualOverrideText&quot;:&quot;&quot;},&quot;citationItems&quot;:[{&quot;id&quot;:&quot;c9263a8e-4b20-36a0-b458-9ae6c6b15eac&quot;,&quot;itemData&quot;:{&quot;type&quot;:&quot;article-journal&quot;,&quot;id&quot;:&quot;c9263a8e-4b20-36a0-b458-9ae6c6b15eac&quot;,&quot;title&quot;:&quot;Tolerance to oral anticancer agent treatment in older adults with cancer: a secondary analysis of data from electronic health records and a pilot study of patient-reported outcomes&quot;,&quot;author&quot;:[{&quot;family&quot;:&quot;Jiang&quot;,&quot;given&quot;:&quot;Yun&quot;,&quot;parse-names&quot;:false,&quot;dropping-particle&quot;:&quot;&quot;,&quot;non-dropping-particle&quot;:&quot;&quot;},{&quot;family&quot;:&quot;Mason&quot;,&quot;given&quot;:&quot;Madilyn&quot;,&quot;parse-names&quot;:false,&quot;dropping-particle&quot;:&quot;&quot;,&quot;non-dropping-particle&quot;:&quot;&quot;},{&quot;family&quot;:&quot;Cho&quot;,&quot;given&quot;:&quot;Youmin&quot;,&quot;parse-names&quot;:false,&quot;dropping-particle&quot;:&quot;&quot;,&quot;non-dropping-particle&quot;:&quot;&quot;},{&quot;family&quot;:&quot;Chittiprolu&quot;,&quot;given&quot;:&quot;Ankita&quot;,&quot;parse-names&quot;:false,&quot;dropping-particle&quot;:&quot;&quot;,&quot;non-dropping-particle&quot;:&quot;&quot;},{&quot;family&quot;:&quot;Zhang&quot;,&quot;given&quot;:&quot;Xingyu&quot;,&quot;parse-names&quot;:false,&quot;dropping-particle&quot;:&quot;&quot;,&quot;non-dropping-particle&quot;:&quot;&quot;},{&quot;family&quot;:&quot;Harden&quot;,&quot;given&quot;:&quot;Karen&quot;,&quot;parse-names&quot;:false,&quot;dropping-particle&quot;:&quot;&quot;,&quot;non-dropping-particle&quot;:&quot;&quot;},{&quot;family&quot;:&quot;Gong&quot;,&quot;given&quot;:&quot;Yang&quot;,&quot;parse-names&quot;:false,&quot;dropping-particle&quot;:&quot;&quot;,&quot;non-dropping-particle&quot;:&quot;&quot;},{&quot;family&quot;:&quot;Harris&quot;,&quot;given&quot;:&quot;Marcelline R.&quot;,&quot;parse-names&quot;:false,&quot;dropping-particle&quot;:&quot;&quot;,&quot;non-dropping-particle&quot;:&quot;&quot;},{&quot;family&quot;:&quot;Barton&quot;,&quot;given&quot;:&quot;Debra L.&quot;,&quot;parse-names&quot;:false,&quot;dropping-particle&quot;:&quot;&quot;,&quot;non-dropping-particle&quot;:&quot;&quot;}],&quot;container-title&quot;:&quot;BMC Cancer&quot;,&quot;container-title-short&quot;:&quot;BMC Cancer&quot;,&quot;accessed&quot;:{&quot;date-parts&quot;:[[2023,4,1]]},&quot;DOI&quot;:&quot;10.1186/S12885-022-10026-3/TABLES/4&quot;,&quot;ISSN&quot;:&quot;14712407&quot;,&quot;PMID&quot;:&quot;36057578&quot;,&quot;URL&quot;:&quot;https://bmccancer.biomedcentral.com/articles/10.1186/s12885-022-10026-3&quot;,&quot;issued&quot;:{&quot;date-parts&quot;:[[2022,12,1]]},&quot;page&quot;:&quot;1-14&quot;,&quot;abstract&quot;:&quot;Background: More than 60% of cancer cases occur in older adults, and many are treated with oral anticancer agents. Yet, the treatment tolerability in older adults has not been fully understood due to their underrepresentation in oncology clinical trials, creating challenges for treatment decision-making and symptom management. The objective of this study was to investigate the tolerance of capecitabine, an example of oral chemotherapy, among older adults with cancer and explore factors associated with capecitabine-related side effects and treatment changes, to enhance supportive care. Methods: A secondary analysis used combined data from electronic health records and a pilot study of patient-reported outcomes, with a total of 97 adult patients taking capecitabine during 2016–2017, including older adult patients aged 65 years or older (n = 43). The data extracted included patient socio-demographics, capecitabine information, side effects, and capecitabine treatment changes (dose reductions and dose interruptions). Bivariate correlations, negative binomial regression, and multiple linear regression were conducted for data analysis. Results: Older adults were more likely to experience fatigue (86% vs. 51%, p =.001) and experienced more severe fatigue (β = 0.44, p = 0.03) and hand-foot syndrome (HFS) (β = 1.15, p = 0.004) than younger adults. The severity of fatigue and HFS were associated with the number of outpatient medications (β = 0.06, p = 0.006) and the duration of treatment (β = 0.50, p = 0.009), respectively. Correlations among side effects presented different patterns between younger and older adults. Although more older adults experienced dose reductions (21% vs. 13%) and dose interruptions (33% vs. 28%) than younger adults, the differences were not statistically different. Female sex, breast cancer diagnosis, capecitabine monotherapy, and severe HFS were found to be associated with dose reductions (p-values &lt; 0.05). Conclusions: Older adults were less likely to tolerate capecitabine treatment and had different co-occurring side effects compared to younger adults. While dose reductions are common among older adults, age 65 years or older may not be an independent factor of treatment changes. Other socio-demographic and clinical factors may be more likely to be associated. Future studies can be conducted to further explore older adults’ tolerance to a variety of oral anticancer agents to generate more evidence to support optimal treatment decision-making and symptom management.&quot;,&quot;publisher&quot;:&quot;BioMed Central Ltd&quot;,&quot;issue&quot;:&quot;1&quot;,&quot;volume&quot;:&quot;22&quot;},&quot;isTemporary&quot;:false}],&quot;citationTag&quot;:&quot;MENDELEY_CITATION_v3_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&quot;},{&quot;citationID&quot;:&quot;MENDELEY_CITATION_32d679db-83d9-4a51-9bf0-610af37059c0&quot;,&quot;properties&quot;:{&quot;noteIndex&quot;:0},&quot;isEdited&quot;:false,&quot;manualOverride&quot;:{&quot;isManuallyOverridden&quot;:false,&quot;citeprocText&quot;:&quot;&lt;sup&gt;17,18&lt;/sup&gt;&quot;,&quot;manualOverrideText&quot;:&quot;&quot;},&quot;citationItems&quot;:[{&quot;id&quot;:&quot;e26c9e2b-e6c7-3aff-bdce-6bf70a8a1df9&quot;,&quot;itemData&quot;:{&quot;type&quot;:&quot;article-journal&quot;,&quot;id&quot;:&quot;e26c9e2b-e6c7-3aff-bdce-6bf70a8a1df9&quot;,&quot;title&quot;:&quot;Treatment of Older Adults with Cancer — Addressing Gaps in Evidence&quot;,&quot;author&quot;:[{&quot;family&quot;:&quot;Bertagnolli&quot;,&quot;given&quot;:&quot;Monica M.&quot;,&quot;parse-names&quot;:false,&quot;dropping-particle&quot;:&quot;&quot;,&quot;non-dropping-particle&quot;:&quot;&quot;},{&quot;family&quot;:&quot;Singh&quot;,&quot;given&quot;:&quot;Harpreet&quot;,&quot;parse-names&quot;:false,&quot;dropping-particle&quot;:&quot;&quot;,&quot;non-dropping-particle&quot;:&quot;&quot;}],&quot;container-title&quot;:&quot;New England Journal of Medicine&quot;,&quot;accessed&quot;:{&quot;date-parts&quot;:[[2023,4,1]]},&quot;DOI&quot;:&quot;10.1056/NEJMP2106089/SUPPL_FILE/NEJMP2106089_DISCLOSURES.PDF&quot;,&quot;ISSN&quot;:&quot;0028-4793&quot;,&quot;PMID&quot;:&quot;34506087&quot;,&quot;URL&quot;:&quot;https://www-nejm-org.yale.idm.oclc.org/doi/full/10.1056/NEJMp2106089&quot;,&quot;issued&quot;:{&quot;date-parts&quot;:[[2021,9,16]]},&quot;page&quot;:&quot;1062-1065&quot;,&quot;abstract&quot;:&quot;Treatment of Older Adults with Cancer Older adults with cancer are underrepresented in clinical research. Because of insufficient data, such patients and their physicians must make life-altering tr...&quot;,&quot;publisher&quot;:&quot;Massachusetts Medical Society&quot;,&quot;issue&quot;:&quot;12&quot;,&quot;volume&quot;:&quot;385&quot;,&quot;container-title-short&quot;:&quot;&quot;},&quot;isTemporary&quot;:false},{&quot;id&quot;:&quot;2d91cacf-5fdf-347c-ac8a-80c84e6609a6&quot;,&quot;itemData&quot;:{&quot;type&quot;:&quot;article-journal&quot;,&quot;id&quot;:&quot;2d91cacf-5fdf-347c-ac8a-80c84e6609a6&quot;,&quot;title&quot;:&quot;The effect of under-treatment of breast cancer in women 80 years of age and older&quot;,&quot;author&quot;:[{&quot;family&quot;:&quot;Leeuwen&quot;,&quot;given&quot;:&quot;Barbara L.&quot;,&quot;parse-names&quot;:false,&quot;dropping-particle&quot;:&quot;&quot;,&quot;non-dropping-particle&quot;:&quot;van&quot;},{&quot;family&quot;:&quot;Rosenkranz&quot;,&quot;given&quot;:&quot;K. M.&quot;,&quot;parse-names&quot;:false,&quot;dropping-particle&quot;:&quot;&quot;,&quot;non-dropping-particle&quot;:&quot;&quot;},{&quot;family&quot;:&quot;Lei Feng&quot;,&quot;given&quot;:&quot;L.&quot;,&quot;parse-names&quot;:false,&quot;dropping-particle&quot;:&quot;&quot;,&quot;non-dropping-particle&quot;:&quot;&quot;},{&quot;family&quot;:&quot;Bedrosian&quot;,&quot;given&quot;:&quot;I.&quot;,&quot;parse-names&quot;:false,&quot;dropping-particle&quot;:&quot;&quot;,&quot;non-dropping-particle&quot;:&quot;&quot;},{&quot;family&quot;:&quot;Hartmann&quot;,&quot;given&quot;:&quot;K.&quot;,&quot;parse-names&quot;:false,&quot;dropping-particle&quot;:&quot;&quot;,&quot;non-dropping-particle&quot;:&quot;&quot;},{&quot;family&quot;:&quot;Hunt&quot;,&quot;given&quot;:&quot;K. K.&quot;,&quot;parse-names&quot;:false,&quot;dropping-particle&quot;:&quot;&quot;,&quot;non-dropping-particle&quot;:&quot;&quot;},{&quot;family&quot;:&quot;Kuerer&quot;,&quot;given&quot;:&quot;H. M.&quot;,&quot;parse-names&quot;:false,&quot;dropping-particle&quot;:&quot;&quot;,&quot;non-dropping-particle&quot;:&quot;&quot;},{&quot;family&quot;:&quot;Ross&quot;,&quot;given&quot;:&quot;M.&quot;,&quot;parse-names&quot;:false,&quot;dropping-particle&quot;:&quot;&quot;,&quot;non-dropping-particle&quot;:&quot;&quot;},{&quot;family&quot;:&quot;Singletary&quot;,&quot;given&quot;:&quot;S. E.&quot;,&quot;parse-names&quot;:false,&quot;dropping-particle&quot;:&quot;&quot;,&quot;non-dropping-particle&quot;:&quot;&quot;},{&quot;family&quot;:&quot;Babiera&quot;,&quot;given&quot;:&quot;Gildy&quot;,&quot;parse-names&quot;:false,&quot;dropping-particle&quot;:&quot;V.&quot;,&quot;non-dropping-particle&quot;:&quot;&quot;}],&quot;container-title&quot;:&quot;Critical Reviews in Oncology/Hematology&quot;,&quot;container-title-short&quot;:&quot;Crit Rev Oncol Hematol&quot;,&quot;accessed&quot;:{&quot;date-parts&quot;:[[2023,4,1]]},&quot;DOI&quot;:&quot;10.1016/J.CRITREVONC.2010.05.010&quot;,&quot;ISSN&quot;:&quot;1040-8428&quot;,&quot;PMID&quot;:&quot;20655242&quot;,&quot;issued&quot;:{&quot;date-parts&quot;:[[2011,9,1]]},&quot;page&quot;:&quot;315-320&quot;,&quot;abstract&quot;:&quot;Background: Several authors have demonstrated a trend toward the under-treatment of elderly and very elderly women with breast cancer. This study was undertaken to determine the impact of under-treatment of breast cancer in women age 80 and older. Methods: A retrospective chart review of all patients 80 years and older with a newly diagnosed breast cancer at the MD Anderson Cancer Center, Houston, TX, between September 1, 1989 and September 1, 2004 was performed. Data extracted from charts included patient demographics, comorbidity, treatments recommended, treatments received, complications of therapy, disease recurrence and disease related death. Treatments undertaken were analyzed in the context of accepted therapy at the time of diagnosis. Results: Two hundred twelve patients were identified. The median age was 83.5 years (range 80. -97). Overall survival in the entire cohort was 7.28 years with a median follow up of 4 years for patients still alive at the end of the study period. Fifty seven percent of patients were under-treated according to institutional and national guidelines. Women who underwent hormonal therapy only demonstrated decreased disease specific survival (P&lt;0.001 respectively) compared with patients who received multi-modality therapy. Women who underwent partial mastectomy without radiation treatment experienced a significant increase in local regional recurrence (P=0.045). There was an association of increased disease specific survival in patients who had surgical lymph node evaluation compared to those who did not (P=0.04). Conclusions: Outcomes are compromised in very elderly women with breast cancer in whom less than complete combined modality treatment is undertaken. With the previously demonstrated safety of radiation therapy, hormonal therapy and surgery in the very elderly population, multi-modality therapy should not be routinely withheld in patients in this age category. © 2010.&quot;,&quot;publisher&quot;:&quot;Elsevier&quot;,&quot;issue&quot;:&quot;3&quot;,&quot;volume&quot;:&quot;79&quot;},&quot;isTemporary&quot;:false}],&quot;citationTag&quot;:&quot;MENDELEY_CITATION_v3_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&quot;},{&quot;citationID&quot;:&quot;MENDELEY_CITATION_17125767-cb61-4207-a329-f67407100af0&quot;,&quot;properties&quot;:{&quot;noteIndex&quot;:0},&quot;isEdited&quot;:false,&quot;manualOverride&quot;:{&quot;isManuallyOverridden&quot;:false,&quot;citeprocText&quot;:&quot;&lt;sup&gt;19,20&lt;/sup&gt;&quot;,&quot;manualOverrideText&quot;:&quot;&quot;},&quot;citationItems&quot;:[{&quot;id&quot;:&quot;2cedbee5-e3fe-3a62-bfcc-0465d59e8934&quot;,&quot;itemData&quot;:{&quot;type&quot;:&quot;article-journal&quot;,&quot;id&quot;:&quot;2cedbee5-e3fe-3a62-bfcc-0465d59e8934&quot;,&quot;title&quot;:&quot;Data Driven Approach to Burden of Treatment Measurement: A Study of Patients with Breast Cancer&quot;,&quot;author&quot;:[{&quot;family&quot;:&quot;Cheng&quot;,&quot;given&quot;:&quot;Alex C.&quot;,&quot;parse-names&quot;:false,&quot;dropping-particle&quot;:&quot;&quot;,&quot;non-dropping-particle&quot;:&quot;&quot;},{&quot;family&quot;:&quot;Levy&quot;,&quot;given&quot;:&quot;Mia A.&quot;,&quot;parse-names&quot;:false,&quot;dropping-particle&quot;:&quot;&quot;,&quot;non-dropping-particle&quot;:&quot;&quot;}],&quot;container-title&quot;:&quot;AMIA Annual Symposium Proceedings&quot;,&quot;accessed&quot;:{&quot;date-parts&quot;:[[2023,4,2]]},&quot;ISSN&quot;:&quot;1942597X&quot;,&quot;PMID&quot;:&quot;28269934&quot;,&quot;URL&quot;:&quot;/pmc/articles/PMC5333259/&quot;,&quot;issued&quot;:{&quot;date-parts&quot;:[[2016]]},&quot;page&quot;:&quot;1756&quot;,&quot;abstract&quot;:&quot;Chronic disease affects patient quality of life through symptoms of the disease and the work of receiving treatment. While the effects of illness are well investigated, the burden of treatment is not commonly studied or monitored. We developed a method to quantify one dimension of the burden of treatment based on patient encounters with the healthcare system. We applied this method to a population of stage I-III breast cancer patients. As hypothesized and observed, stage IIIpatients had more appointments, spent more time in clinic, and spent more time admitted to the hospital in the first 18 months after diagnosis compared to stage I and II patients. Future work will evaluate the reproducibility and generalizability of this method for quantifying burden of treatment across other clinical settings and chronic diseases. This approach could enable identification of high-risk groups that could benefit from interventions to decrease patient work and improve outcomes.&quot;,&quot;publisher&quot;:&quot;American Medical Informatics Association&quot;,&quot;volume&quot;:&quot;2016&quot;,&quot;container-title-short&quot;:&quot;&quot;},&quot;isTemporary&quot;:false},{&quot;id&quot;:&quot;10a916cf-3c4d-3ce0-bce2-fa4206018a3b&quot;,&quot;itemData&quot;:{&quot;type&quot;:&quot;article-journal&quot;,&quot;id&quot;:&quot;10a916cf-3c4d-3ce0-bce2-fa4206018a3b&quot;,&quot;title&quot;:&quot;Measures of Treatment Workload for Patients With Breast Cancer&quot;,&quot;author&quot;:[{&quot;family&quot;:&quot;Cheng&quot;,&quot;given&quot;:&quot;Alex C.&quot;,&quot;parse-names&quot;:false,&quot;dropping-particle&quot;:&quot;&quot;,&quot;non-dropping-particle&quot;:&quot;&quot;},{&quot;family&quot;:&quot;Levy&quot;,&quot;given&quot;:&quot;Mia A.&quot;,&quot;parse-names&quot;:false,&quot;dropping-particle&quot;:&quot;&quot;,&quot;non-dropping-particle&quot;:&quot;&quot;}],&quot;container-title&quot;:&quot;JCO Clinical Cancer Informatics&quot;,&quot;container-title-short&quot;:&quot;JCO Clin Cancer Inform&quot;,&quot;accessed&quot;:{&quot;date-parts&quot;:[[2023,4,2]]},&quot;DOI&quot;:&quot;10.1200/cci.18.00122&quot;,&quot;ISSN&quot;:&quot;24734276&quot;,&quot;PMID&quot;:&quot;30715929&quot;,&quot;issued&quot;:{&quot;date-parts&quot;:[[2019,12,4]]},&quot;page&quot;:&quot;1-10&quot;,&quot;abstract&quot;:&quot;PURPOSE: Patients with breast cancer spend a large amount of time and effort receiving treatment. When the number of health care tasks exceeds a patient's ability to manage that workload, they could become overburdened, leading to decreased plan adherence. We used electronic health record data to retrospectively assess dimensions of treatment workload related to outpatient encounters, commuting, and admissions. METHODS: Using tumor registry and scheduling data, we evaluated the sensitivity of treatment workload measures to detect expected differences in breast cancer treatment burden by stage. We evaluated the impact of the on-body pegfilgrastim injector on the treatment workload of patients undergoing a specific chemotherapy protocol. RESULTS: As hypothesized, patients with higher stage cancer experienced higher treatment workload. Over the first 18 months after diagnosis, patients with stage III disease spent a median of 81 hours (interquartile range [IQR], 39 to 113 hours) in outpatient clinics, commuted 61 hours (IQR, 32 to 86 hours), and spent $1,432 (IQR, $690 to $2,552) in commuting costs. In contrast, patients with stage I disease spent a median of 29 hours (IQR, 18 to 46 hours in clinic), commuted for 34 hours (IQR, 19 to 55 hours), and spent $834 (IQR, $389 to $1,649) in commuting costs. In addition, we substantiated claims that the pegfilgrastim on-body injector was effective in reducing some dimensions of workload such as unique appointment days. CONCLUSION: Treatment workload measures capture an important dimension in the experience of patients with cancer. Patients and health care organizations can use workload measures to plan and allocate resources, leading to higher quality and better coordinated care.&quot;,&quot;publisher&quot;:&quot;American Society of Clinical Oncology (ASCO)&quot;,&quot;issue&quot;:&quot;3&quot;},&quot;isTemporary&quot;:false}],&quot;citationTag&quot;:&quot;MENDELEY_CITATION_v3_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&quot;},{&quot;citationID&quot;:&quot;MENDELEY_CITATION_4f0dbda0-a62b-48d8-8e02-6ddfad602759&quot;,&quot;properties&quot;:{&quot;noteIndex&quot;:0},&quot;isEdited&quot;:false,&quot;manualOverride&quot;:{&quot;isManuallyOverridden&quot;:false,&quot;citeprocText&quot;:&quot;&lt;sup&gt;21&lt;/sup&gt;&quot;,&quot;manualOverrideText&quot;:&quot;&quot;},&quot;citationItems&quot;:[{&quot;id&quot;:&quot;72e6df8a-3d5d-3cc9-8418-20dba0dbba04&quot;,&quot;itemData&quot;:{&quot;type&quot;:&quot;article-journal&quot;,&quot;id&quot;:&quot;72e6df8a-3d5d-3cc9-8418-20dba0dbba04&quot;,&quot;title&quot;:&quot;Patient time costs associated with cancer care&quot;,&quot;author&quot;:[{&quot;family&quot;:&quot;Yabroff&quot;,&quot;given&quot;:&quot;K Robin&quot;,&quot;parse-names&quot;:false,&quot;dropping-particle&quot;:&quot;&quot;,&quot;non-dropping-particle&quot;:&quot;&quot;},{&quot;family&quot;:&quot;Davis&quot;,&quot;given&quot;:&quot;William W&quot;,&quot;parse-names&quot;:false,&quot;dropping-particle&quot;:&quot;&quot;,&quot;non-dropping-particle&quot;:&quot;&quot;},{&quot;family&quot;:&quot;Lamont&quot;,&quot;given&quot;:&quot;Elizabeth B&quot;,&quot;parse-names&quot;:false,&quot;dropping-particle&quot;:&quot;&quot;,&quot;non-dropping-particle&quot;:&quot;&quot;},{&quot;family&quot;:&quot;Fahey&quot;,&quot;given&quot;:&quot;Angela&quot;,&quot;parse-names&quot;:false,&quot;dropping-particle&quot;:&quot;&quot;,&quot;non-dropping-particle&quot;:&quot;&quot;},{&quot;family&quot;:&quot;Topor&quot;,&quot;given&quot;:&quot;Marie&quot;,&quot;parse-names&quot;:false,&quot;dropping-particle&quot;:&quot;&quot;,&quot;non-dropping-particle&quot;:&quot;&quot;},{&quot;family&quot;:&quot;Brown&quot;,&quot;given&quot;:&quot;Martin L&quot;,&quot;parse-names&quot;:false,&quot;dropping-particle&quot;:&quot;&quot;,&quot;non-dropping-particle&quot;:&quot;&quot;},{&quot;family&quot;:&quot;Warren&quot;,&quot;given&quot;:&quot;Joan L&quot;,&quot;parse-names&quot;:false,&quot;dropping-particle&quot;:&quot;&quot;,&quot;non-dropping-particle&quot;:&quot;&quot;}],&quot;container-title&quot;:&quot;Journal of the National Cancer Institute&quot;,&quot;container-title-short&quot;:&quot;J Natl Cancer Inst&quot;,&quot;DOI&quot;:&quot;10.1093/jnci/djk001&quot;,&quot;ISSN&quot;:&quot;00278874&quot;,&quot;PMID&quot;:&quot;17202109&quot;,&quot;issued&quot;:{&quot;date-parts&quot;:[[2007]]},&quot;page&quot;:&quot;14-23&quot;,&quot;abstract&quot;:&quot;Background Although costs of medical care for cancer have been investigated extensively, patient time costs associated with cancer care have rarely been estimated systematically. In this study, we estimated patient time costs associated with cancer care in patients aged 65 years and older in the United States. Methods We identified 763527 patients with breast, colorectal, corpus uteri, gastric, head and neck, lung, melanoma of the skin, ovary, prostate, renal, and urinary bladder cancers from linked Surveillance, Epidemiology, and End Results-Medicare files and 1 145159 noncancer control subjects among Medicare enrollees who were matched by sex, age-group, and geographic location. Frequency of service use was calculated by category for patients and control subjects using Medicare claims data from 1995 to 2001. For each service category, time estimates were combined with service frequency and an hourly value of patient time. Net patient time costs were summed in the initial, continuing, and last-year-of-life phases of care for each tumor site. Net time cost estimates for the initial phase of care were applied to national estimates of numbers of new cancers in 2005 to obtain national time costs for the initial phase of care. Results Net patient time costs during the initial phase of care ranged from 271 (95% confidence interval [CI] = 213 to 329) and 842 (95% CI = 806 to 878) for melanoma of the skin and prostate cancer, respectively, to 5348 (95% CI = 4978 to 5718) and 5605 (95% CI = 5273 to 5937) for gastric and ovarian cancers, respectively. Net patient time costs for care during the last year of life ranged from 1509 (95% CI = 1343 to 1675) for melanoma of the skin to 7799 (95% CI = 7433 to 8165), 7435 (95% CI = 7207 to 7663), and 7388 (95% CI = 7018 to 7758) for gastric, lung, and ovarian cancers, respectively. In 2005, patient time costs for the initial phase of care were 2.3 billion. Conclusions Patient time costs for cancer care in the United States are substantial and vary by tumor site and phase of care, likely reflecting differences in stage at diagnosis and availability and intensity of treatment.&quot;,&quot;issue&quot;:&quot;1&quot;,&quot;volume&quot;:&quot;99&quot;},&quot;isTemporary&quot;:false}],&quot;citationTag&quot;:&quot;MENDELEY_CITATION_v3_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&quot;},{&quot;citationID&quot;:&quot;MENDELEY_CITATION_3a249010-3b40-43be-8523-cb863487f908&quot;,&quot;properties&quot;:{&quot;noteIndex&quot;:0},&quot;isEdited&quot;:false,&quot;manualOverride&quot;:{&quot;isManuallyOverridden&quot;:false,&quot;citeprocText&quot;:&quot;&lt;sup&gt;15&lt;/sup&gt;&quot;,&quot;manualOverrideText&quot;:&quot;&quot;},&quot;citationItems&quot;:[{&quot;id&quot;:&quot;ae79422e-1447-3422-b37b-0cbdc9f962b1&quot;,&quot;itemData&quot;:{&quot;type&quot;:&quot;article-journal&quot;,&quot;id&quot;:&quot;ae79422e-1447-3422-b37b-0cbdc9f962b1&quot;,&quot;title&quot;:&quot;Estimation of time cost of anti-cancer drugs approved based on comparisons to best supportive care: A cross sectional analysis&quot;,&quot;author&quot;:[{&quot;family&quot;:&quot;Prasad&quot;,&quot;given&quot;:&quot;Vinay&quot;,&quot;parse-names&quot;:false,&quot;dropping-particle&quot;:&quot;&quot;,&quot;non-dropping-particle&quot;:&quot;&quot;},{&quot;family&quot;:&quot;Olivier&quot;,&quot;given&quot;:&quot;Timothée&quot;,&quot;parse-names&quot;:false,&quot;dropping-particle&quot;:&quot;&quot;,&quot;non-dropping-particle&quot;:&quot;&quot;},{&quot;family&quot;:&quot;Chen&quot;,&quot;given&quot;:&quot;Emerson Y.&quot;,&quot;parse-names&quot;:false,&quot;dropping-particle&quot;:&quot;&quot;,&quot;non-dropping-particle&quot;:&quot;&quot;},{&quot;family&quot;:&quot;Haslam&quot;,&quot;given&quot;:&quot;Alyson&quot;,&quot;parse-names&quot;:false,&quot;dropping-particle&quot;:&quot;&quot;,&quot;non-dropping-particle&quot;:&quot;&quot;}],&quot;container-title&quot;:&quot;Journal of Cancer Policy&quot;,&quot;container-title-short&quot;:&quot;J Cancer Policy&quot;,&quot;accessed&quot;:{&quot;date-parts&quot;:[[2023,4,2]]},&quot;DOI&quot;:&quot;10.1016/J.JCPO.2022.100363&quot;,&quot;ISSN&quot;:&quot;2213-5383&quot;,&quot;PMID&quot;:&quot;36162749&quot;,&quot;issued&quot;:{&quot;date-parts&quot;:[[2022,12,1]]},&quot;page&quot;:&quot;100363&quot;,&quot;abstract&quot;:&quot;Background: Financial costs from cancer treatment are increasingly recognized, but what has historically been underrecognized is the time cost of therapy. We sought to estimate the time burden of anti-cancer drugs approved based on comparisons to best supportive care (BSC), with the assumption that without this drug, a patient could have been treated with observation, home palliative care or hospice services, with minimal time seeking medical care. Methods: We searched all FDA approvals (2009 - March 2022) for randomized trials that used BSC as a treatment option for an anti-tumor drug in the metastatic setting and abstracted data on treatment related activities. We then estimated time spent on these activities using previously calculated times. Results: Of the 13 drugs tested against BSC, nine studies demonstrated an improvement in median OS (median 2.1 months). The median monthly time spent for patients in the intervention arm of BSC trials was 15.8 h. Conclusion: Time is a valuable resource for people who have cancer, but especially for patients who may have few to no remaining treatment options, and yet, we found that patients can spend up to 16 h in anti-cancer drug related activities per month. Policy summary: Because survival outcomes are variable for patients being treated in later lines of therapy, time resources are a valuable consideration in the treatment plan.&quot;,&quot;publisher&quot;:&quot;Elsevier&quot;,&quot;volume&quot;:&quot;34&quot;},&quot;isTemporary&quot;:false}],&quot;citationTag&quot;:&quot;MENDELEY_CITATION_v3_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&quot;},{&quot;citationID&quot;:&quot;MENDELEY_CITATION_40d47f01-db94-4ce0-91ce-925c496483c4&quot;,&quot;properties&quot;:{&quot;noteIndex&quot;:0},&quot;isEdited&quot;:false,&quot;manualOverride&quot;:{&quot;isManuallyOverridden&quot;:false,&quot;citeprocText&quot;:&quot;&lt;sup&gt;22,23&lt;/sup&gt;&quot;,&quot;manualOverrideText&quot;:&quot;&quot;},&quot;citationItems&quot;:[{&quot;id&quot;:&quot;fe72c9f2-deb8-32e6-af25-1423089c439a&quot;,&quot;itemData&quot;:{&quot;type&quot;:&quot;article-journal&quot;,&quot;id&quot;:&quot;fe72c9f2-deb8-32e6-af25-1423089c439a&quot;,&quot;title&quot;:&quot;Health care-related time costs in patients with metastatic breast cancer&quot;,&quot;author&quot;:[{&quot;family&quot;:&quot;Rocque&quot;,&quot;given&quot;:&quot;Gabrielle B&quot;,&quot;parse-names&quot;:false,&quot;dropping-particle&quot;:&quot;&quot;,&quot;non-dropping-particle&quot;:&quot;&quot;},{&quot;family&quot;:&quot;Williams&quot;,&quot;given&quot;:&quot;Courtney P&quot;,&quot;parse-names&quot;:false,&quot;dropping-particle&quot;:&quot;&quot;,&quot;non-dropping-particle&quot;:&quot;&quot;},{&quot;family&quot;:&quot;Ingram&quot;,&quot;given&quot;:&quot;Stacey A&quot;,&quot;parse-names&quot;:false,&quot;dropping-particle&quot;:&quot;&quot;,&quot;non-dropping-particle&quot;:&quot;&quot;},{&quot;family&quot;:&quot;Azuero&quot;,&quot;given&quot;:&quot;Andres&quot;,&quot;parse-names&quot;:false,&quot;dropping-particle&quot;:&quot;&quot;,&quot;non-dropping-particle&quot;:&quot;&quot;},{&quot;family&quot;:&quot;Mennemeyer&quot;,&quot;given&quot;:&quot;Stephen T&quot;,&quot;parse-names&quot;:false,&quot;dropping-particle&quot;:&quot;&quot;,&quot;non-dropping-particle&quot;:&quot;&quot;},{&quot;family&quot;:&quot;Young Pierce&quot;,&quot;given&quot;:&quot;Jennifer&quot;,&quot;parse-names&quot;:false,&quot;dropping-particle&quot;:&quot;&quot;,&quot;non-dropping-particle&quot;:&quot;&quot;},{&quot;family&quot;:&quot;Nipp&quot;,&quot;given&quot;:&quot;Ryan D&quot;,&quot;parse-names&quot;:false,&quot;dropping-particle&quot;:&quot;&quot;,&quot;non-dropping-particle&quot;:&quot;&quot;},{&quot;family&quot;:&quot;Reeder-Hayes&quot;,&quot;given&quot;:&quot;Katherine E&quot;,&quot;parse-names&quot;:false,&quot;dropping-particle&quot;:&quot;&quot;,&quot;non-dropping-particle&quot;:&quot;&quot;},{&quot;family&quot;:&quot;Kenzik&quot;,&quot;given&quot;:&quot;Kelly M&quot;,&quot;parse-names&quot;:false,&quot;dropping-particle&quot;:&quot;&quot;,&quot;non-dropping-particle&quot;:&quot;&quot;}],&quot;container-title&quot;:&quot;Cancer Medicine&quot;,&quot;container-title-short&quot;:&quot;Cancer Med&quot;,&quot;DOI&quot;:&quot;10.1002/cam4.3461&quot;,&quot;ISSN&quot;:&quot;20457634&quot;,&quot;PMID&quot;:&quot;32955793&quot;,&quot;issued&quot;:{&quot;date-parts&quot;:[[2020]]},&quot;page&quot;:&quot;8423-8431&quot;,&quot;abstract&quot;:&quot;Background: Burdens related to time spent receiving cancer care may be substantial for patients with incurable, life-limiting cancers such as metastatic breast cancer (MBC). Estimates of time spent on health care are needed to inform treatment-related decision-making. Methods: Estimates of time spent receiving cancer-related health care in the initial 3 months of treatment for patients with MBC were calculated using the following data sources: (a) direct observations from a time-in-motion quality improvement evaluation (process mapping); (b) cross-sectional patient surveys; and (c) administrative claims. Average ambulatory, inpatient, and total health care time were calculated for specific treatments which differed by antineoplastic type and administration method, including fulvestrant (injection, hormonal), letrozole (oral, hormonal), capecitabine (oral, chemotherapy), and paclitaxel (infusion, chemotherapy). Results: Average total time spent on health care ranged from 7% to 10% of all days included within the initial 3 months of treatment, depending on treatment. The greatest time contributions were time spent traveling for care and on inpatient services. Time with providers contributed modestly to total care time. Patients receiving infusion/injection treatments, compared with those receiving oral therapy, spent more time in ambulatory care. Health care time was higher for patients receiving chemotherapeutic agents compared to those receiving hormonal agents. Conclusion: Time spent traveling and receiving inpatient care represented a substantial burden to patients with MBC, with variation in time by treatment type and administration method.&quot;,&quot;issue&quot;:&quot;22&quot;,&quot;volume&quot;:&quot;9&quot;},&quot;isTemporary&quot;:false},{&quot;id&quot;:&quot;29b59956-8e29-3094-9806-ba6d9f8ef7d8&quot;,&quot;itemData&quot;:{&quot;type&quot;:&quot;article-journal&quot;,&quot;id&quot;:&quot;29b59956-8e29-3094-9806-ba6d9f8ef7d8&quot;,&quot;title&quot;:&quot;What Is Important When Making Treatment Decisions in Metastatic Breast Cancer? A Qualitative Analysis of Decision-Making in Patients and Oncologists&quot;,&quot;author&quot;:[{&quot;family&quot;:&quot;Rocque&quot;,&quot;given&quot;:&quot;Gabrielle B&quot;,&quot;parse-names&quot;:false,&quot;dropping-particle&quot;:&quot;&quot;,&quot;non-dropping-particle&quot;:&quot;&quot;},{&quot;family&quot;:&quot;Rasool&quot;,&quot;given&quot;:&quot;Aysha&quot;,&quot;parse-names&quot;:false,&quot;dropping-particle&quot;:&quot;&quot;,&quot;non-dropping-particle&quot;:&quot;&quot;},{&quot;family&quot;:&quot;Williams&quot;,&quot;given&quot;:&quot;Beverly R&quot;,&quot;parse-names&quot;:false,&quot;dropping-particle&quot;:&quot;&quot;,&quot;non-dropping-particle&quot;:&quot;&quot;},{&quot;family&quot;:&quot;Wallace&quot;,&quot;given&quot;:&quot;Audrey S&quot;,&quot;parse-names&quot;:false,&quot;dropping-particle&quot;:&quot;&quot;,&quot;non-dropping-particle&quot;:&quot;&quot;},{&quot;family&quot;:&quot;Niranjan&quot;,&quot;given&quot;:&quot;Soumya J&quot;,&quot;parse-names&quot;:false,&quot;dropping-particle&quot;:&quot;&quot;,&quot;non-dropping-particle&quot;:&quot;&quot;},{&quot;family&quot;:&quot;Halilova&quot;,&quot;given&quot;:&quot;Karina I&quot;,&quot;parse-names&quot;:false,&quot;dropping-particle&quot;:&quot;&quot;,&quot;non-dropping-particle&quot;:&quot;&quot;},{&quot;family&quot;:&quot;Turkman&quot;,&quot;given&quot;:&quot;Yasemin E&quot;,&quot;parse-names&quot;:false,&quot;dropping-particle&quot;:&quot;&quot;,&quot;non-dropping-particle&quot;:&quot;&quot;},{&quot;family&quot;:&quot;Ingram&quot;,&quot;given&quot;:&quot;Stacey A&quot;,&quot;parse-names&quot;:false,&quot;dropping-particle&quot;:&quot;&quot;,&quot;non-dropping-particle&quot;:&quot;&quot;},{&quot;family&quot;:&quot;Williams&quot;,&quot;given&quot;:&quot;Courtney P&quot;,&quot;parse-names&quot;:false,&quot;dropping-particle&quot;:&quot;&quot;,&quot;non-dropping-particle&quot;:&quot;&quot;},{&quot;family&quot;:&quot;Forero-Torres&quot;,&quot;given&quot;:&quot;Andres&quot;,&quot;parse-names&quot;:false,&quot;dropping-particle&quot;:&quot;&quot;,&quot;non-dropping-particle&quot;:&quot;&quot;},{&quot;family&quot;:&quot;Smith&quot;,&quot;given&quot;:&quot;Tom&quot;,&quot;parse-names&quot;:false,&quot;dropping-particle&quot;:&quot;&quot;,&quot;non-dropping-particle&quot;:&quot;&quot;},{&quot;family&quot;:&quot;Bhatia&quot;,&quot;given&quot;:&quot;Smita&quot;,&quot;parse-names&quot;:false,&quot;dropping-particle&quot;:&quot;&quot;,&quot;non-dropping-particle&quot;:&quot;&quot;},{&quot;family&quot;:&quot;Knight&quot;,&quot;given&quot;:&quot;Sara J&quot;,&quot;parse-names&quot;:false,&quot;dropping-particle&quot;:&quot;&quot;,&quot;non-dropping-particle&quot;:&quot;&quot;}],&quot;container-title&quot;:&quot;The Oncologist&quot;,&quot;container-title-short&quot;:&quot;Oncologist&quot;,&quot;DOI&quot;:&quot;10.1634/theoncologist.2018-0711&quot;,&quot;ISBN&quot;:&quot;2059752914&quot;,&quot;ISSN&quot;:&quot;1083-7159&quot;,&quot;PMID&quot;:&quot;30872466&quot;,&quot;issued&quot;:{&quot;date-parts&quot;:[[2019]]},&quot;page&quot;:&quot;1313-1321&quot;,&quot;abstract&quot;:&quot;© AlphaMed Press 2019 Background: Metastatic breast cancer (MBC) is an ideal environment for shared decision-making because of the large number of guideline-based treatment options with similar efficacy but different toxicity profiles. This qualitative analysis describes patient and provider factors that influence decision-making in treatment of MBC. Materials and Methods: Patients and community oncologists completed in-person interviews. Academic medical oncologists participated in focus groups. Interviews and focus groups were audio-recorded, transcribed, and analyzed using NVivo. Using an a priori model based on the Ottawa Framework, two independent coders analyzed transcripts using a constant comparative method. Major themes and exemplary quotes were extracted. Results: Participants included 20 patients with MBC, 6 community oncologists, and 5 academic oncologists. Analysis of patient interviews revealed a decision-making process characterized by the following themes: decision-making style, contextual factors, and preferences. Patient preference subthemes include treatment efficacy, physical side effects of treatment, emotional side effects of treatment, cognitive side effects of treatment, cost and financial toxicity, salience of cutting-edge treatment options (clinical trial or newly approved medication), treatment logistics and convenience, personal and family responsibilities, treatment impact on daily activities, participation in self-defining endeavors, attending important events, and pursuing important goals. Physician decisions emphasized drug-specific characteristics (treatment efficacy, side effects, cost) rather than patient preferences, which might impact treatment choice. Conclusion: Although both patients with MBC and oncologists considered treatment characteristics when making decisions, patients' considerations were broader than oncologists', incorporating contextual factors such as the innovative value of the treatment and life responsibilities. Differences in perspectives between patients and oncologists suggests the value of tools to facilitate systematic communication of preferences in the setting of MBC. Implications for Practice: Both patients with metastatic breast cancer (MBC) and oncologists emphasized importance of efficacy and physical side effects when making treatment decisions. However, other patient considerations for making treatment decisions were broader, incorporating contextual factors such as the logistics of treatments, personal and family responsibilities, and ability to attend important events. Furthermore, individual patients varied substantially in priorities that they want considered in treatment decisions. Differences in perspectives between patients and oncologists suggest the value of tools to facilitate systematic elicitation of preferences and communication of those preferences to oncologists for integration into decision-making in MBC.&quot;,&quot;issue&quot;:&quot;10&quot;,&quot;volume&quot;:&quot;24&quot;},&quot;isTemporary&quot;:false}],&quot;citationTag&quot;:&quot;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&quot;},{&quot;citationID&quot;:&quot;MENDELEY_CITATION_49b1b8a8-5b91-4071-9a6e-504ac64f391b&quot;,&quot;properties&quot;:{&quot;noteIndex&quot;:0},&quot;isEdited&quot;:false,&quot;manualOverride&quot;:{&quot;isManuallyOverridden&quot;:false,&quot;citeprocText&quot;:&quot;&lt;sup&gt;22&lt;/sup&gt;&quot;,&quot;manualOverrideText&quot;:&quot;&quot;},&quot;citationItems&quot;:[{&quot;id&quot;:&quot;fe72c9f2-deb8-32e6-af25-1423089c439a&quot;,&quot;itemData&quot;:{&quot;type&quot;:&quot;article-journal&quot;,&quot;id&quot;:&quot;fe72c9f2-deb8-32e6-af25-1423089c439a&quot;,&quot;title&quot;:&quot;Health care-related time costs in patients with metastatic breast cancer&quot;,&quot;author&quot;:[{&quot;family&quot;:&quot;Rocque&quot;,&quot;given&quot;:&quot;Gabrielle B&quot;,&quot;parse-names&quot;:false,&quot;dropping-particle&quot;:&quot;&quot;,&quot;non-dropping-particle&quot;:&quot;&quot;},{&quot;family&quot;:&quot;Williams&quot;,&quot;given&quot;:&quot;Courtney P&quot;,&quot;parse-names&quot;:false,&quot;dropping-particle&quot;:&quot;&quot;,&quot;non-dropping-particle&quot;:&quot;&quot;},{&quot;family&quot;:&quot;Ingram&quot;,&quot;given&quot;:&quot;Stacey A&quot;,&quot;parse-names&quot;:false,&quot;dropping-particle&quot;:&quot;&quot;,&quot;non-dropping-particle&quot;:&quot;&quot;},{&quot;family&quot;:&quot;Azuero&quot;,&quot;given&quot;:&quot;Andres&quot;,&quot;parse-names&quot;:false,&quot;dropping-particle&quot;:&quot;&quot;,&quot;non-dropping-particle&quot;:&quot;&quot;},{&quot;family&quot;:&quot;Mennemeyer&quot;,&quot;given&quot;:&quot;Stephen T&quot;,&quot;parse-names&quot;:false,&quot;dropping-particle&quot;:&quot;&quot;,&quot;non-dropping-particle&quot;:&quot;&quot;},{&quot;family&quot;:&quot;Young Pierce&quot;,&quot;given&quot;:&quot;Jennifer&quot;,&quot;parse-names&quot;:false,&quot;dropping-particle&quot;:&quot;&quot;,&quot;non-dropping-particle&quot;:&quot;&quot;},{&quot;family&quot;:&quot;Nipp&quot;,&quot;given&quot;:&quot;Ryan D&quot;,&quot;parse-names&quot;:false,&quot;dropping-particle&quot;:&quot;&quot;,&quot;non-dropping-particle&quot;:&quot;&quot;},{&quot;family&quot;:&quot;Reeder-Hayes&quot;,&quot;given&quot;:&quot;Katherine E&quot;,&quot;parse-names&quot;:false,&quot;dropping-particle&quot;:&quot;&quot;,&quot;non-dropping-particle&quot;:&quot;&quot;},{&quot;family&quot;:&quot;Kenzik&quot;,&quot;given&quot;:&quot;Kelly M&quot;,&quot;parse-names&quot;:false,&quot;dropping-particle&quot;:&quot;&quot;,&quot;non-dropping-particle&quot;:&quot;&quot;}],&quot;container-title&quot;:&quot;Cancer Medicine&quot;,&quot;container-title-short&quot;:&quot;Cancer Med&quot;,&quot;DOI&quot;:&quot;10.1002/cam4.3461&quot;,&quot;ISSN&quot;:&quot;20457634&quot;,&quot;PMID&quot;:&quot;32955793&quot;,&quot;issued&quot;:{&quot;date-parts&quot;:[[2020]]},&quot;page&quot;:&quot;8423-8431&quot;,&quot;abstract&quot;:&quot;Background: Burdens related to time spent receiving cancer care may be substantial for patients with incurable, life-limiting cancers such as metastatic breast cancer (MBC). Estimates of time spent on health care are needed to inform treatment-related decision-making. Methods: Estimates of time spent receiving cancer-related health care in the initial 3 months of treatment for patients with MBC were calculated using the following data sources: (a) direct observations from a time-in-motion quality improvement evaluation (process mapping); (b) cross-sectional patient surveys; and (c) administrative claims. Average ambulatory, inpatient, and total health care time were calculated for specific treatments which differed by antineoplastic type and administration method, including fulvestrant (injection, hormonal), letrozole (oral, hormonal), capecitabine (oral, chemotherapy), and paclitaxel (infusion, chemotherapy). Results: Average total time spent on health care ranged from 7% to 10% of all days included within the initial 3 months of treatment, depending on treatment. The greatest time contributions were time spent traveling for care and on inpatient services. Time with providers contributed modestly to total care time. Patients receiving infusion/injection treatments, compared with those receiving oral therapy, spent more time in ambulatory care. Health care time was higher for patients receiving chemotherapeutic agents compared to those receiving hormonal agents. Conclusion: Time spent traveling and receiving inpatient care represented a substantial burden to patients with MBC, with variation in time by treatment type and administration method.&quot;,&quot;issue&quot;:&quot;22&quot;,&quot;volume&quot;:&quot;9&quot;},&quot;isTemporary&quot;:false}],&quot;citationTag&quot;:&quot;MENDELEY_CITATION_v3_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&quot;},{&quot;citationID&quot;:&quot;MENDELEY_CITATION_df671d45-0577-425f-9e51-c63703db7797&quot;,&quot;properties&quot;:{&quot;noteIndex&quot;:0},&quot;isEdited&quot;:false,&quot;manualOverride&quot;:{&quot;isManuallyOverridden&quot;:false,&quot;citeprocText&quot;:&quot;&lt;sup&gt;10,24&lt;/sup&gt;&quot;,&quot;manualOverrideText&quot;:&quot;&quot;},&quot;citationItems&quot;:[{&quot;id&quot;:&quot;e4f199e9-0a3c-300c-a0e0-ba3c6fec6fd6&quot;,&quot;itemData&quot;:{&quot;type&quot;:&quot;article-journal&quot;,&quot;id&quot;:&quot;e4f199e9-0a3c-300c-a0e0-ba3c6fec6fd6&quot;,&quot;title&quot;:&quot;Opportunity Costs of Receiving Palliative Chemotherapy for Metastatic Pancreatic Ductal Adenocarcinoma&quot;,&quot;author&quot;:[{&quot;family&quot;:&quot;Bange&quot;,&quot;given&quot;:&quot;Erin M.&quot;,&quot;parse-names&quot;:false,&quot;dropping-particle&quot;:&quot;&quot;,&quot;non-dropping-particle&quot;:&quot;&quot;},{&quot;family&quot;:&quot;Doucette&quot;,&quot;given&quot;:&quot;Abigail&quot;,&quot;parse-names&quot;:false,&quot;dropping-particle&quot;:&quot;&quot;,&quot;non-dropping-particle&quot;:&quot;&quot;},{&quot;family&quot;:&quot;Gabriel&quot;,&quot;given&quot;:&quot;Peter E.&quot;,&quot;parse-names&quot;:false,&quot;dropping-particle&quot;:&quot;&quot;,&quot;non-dropping-particle&quot;:&quot;&quot;},{&quot;family&quot;:&quot;Porterfield&quot;,&quot;given&quot;:&quot;Florence&quot;,&quot;parse-names&quot;:false,&quot;dropping-particle&quot;:&quot;&quot;,&quot;non-dropping-particle&quot;:&quot;&quot;},{&quot;family&quot;:&quot;Harrigan&quot;,&quot;given&quot;:&quot;James J.&quot;,&quot;parse-names&quot;:false,&quot;dropping-particle&quot;:&quot;&quot;,&quot;non-dropping-particle&quot;:&quot;&quot;},{&quot;family&quot;:&quot;Wang&quot;,&quot;given&quot;:&quot;Robin&quot;,&quot;parse-names&quot;:false,&quot;dropping-particle&quot;:&quot;&quot;,&quot;non-dropping-particle&quot;:&quot;&quot;},{&quot;family&quot;:&quot;Wojcieszynski&quot;,&quot;given&quot;:&quot;Andrzej P.&quot;,&quot;parse-names&quot;:false,&quot;dropping-particle&quot;:&quot;&quot;,&quot;non-dropping-particle&quot;:&quot;&quot;},{&quot;family&quot;:&quot;Boursi&quot;,&quot;given&quot;:&quot;Ben&quot;,&quot;parse-names&quot;:false,&quot;dropping-particle&quot;:&quot;&quot;,&quot;non-dropping-particle&quot;:&quot;&quot;},{&quot;family&quot;:&quot;Mooney&quot;,&quot;given&quot;:&quot;Bethany I.&quot;,&quot;parse-names&quot;:false,&quot;dropping-particle&quot;:&quot;&quot;,&quot;non-dropping-particle&quot;:&quot;&quot;},{&quot;family&quot;:&quot;Reiss&quot;,&quot;given&quot;:&quot;Kim A.&quot;,&quot;parse-names&quot;:false,&quot;dropping-particle&quot;:&quot;&quot;,&quot;non-dropping-particle&quot;:&quot;&quot;},{&quot;family&quot;:&quot;Mamtani&quot;,&quot;given&quot;:&quot;Ronac&quot;,&quot;parse-names&quot;:false,&quot;dropping-particle&quot;:&quot;&quot;,&quot;non-dropping-particle&quot;:&quot;&quot;}],&quot;container-title&quot;:&quot;JCO Oncology Practice&quot;,&quot;container-title-short&quot;:&quot;JCO Oncol Pract&quot;,&quot;accessed&quot;:{&quot;date-parts&quot;:[[2023,4,2]]},&quot;DOI&quot;:&quot;10.1200/JOP.19.00328&quot;,&quot;ISSN&quot;:&quot;2688-1527&quot;,&quot;PMID&quot;:&quot;32130074&quot;,&quot;URL&quot;:&quot;https://www.researchgate.net/publication/339701114_Opportunity_Costs_of_Receiving_Palliative_Chemotherapy_for_Metastatic_Pancreatic_Ductal_Adenocarcinoma&quot;,&quot;issued&quot;:{&quot;date-parts&quot;:[[2020,8]]},&quot;page&quot;:&quot;e678-e687&quot;,&quot;abstract&quot;:&quot;PURPOSE The median overall survival (OS) for metastatic pancreatic ductal adenocarcinoma (mPDAC) is &lt; 1 year. Factors that contribute to quality of life during treatment are critical to quantify. One factor-time spent obtaining clinical services-is understudied. We quantified total outpatient time among patients with mPDAC receiving palliative systemic chemotherapy. METHODS We conducted a retrospective analysis using four patient-level time measures calculated from the medical record of patients with mPDAC receiving 5-fluorouracil infusion, leucovorin, oxaliplatin, and irinotecan; gemcitabine/nab-paclitaxel; or gemcitabine within the University of Pennsylvania Health System between January 1, 2011 and January 15, 2019. These included the total number of health care encounter days (any day with at least one visit) and total visit time. Total visit time represented the time spent receiving care (care time) plus time spent commuting and waiting for care (noncare time). We performed descriptive statistics on these outpatient time metrics and compared the number of encounter days to OS. RESULTS A total of 362 patients were identified (median age, 65 years; 52% male; 78% white; 62% received gemcitabine plus nab-paclitaxel). Median OS was 230.5 days (7.6 months), with 79% of patients deceased at the end of follow-up. On average, patients had 22 health care encounter days, accounting for 10% of their total days survived. Median visit time was 4.6 hours, of which 2.5 hours was spent commuting or waiting for care. CONCLUSION On average, patients receiving palliative chemotherapy for mPDAC spend 10% of survival time on outpatient health care. More than half of this time is spent commuting and waiting for care. These findings provide an important snapshot of the patient experience during ambulatory care, and efforts to enhance efficiency of care delivery may be warranted.&quot;,&quot;publisher&quot;:&quot;American Society of Clinical Oncology (ASCO)&quot;,&quot;issue&quot;:&quot;8&quot;,&quot;volume&quot;:&quot;16&quot;},&quot;isTemporary&quot;:false},{&quot;id&quot;:&quot;dbf6bd7d-f11c-38fd-8be6-a82f3cc64fda&quot;,&quot;itemData&quot;:{&quot;type&quot;:&quot;article-journal&quot;,&quot;id&quot;:&quot;dbf6bd7d-f11c-38fd-8be6-a82f3cc64fda&quot;,&quot;title&quot;:&quot;Opportunity Costs of Surgical Resection and Perioperative Chemotherapy for Locoregional Pancreatic Adenocarcinoma&quot;,&quot;author&quot;:[{&quot;family&quot;:&quot;Lim&quot;,&quot;given&quot;:&quot;Szu-Aun&quot;,&quot;parse-names&quot;:false,&quot;dropping-particle&quot;:&quot;&quot;,&quot;non-dropping-particle&quot;:&quot;&quot;},{&quot;family&quot;:&quot;Hao&quot;,&quot;given&quot;:&quot;Scarlett B.&quot;,&quot;parse-names&quot;:false,&quot;dropping-particle&quot;:&quot;&quot;,&quot;non-dropping-particle&quot;:&quot;&quot;},{&quot;family&quot;:&quot;Boyd&quot;,&quot;given&quot;:&quot;Breana A.&quot;,&quot;parse-names&quot;:false,&quot;dropping-particle&quot;:&quot;&quot;,&quot;non-dropping-particle&quot;:&quot;&quot;},{&quot;family&quot;:&quot;Mitsakos&quot;,&quot;given&quot;:&quot;Anastasios&quot;,&quot;parse-names&quot;:false,&quot;dropping-particle&quot;:&quot;&quot;,&quot;non-dropping-particle&quot;:&quot;&quot;},{&quot;family&quot;:&quot;Irish&quot;,&quot;given&quot;:&quot;William&quot;,&quot;parse-names&quot;:false,&quot;dropping-particle&quot;:&quot;&quot;,&quot;non-dropping-particle&quot;:&quot;&quot;},{&quot;family&quot;:&quot;Burke&quot;,&quot;given&quot;:&quot;Aidan M.&quot;,&quot;parse-names&quot;:false,&quot;dropping-particle&quot;:&quot;&quot;,&quot;non-dropping-particle&quot;:&quot;&quot;},{&quot;family&quot;:&quot;Parikh&quot;,&quot;given&quot;:&quot;Alexander A.&quot;,&quot;parse-names&quot;:false,&quot;dropping-particle&quot;:&quot;&quot;,&quot;non-dropping-particle&quot;:&quot;&quot;},{&quot;family&quot;:&quot;Snyder&quot;,&quot;given&quot;:&quot;Rebecca A.&quot;,&quot;parse-names&quot;:false,&quot;dropping-particle&quot;:&quot;&quot;,&quot;non-dropping-particle&quot;:&quot;&quot;}],&quot;container-title&quot;:&quot;JCO Oncology Practice&quot;,&quot;container-title-short&quot;:&quot;JCO Oncol Pract&quot;,&quot;accessed&quot;:{&quot;date-parts&quot;:[[2023,4,2]]},&quot;DOI&quot;:&quot;10.1200/op.21.00311&quot;,&quot;ISSN&quot;:&quot;2688-1527&quot;,&quot;PMID&quot;:&quot;34709961&quot;,&quot;issued&quot;:{&quot;date-parts&quot;:[[2022,4,28]]},&quot;page&quot;:&quot;302-309&quot;,&quot;abstract&quot;:&quot;PURPOSE: Given the perioperative morbidity and intensity of multimodality  treatment, patients with resected pancreatic ductal adenocarcinoma (PDAC) spend a substantial amount of time in clinical care. The primary aim was to determine total time spent in multimodality care for patients with locoregional PDAC. METHODS: A cohort study of all patients who underwent curative-intent resection for PDAC at a single-institution, tertiary care center was performed (2015-2019). Exact times for all relevant visits were abstracted from the primary medical record, and travel time was calculated. Care time was divided into preoperative, surgical, radiation, and systemic therapy phases of care. Primary outcome measures were the percentage of total survival time (TST) and percentage of overall survival (OS) days spent in receipt of care. RESULTS: One hundred seven patients were included. Patients spent a median of 5.0% (interquartile range [IQR] 2.4%-10.1%) of TST and 11.0% (IQR, 5.7%-20.4%) of OS days in receipt of clinical care. Preoperative, surgical, radiation, and systemic therapy phases of care comprised a median of 0.9% (IQR, 0.4%-2.2%), 3.0% (IQR, 1.9%-6.8%), 4.4% (IQR, 3.6%-6.3%), and 10.0% (IQR, 6.2%-14.1%) of OS days. The median per-visit travel time was 60 minutes (IQR, 32-120), and the median cumulative travel time was 22.0 hours (IQR, 12.0-51.5). 12.1% (n = 13) and 7.8% (n = 4) of patients spent &gt; 10% of TST in receipt of surgical and systemic therapy care, respectively. CONCLUSION: Patients with locoregional pancreatic cancer spend a considerable percentage of their survival time in receipt of oncologic care. Further research to determine predictors of increased time burden is warranted to better inform shared decision making.&quot;,&quot;publisher&quot;:&quot;American Society of Clinical Oncology (ASCO)&quot;,&quot;issue&quot;:&quot;4&quot;,&quot;volume&quot;:&quot;18&quot;},&quot;isTemporary&quot;:false}],&quot;citationTag&quot;:&quot;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&quot;},{&quot;citationID&quot;:&quot;MENDELEY_CITATION_72b967a7-c6c6-4686-8794-7cad7c0cbbd0&quot;,&quot;properties&quot;:{&quot;noteIndex&quot;:0},&quot;isEdited&quot;:false,&quot;manualOverride&quot;:{&quot;isManuallyOverridden&quot;:false,&quot;citeprocText&quot;:&quot;&lt;sup&gt;25&lt;/sup&gt;&quot;,&quot;manualOverrideText&quot;:&quot;&quot;},&quot;citationItems&quot;:[{&quot;id&quot;:&quot;ea6a7304-933d-33af-b01d-0aed909d7608&quot;,&quot;itemData&quot;:{&quot;type&quot;:&quot;article-journal&quot;,&quot;id&quot;:&quot;ea6a7304-933d-33af-b01d-0aed909d7608&quot;,&quot;title&quot;:&quot;National comprehensive cancer network infusion efficiency workgroup study: Optimizing patient flow in infusion centers&quot;,&quot;author&quot;:[{&quot;family&quot;:&quot;Sugalski&quot;,&quot;given&quot;:&quot;Jessica M.&quot;,&quot;parse-names&quot;:false,&quot;dropping-particle&quot;:&quot;&quot;,&quot;non-dropping-particle&quot;:&quot;&quot;},{&quot;family&quot;:&quot;Kubal&quot;,&quot;given&quot;:&quot;Timothy&quot;,&quot;parse-names&quot;:false,&quot;dropping-particle&quot;:&quot;&quot;,&quot;non-dropping-particle&quot;:&quot;&quot;},{&quot;family&quot;:&quot;Mulkerin&quot;,&quot;given&quot;:&quot;Daniel L.&quot;,&quot;parse-names&quot;:false,&quot;dropping-particle&quot;:&quot;&quot;,&quot;non-dropping-particle&quot;:&quot;&quot;},{&quot;family&quot;:&quot;Caires&quot;,&quot;given&quot;:&quot;Rebecca L.&quot;,&quot;parse-names&quot;:false,&quot;dropping-particle&quot;:&quot;&quot;,&quot;non-dropping-particle&quot;:&quot;&quot;},{&quot;family&quot;:&quot;Moore&quot;,&quot;given&quot;:&quot;Penny J.&quot;,&quot;parse-names&quot;:false,&quot;dropping-particle&quot;:&quot;&quot;,&quot;non-dropping-particle&quot;:&quot;&quot;},{&quot;family&quot;:&quot;Fiorarancio Fahy&quot;,&quot;given&quot;:&quot;Rosanna&quot;,&quot;parse-names&quot;:false,&quot;dropping-particle&quot;:&quot;&quot;,&quot;non-dropping-particle&quot;:&quot;&quot;},{&quot;family&quot;:&quot;Gordon&quot;,&quot;given&quot;:&quot;Jeanine N.&quot;,&quot;parse-names&quot;:false,&quot;dropping-particle&quot;:&quot;&quot;,&quot;non-dropping-particle&quot;:&quot;&quot;},{&quot;family&quot;:&quot;Augustyniak&quot;,&quot;given&quot;:&quot;Connie Z.&quot;,&quot;parse-names&quot;:false,&quot;dropping-particle&quot;:&quot;&quot;,&quot;non-dropping-particle&quot;:&quot;&quot;},{&quot;family&quot;:&quot;Szymanski&quot;,&quot;given&quot;:&quot;Gina M.&quot;,&quot;parse-names&quot;:false,&quot;dropping-particle&quot;:&quot;&quot;,&quot;non-dropping-particle&quot;:&quot;&quot;},{&quot;family&quot;:&quot;Olsen&quot;,&quot;given&quot;:&quot;Mi Kaela&quot;,&quot;parse-names&quot;:false,&quot;dropping-particle&quot;:&quot;&quot;,&quot;non-dropping-particle&quot;:&quot;&quot;},{&quot;family&quot;:&quot;Frantz&quot;,&quot;given&quot;:&quot;Diedra K.&quot;,&quot;parse-names&quot;:false,&quot;dropping-particle&quot;:&quot;&quot;,&quot;non-dropping-particle&quot;:&quot;&quot;},{&quot;family&quot;:&quot;Quinn&quot;,&quot;given&quot;:&quot;Marisa A.&quot;,&quot;parse-names&quot;:false,&quot;dropping-particle&quot;:&quot;&quot;,&quot;non-dropping-particle&quot;:&quot;&quot;},{&quot;family&quot;:&quot;Kidd&quot;,&quot;given&quot;:&quot;Sharol K.&quot;,&quot;parse-names&quot;:false,&quot;dropping-particle&quot;:&quot;&quot;,&quot;non-dropping-particle&quot;:&quot;&quot;},{&quot;family&quot;:&quot;Krause&quot;,&quot;given&quot;:&quot;Diana M.&quot;,&quot;parse-names&quot;:false,&quot;dropping-particle&quot;:&quot;&quot;,&quot;non-dropping-particle&quot;:&quot;&quot;},{&quot;family&quot;:&quot;Carlson&quot;,&quot;given&quot;:&quot;Robert W.&quot;,&quot;parse-names&quot;:false,&quot;dropping-particle&quot;:&quot;&quot;,&quot;non-dropping-particle&quot;:&quot;&quot;},{&quot;family&quot;:&quot;Marc Stewart&quot;,&quot;given&quot;:&quot;F.&quot;,&quot;parse-names&quot;:false,&quot;dropping-particle&quot;:&quot;&quot;,&quot;non-dropping-particle&quot;:&quot;&quot;}],&quot;container-title&quot;:&quot;Journal of Oncology Practice&quot;,&quot;container-title-short&quot;:&quot;J Oncol Pract&quot;,&quot;accessed&quot;:{&quot;date-parts&quot;:[[2023,4,2]]},&quot;DOI&quot;:&quot;10.1200/JOP.18.00563&quot;,&quot;ISSN&quot;:&quot;1935469X&quot;,&quot;PMID&quot;:&quot;30964732&quot;,&quot;issued&quot;:{&quot;date-parts&quot;:[[2019,5,1]]},&quot;page&quot;:&quot;E458-E466&quot;,&quot;abstract&quot;:&quot;PURPOSE The National Comprehensive Cancer Network (NCCN) formed an Infusion Efficiency Workgroup to determine best practices for operating efficient and effective infusion centers. METHODS The Workgroup conducted three surveys that were distributed to NCCN member institutions regarding average patient wait time, chemotherapy premixing practices, infusion chair use, and premedication protocols. To assess chair use, the Workgroup identified and defined five components of chair time. RESULTS The average patient wait time in infusion centers ranged from 25 to 102 minutes (n = 23; mean, 58 minutes). Five of 26 cancer centers (19%) routinely mix chemotherapy drugs before patient arrival for patients meeting specified criteria. Total planned chair time for subsequent doses of the same drug regimens for the same diseases varied greatly among centers, as follows: Administration of doxorubicin and cyclophosphamide ranged from 85 to 240 minutes (n = 22); of FOLFIRINOX (folinic acid, fluorouracil, irinotecan hydrochloride, and oxaliplation) ranged from 270 to 420 minutes (n = 22); of rituximab ranged from 120 to 350 minutes (n = 21); of paclitaxel plus carboplatin ranged from 255 to 380 minutes (n = 21); and of zoledronic acid ranged from 30 to 150 minutes (n = 22) for planned total chair time. Cancer centers were found to use different premedication regimens with varying administration routes that ranged in administration times from zero to 60 minutes. CONCLUSION There is a high degree of variation among cancer centers in regard to planned chair time for the same chemotherapy regimens, providing opportunities for improved efficiency, increased revenue, and more standardization across centers. The NCCN Workgroup demonstrates potential revenue impact and provides recommendations for cancer centers to move toward more efficient and more standard practices.&quot;,&quot;publisher&quot;:&quot;American Society of Clinical Oncology&quot;,&quot;issue&quot;:&quot;5&quot;,&quot;volume&quot;:&quot;15&quot;},&quot;isTemporary&quot;:false}],&quot;citationTag&quot;:&quot;MENDELEY_CITATION_v3_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&quot;},{&quot;citationID&quot;:&quot;MENDELEY_CITATION_c967fdba-d636-493f-964d-859e36a51af5&quot;,&quot;properties&quot;:{&quot;noteIndex&quot;:0},&quot;isEdited&quot;:false,&quot;manualOverride&quot;:{&quot;isManuallyOverridden&quot;:false,&quot;citeprocText&quot;:&quot;&lt;sup&gt;12,21,22&lt;/sup&gt;&quot;,&quot;manualOverrideText&quot;:&quot;&quot;},&quot;citationItems&quot;:[{&quot;id&quot;:&quot;692e764e-e155-35a5-90de-229afbcb72af&quot;,&quot;itemData&quot;:{&quot;type&quot;:&quot;article-journal&quot;,&quot;id&quot;:&quot;692e764e-e155-35a5-90de-229afbcb72af&quot;,&quot;title&quot;:&quot;Treatment burden of medicare beneficiaries with stage i non-small-cell lung cancer&quot;,&quot;author&quot;:[{&quot;family&quot;:&quot;Presley&quot;,&quot;given&quot;:&quot;Carolyn J&quot;,&quot;parse-names&quot;:false,&quot;dropping-particle&quot;:&quot;&quot;,&quot;non-dropping-particle&quot;:&quot;&quot;},{&quot;family&quot;:&quot;Soulos&quot;,&quot;given&quot;:&quot;Pamela R&quot;,&quot;parse-names&quot;:false,&quot;dropping-particle&quot;:&quot;&quot;,&quot;non-dropping-particle&quot;:&quot;&quot;},{&quot;family&quot;:&quot;Tinetti&quot;,&quot;given&quot;:&quot;Mary&quot;,&quot;parse-names&quot;:false,&quot;dropping-particle&quot;:&quot;&quot;,&quot;non-dropping-particle&quot;:&quot;&quot;},{&quot;family&quot;:&quot;Montori&quot;,&quot;given&quot;:&quot;Victor M&quot;,&quot;parse-names&quot;:false,&quot;dropping-particle&quot;:&quot;&quot;,&quot;non-dropping-particle&quot;:&quot;&quot;},{&quot;family&quot;:&quot;Yu&quot;,&quot;given&quot;:&quot;James B&quot;,&quot;parse-names&quot;:false,&quot;dropping-particle&quot;:&quot;&quot;,&quot;non-dropping-particle&quot;:&quot;&quot;},{&quot;family&quot;:&quot;Gross&quot;,&quot;given&quot;:&quot;Cary P&quot;,&quot;parse-names&quot;:false,&quot;dropping-particle&quot;:&quot;&quot;,&quot;non-dropping-particle&quot;:&quot;&quot;}],&quot;container-title&quot;:&quot;Journal of Oncology Practice&quot;,&quot;container-title-short&quot;:&quot;J Oncol Pract&quot;,&quot;DOI&quot;:&quot;10.1200/JOP.2016.014100&quot;,&quot;ISSN&quot;:&quot;1935469X&quot;,&quot;PMID&quot;:&quot;27997301&quot;,&quot;issued&quot;:{&quot;date-parts&quot;:[[2017]]},&quot;page&quot;:&quot;e98–e107&quot;,&quot;abstract&quot;:&quot;Purpose To quantify the burden and complexity associated with treatment of Medicare beneficiaries with stage I non-small-cell lung cancer (NSCLC). Methods Using the SEER-Medicare database, we conducted a retrospective cohort study of Medicare beneficiaries who were diagnosed with stage I NSCLC from 2007 to 2011 and who were treated with surgery, stereotactic body radiation therapy, or external beam radiation therapy. Main outcome measures were the number of days a patient was in contact with the health care system (encounter days), the number of physicians involved in a patient's care, and the number of medications prescribed. Logistic regression modeled the association between patient characteristics, treatment type, and high treatment burden (defined as  66 encounter days). Results Onaverage, 7,955 patients spent 1 in 3 days interacting with the health care system during the initial 60 days of treatment. Patients experienced a median of 44 encounter days with high variability (interquartile range [IQR], 29 to 66) in the 12 months after treatment initiation. The median number of physicians involved was 20 (IQR, 14 to 28), and the mediannumberof medications prescribedwas12(IQR,8to17). Patientswhowere treated with surgery had high treatment burden (predicted probability, 21.6%; 95% CI, 20.2 to 23.1) compared with patients who were treated with stereotactic body radiation therapy (predicted probability, 16.1%; 95% CI, 12.9 to 19.3), whereas patients who were treated with external beam radiation therapy had the highest burden (predicted probability, 46.8%; 95% CI, 43.3 to 50.2). Conclusion The treatment burden imposed on patients with early-stage NSCLC was substantial in terms of the number of encounters, physicians involved, and medications prescribed. Because treatment burden varied markedly across patients and treatment types, future work should identify opportunities to understand and ameliorate this burden.&quot;,&quot;issue&quot;:&quot;2&quot;,&quot;volume&quot;:&quot;13&quot;},&quot;isTemporary&quot;:false},{&quot;id&quot;:&quot;fe72c9f2-deb8-32e6-af25-1423089c439a&quot;,&quot;itemData&quot;:{&quot;type&quot;:&quot;article-journal&quot;,&quot;id&quot;:&quot;fe72c9f2-deb8-32e6-af25-1423089c439a&quot;,&quot;title&quot;:&quot;Health care-related time costs in patients with metastatic breast cancer&quot;,&quot;author&quot;:[{&quot;family&quot;:&quot;Rocque&quot;,&quot;given&quot;:&quot;Gabrielle B&quot;,&quot;parse-names&quot;:false,&quot;dropping-particle&quot;:&quot;&quot;,&quot;non-dropping-particle&quot;:&quot;&quot;},{&quot;family&quot;:&quot;Williams&quot;,&quot;given&quot;:&quot;Courtney P&quot;,&quot;parse-names&quot;:false,&quot;dropping-particle&quot;:&quot;&quot;,&quot;non-dropping-particle&quot;:&quot;&quot;},{&quot;family&quot;:&quot;Ingram&quot;,&quot;given&quot;:&quot;Stacey A&quot;,&quot;parse-names&quot;:false,&quot;dropping-particle&quot;:&quot;&quot;,&quot;non-dropping-particle&quot;:&quot;&quot;},{&quot;family&quot;:&quot;Azuero&quot;,&quot;given&quot;:&quot;Andres&quot;,&quot;parse-names&quot;:false,&quot;dropping-particle&quot;:&quot;&quot;,&quot;non-dropping-particle&quot;:&quot;&quot;},{&quot;family&quot;:&quot;Mennemeyer&quot;,&quot;given&quot;:&quot;Stephen T&quot;,&quot;parse-names&quot;:false,&quot;dropping-particle&quot;:&quot;&quot;,&quot;non-dropping-particle&quot;:&quot;&quot;},{&quot;family&quot;:&quot;Young Pierce&quot;,&quot;given&quot;:&quot;Jennifer&quot;,&quot;parse-names&quot;:false,&quot;dropping-particle&quot;:&quot;&quot;,&quot;non-dropping-particle&quot;:&quot;&quot;},{&quot;family&quot;:&quot;Nipp&quot;,&quot;given&quot;:&quot;Ryan D&quot;,&quot;parse-names&quot;:false,&quot;dropping-particle&quot;:&quot;&quot;,&quot;non-dropping-particle&quot;:&quot;&quot;},{&quot;family&quot;:&quot;Reeder-Hayes&quot;,&quot;given&quot;:&quot;Katherine E&quot;,&quot;parse-names&quot;:false,&quot;dropping-particle&quot;:&quot;&quot;,&quot;non-dropping-particle&quot;:&quot;&quot;},{&quot;family&quot;:&quot;Kenzik&quot;,&quot;given&quot;:&quot;Kelly M&quot;,&quot;parse-names&quot;:false,&quot;dropping-particle&quot;:&quot;&quot;,&quot;non-dropping-particle&quot;:&quot;&quot;}],&quot;container-title&quot;:&quot;Cancer Medicine&quot;,&quot;container-title-short&quot;:&quot;Cancer Med&quot;,&quot;DOI&quot;:&quot;10.1002/cam4.3461&quot;,&quot;ISSN&quot;:&quot;20457634&quot;,&quot;PMID&quot;:&quot;32955793&quot;,&quot;issued&quot;:{&quot;date-parts&quot;:[[2020]]},&quot;page&quot;:&quot;8423-8431&quot;,&quot;abstract&quot;:&quot;Background: Burdens related to time spent receiving cancer care may be substantial for patients with incurable, life-limiting cancers such as metastatic breast cancer (MBC). Estimates of time spent on health care are needed to inform treatment-related decision-making. Methods: Estimates of time spent receiving cancer-related health care in the initial 3 months of treatment for patients with MBC were calculated using the following data sources: (a) direct observations from a time-in-motion quality improvement evaluation (process mapping); (b) cross-sectional patient surveys; and (c) administrative claims. Average ambulatory, inpatient, and total health care time were calculated for specific treatments which differed by antineoplastic type and administration method, including fulvestrant (injection, hormonal), letrozole (oral, hormonal), capecitabine (oral, chemotherapy), and paclitaxel (infusion, chemotherapy). Results: Average total time spent on health care ranged from 7% to 10% of all days included within the initial 3 months of treatment, depending on treatment. The greatest time contributions were time spent traveling for care and on inpatient services. Time with providers contributed modestly to total care time. Patients receiving infusion/injection treatments, compared with those receiving oral therapy, spent more time in ambulatory care. Health care time was higher for patients receiving chemotherapeutic agents compared to those receiving hormonal agents. Conclusion: Time spent traveling and receiving inpatient care represented a substantial burden to patients with MBC, with variation in time by treatment type and administration method.&quot;,&quot;issue&quot;:&quot;22&quot;,&quot;volume&quot;:&quot;9&quot;},&quot;isTemporary&quot;:false},{&quot;id&quot;:&quot;72e6df8a-3d5d-3cc9-8418-20dba0dbba04&quot;,&quot;itemData&quot;:{&quot;type&quot;:&quot;article-journal&quot;,&quot;id&quot;:&quot;72e6df8a-3d5d-3cc9-8418-20dba0dbba04&quot;,&quot;title&quot;:&quot;Patient time costs associated with cancer care&quot;,&quot;author&quot;:[{&quot;family&quot;:&quot;Yabroff&quot;,&quot;given&quot;:&quot;K Robin&quot;,&quot;parse-names&quot;:false,&quot;dropping-particle&quot;:&quot;&quot;,&quot;non-dropping-particle&quot;:&quot;&quot;},{&quot;family&quot;:&quot;Davis&quot;,&quot;given&quot;:&quot;William W&quot;,&quot;parse-names&quot;:false,&quot;dropping-particle&quot;:&quot;&quot;,&quot;non-dropping-particle&quot;:&quot;&quot;},{&quot;family&quot;:&quot;Lamont&quot;,&quot;given&quot;:&quot;Elizabeth B&quot;,&quot;parse-names&quot;:false,&quot;dropping-particle&quot;:&quot;&quot;,&quot;non-dropping-particle&quot;:&quot;&quot;},{&quot;family&quot;:&quot;Fahey&quot;,&quot;given&quot;:&quot;Angela&quot;,&quot;parse-names&quot;:false,&quot;dropping-particle&quot;:&quot;&quot;,&quot;non-dropping-particle&quot;:&quot;&quot;},{&quot;family&quot;:&quot;Topor&quot;,&quot;given&quot;:&quot;Marie&quot;,&quot;parse-names&quot;:false,&quot;dropping-particle&quot;:&quot;&quot;,&quot;non-dropping-particle&quot;:&quot;&quot;},{&quot;family&quot;:&quot;Brown&quot;,&quot;given&quot;:&quot;Martin L&quot;,&quot;parse-names&quot;:false,&quot;dropping-particle&quot;:&quot;&quot;,&quot;non-dropping-particle&quot;:&quot;&quot;},{&quot;family&quot;:&quot;Warren&quot;,&quot;given&quot;:&quot;Joan L&quot;,&quot;parse-names&quot;:false,&quot;dropping-particle&quot;:&quot;&quot;,&quot;non-dropping-particle&quot;:&quot;&quot;}],&quot;container-title&quot;:&quot;Journal of the National Cancer Institute&quot;,&quot;container-title-short&quot;:&quot;J Natl Cancer Inst&quot;,&quot;DOI&quot;:&quot;10.1093/jnci/djk001&quot;,&quot;ISSN&quot;:&quot;00278874&quot;,&quot;PMID&quot;:&quot;17202109&quot;,&quot;issued&quot;:{&quot;date-parts&quot;:[[2007]]},&quot;page&quot;:&quot;14-23&quot;,&quot;abstract&quot;:&quot;Background Although costs of medical care for cancer have been investigated extensively, patient time costs associated with cancer care have rarely been estimated systematically. In this study, we estimated patient time costs associated with cancer care in patients aged 65 years and older in the United States. Methods We identified 763527 patients with breast, colorectal, corpus uteri, gastric, head and neck, lung, melanoma of the skin, ovary, prostate, renal, and urinary bladder cancers from linked Surveillance, Epidemiology, and End Results-Medicare files and 1 145159 noncancer control subjects among Medicare enrollees who were matched by sex, age-group, and geographic location. Frequency of service use was calculated by category for patients and control subjects using Medicare claims data from 1995 to 2001. For each service category, time estimates were combined with service frequency and an hourly value of patient time. Net patient time costs were summed in the initial, continuing, and last-year-of-life phases of care for each tumor site. Net time cost estimates for the initial phase of care were applied to national estimates of numbers of new cancers in 2005 to obtain national time costs for the initial phase of care. Results Net patient time costs during the initial phase of care ranged from 271 (95% confidence interval [CI] = 213 to 329) and 842 (95% CI = 806 to 878) for melanoma of the skin and prostate cancer, respectively, to 5348 (95% CI = 4978 to 5718) and 5605 (95% CI = 5273 to 5937) for gastric and ovarian cancers, respectively. Net patient time costs for care during the last year of life ranged from 1509 (95% CI = 1343 to 1675) for melanoma of the skin to 7799 (95% CI = 7433 to 8165), 7435 (95% CI = 7207 to 7663), and 7388 (95% CI = 7018 to 7758) for gastric, lung, and ovarian cancers, respectively. In 2005, patient time costs for the initial phase of care were 2.3 billion. Conclusions Patient time costs for cancer care in the United States are substantial and vary by tumor site and phase of care, likely reflecting differences in stage at diagnosis and availability and intensity of treatment.&quot;,&quot;issue&quot;:&quot;1&quot;,&quot;volume&quot;:&quot;99&quot;},&quot;isTemporary&quot;:false}],&quot;citationTag&quot;:&quot;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&quot;},{&quot;citationID&quot;:&quot;MENDELEY_CITATION_afcea6c9-8617-423e-8296-f5e1dfbd1c90&quot;,&quot;properties&quot;:{&quot;noteIndex&quot;:0},&quot;isEdited&quot;:false,&quot;manualOverride&quot;:{&quot;isManuallyOverridden&quot;:false,&quot;citeprocText&quot;:&quot;&lt;sup&gt;22&lt;/sup&gt;&quot;,&quot;manualOverrideText&quot;:&quot;&quot;},&quot;citationItems&quot;:[{&quot;id&quot;:&quot;fe72c9f2-deb8-32e6-af25-1423089c439a&quot;,&quot;itemData&quot;:{&quot;type&quot;:&quot;article-journal&quot;,&quot;id&quot;:&quot;fe72c9f2-deb8-32e6-af25-1423089c439a&quot;,&quot;title&quot;:&quot;Health care-related time costs in patients with metastatic breast cancer&quot;,&quot;author&quot;:[{&quot;family&quot;:&quot;Rocque&quot;,&quot;given&quot;:&quot;Gabrielle B&quot;,&quot;parse-names&quot;:false,&quot;dropping-particle&quot;:&quot;&quot;,&quot;non-dropping-particle&quot;:&quot;&quot;},{&quot;family&quot;:&quot;Williams&quot;,&quot;given&quot;:&quot;Courtney P&quot;,&quot;parse-names&quot;:false,&quot;dropping-particle&quot;:&quot;&quot;,&quot;non-dropping-particle&quot;:&quot;&quot;},{&quot;family&quot;:&quot;Ingram&quot;,&quot;given&quot;:&quot;Stacey A&quot;,&quot;parse-names&quot;:false,&quot;dropping-particle&quot;:&quot;&quot;,&quot;non-dropping-particle&quot;:&quot;&quot;},{&quot;family&quot;:&quot;Azuero&quot;,&quot;given&quot;:&quot;Andres&quot;,&quot;parse-names&quot;:false,&quot;dropping-particle&quot;:&quot;&quot;,&quot;non-dropping-particle&quot;:&quot;&quot;},{&quot;family&quot;:&quot;Mennemeyer&quot;,&quot;given&quot;:&quot;Stephen T&quot;,&quot;parse-names&quot;:false,&quot;dropping-particle&quot;:&quot;&quot;,&quot;non-dropping-particle&quot;:&quot;&quot;},{&quot;family&quot;:&quot;Young Pierce&quot;,&quot;given&quot;:&quot;Jennifer&quot;,&quot;parse-names&quot;:false,&quot;dropping-particle&quot;:&quot;&quot;,&quot;non-dropping-particle&quot;:&quot;&quot;},{&quot;family&quot;:&quot;Nipp&quot;,&quot;given&quot;:&quot;Ryan D&quot;,&quot;parse-names&quot;:false,&quot;dropping-particle&quot;:&quot;&quot;,&quot;non-dropping-particle&quot;:&quot;&quot;},{&quot;family&quot;:&quot;Reeder-Hayes&quot;,&quot;given&quot;:&quot;Katherine E&quot;,&quot;parse-names&quot;:false,&quot;dropping-particle&quot;:&quot;&quot;,&quot;non-dropping-particle&quot;:&quot;&quot;},{&quot;family&quot;:&quot;Kenzik&quot;,&quot;given&quot;:&quot;Kelly M&quot;,&quot;parse-names&quot;:false,&quot;dropping-particle&quot;:&quot;&quot;,&quot;non-dropping-particle&quot;:&quot;&quot;}],&quot;container-title&quot;:&quot;Cancer Medicine&quot;,&quot;container-title-short&quot;:&quot;Cancer Med&quot;,&quot;DOI&quot;:&quot;10.1002/cam4.3461&quot;,&quot;ISSN&quot;:&quot;20457634&quot;,&quot;PMID&quot;:&quot;32955793&quot;,&quot;issued&quot;:{&quot;date-parts&quot;:[[2020]]},&quot;page&quot;:&quot;8423-8431&quot;,&quot;abstract&quot;:&quot;Background: Burdens related to time spent receiving cancer care may be substantial for patients with incurable, life-limiting cancers such as metastatic breast cancer (MBC). Estimates of time spent on health care are needed to inform treatment-related decision-making. Methods: Estimates of time spent receiving cancer-related health care in the initial 3 months of treatment for patients with MBC were calculated using the following data sources: (a) direct observations from a time-in-motion quality improvement evaluation (process mapping); (b) cross-sectional patient surveys; and (c) administrative claims. Average ambulatory, inpatient, and total health care time were calculated for specific treatments which differed by antineoplastic type and administration method, including fulvestrant (injection, hormonal), letrozole (oral, hormonal), capecitabine (oral, chemotherapy), and paclitaxel (infusion, chemotherapy). Results: Average total time spent on health care ranged from 7% to 10% of all days included within the initial 3 months of treatment, depending on treatment. The greatest time contributions were time spent traveling for care and on inpatient services. Time with providers contributed modestly to total care time. Patients receiving infusion/injection treatments, compared with those receiving oral therapy, spent more time in ambulatory care. Health care time was higher for patients receiving chemotherapeutic agents compared to those receiving hormonal agents. Conclusion: Time spent traveling and receiving inpatient care represented a substantial burden to patients with MBC, with variation in time by treatment type and administration method.&quot;,&quot;issue&quot;:&quot;22&quot;,&quot;volume&quot;:&quot;9&quot;},&quot;isTemporary&quot;:false}],&quot;citationTag&quot;:&quot;MENDELEY_CITATION_v3_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&quot;},{&quot;citationID&quot;:&quot;MENDELEY_CITATION_39d9f0fc-6d90-4d43-9531-5e2f2aa8106c&quot;,&quot;properties&quot;:{&quot;noteIndex&quot;:0},&quot;isEdited&quot;:false,&quot;manualOverride&quot;:{&quot;isManuallyOverridden&quot;:false,&quot;citeprocText&quot;:&quot;&lt;sup&gt;24&lt;/sup&gt;&quot;,&quot;manualOverrideText&quot;:&quot;&quot;},&quot;citationItems&quot;:[{&quot;id&quot;:&quot;dbf6bd7d-f11c-38fd-8be6-a82f3cc64fda&quot;,&quot;itemData&quot;:{&quot;type&quot;:&quot;article-journal&quot;,&quot;id&quot;:&quot;dbf6bd7d-f11c-38fd-8be6-a82f3cc64fda&quot;,&quot;title&quot;:&quot;Opportunity Costs of Surgical Resection and Perioperative Chemotherapy for Locoregional Pancreatic Adenocarcinoma&quot;,&quot;author&quot;:[{&quot;family&quot;:&quot;Lim&quot;,&quot;given&quot;:&quot;Szu-Aun&quot;,&quot;parse-names&quot;:false,&quot;dropping-particle&quot;:&quot;&quot;,&quot;non-dropping-particle&quot;:&quot;&quot;},{&quot;family&quot;:&quot;Hao&quot;,&quot;given&quot;:&quot;Scarlett B.&quot;,&quot;parse-names&quot;:false,&quot;dropping-particle&quot;:&quot;&quot;,&quot;non-dropping-particle&quot;:&quot;&quot;},{&quot;family&quot;:&quot;Boyd&quot;,&quot;given&quot;:&quot;Breana A.&quot;,&quot;parse-names&quot;:false,&quot;dropping-particle&quot;:&quot;&quot;,&quot;non-dropping-particle&quot;:&quot;&quot;},{&quot;family&quot;:&quot;Mitsakos&quot;,&quot;given&quot;:&quot;Anastasios&quot;,&quot;parse-names&quot;:false,&quot;dropping-particle&quot;:&quot;&quot;,&quot;non-dropping-particle&quot;:&quot;&quot;},{&quot;family&quot;:&quot;Irish&quot;,&quot;given&quot;:&quot;William&quot;,&quot;parse-names&quot;:false,&quot;dropping-particle&quot;:&quot;&quot;,&quot;non-dropping-particle&quot;:&quot;&quot;},{&quot;family&quot;:&quot;Burke&quot;,&quot;given&quot;:&quot;Aidan M.&quot;,&quot;parse-names&quot;:false,&quot;dropping-particle&quot;:&quot;&quot;,&quot;non-dropping-particle&quot;:&quot;&quot;},{&quot;family&quot;:&quot;Parikh&quot;,&quot;given&quot;:&quot;Alexander A.&quot;,&quot;parse-names&quot;:false,&quot;dropping-particle&quot;:&quot;&quot;,&quot;non-dropping-particle&quot;:&quot;&quot;},{&quot;family&quot;:&quot;Snyder&quot;,&quot;given&quot;:&quot;Rebecca A.&quot;,&quot;parse-names&quot;:false,&quot;dropping-particle&quot;:&quot;&quot;,&quot;non-dropping-particle&quot;:&quot;&quot;}],&quot;container-title&quot;:&quot;JCO Oncology Practice&quot;,&quot;container-title-short&quot;:&quot;JCO Oncol Pract&quot;,&quot;accessed&quot;:{&quot;date-parts&quot;:[[2023,4,2]]},&quot;DOI&quot;:&quot;10.1200/op.21.00311&quot;,&quot;ISSN&quot;:&quot;2688-1527&quot;,&quot;PMID&quot;:&quot;34709961&quot;,&quot;issued&quot;:{&quot;date-parts&quot;:[[2022,4,28]]},&quot;page&quot;:&quot;302-309&quot;,&quot;abstract&quot;:&quot;PURPOSE: Given the perioperative morbidity and intensity of multimodality  treatment, patients with resected pancreatic ductal adenocarcinoma (PDAC) spend a substantial amount of time in clinical care. The primary aim was to determine total time spent in multimodality care for patients with locoregional PDAC. METHODS: A cohort study of all patients who underwent curative-intent resection for PDAC at a single-institution, tertiary care center was performed (2015-2019). Exact times for all relevant visits were abstracted from the primary medical record, and travel time was calculated. Care time was divided into preoperative, surgical, radiation, and systemic therapy phases of care. Primary outcome measures were the percentage of total survival time (TST) and percentage of overall survival (OS) days spent in receipt of care. RESULTS: One hundred seven patients were included. Patients spent a median of 5.0% (interquartile range [IQR] 2.4%-10.1%) of TST and 11.0% (IQR, 5.7%-20.4%) of OS days in receipt of clinical care. Preoperative, surgical, radiation, and systemic therapy phases of care comprised a median of 0.9% (IQR, 0.4%-2.2%), 3.0% (IQR, 1.9%-6.8%), 4.4% (IQR, 3.6%-6.3%), and 10.0% (IQR, 6.2%-14.1%) of OS days. The median per-visit travel time was 60 minutes (IQR, 32-120), and the median cumulative travel time was 22.0 hours (IQR, 12.0-51.5). 12.1% (n = 13) and 7.8% (n = 4) of patients spent &gt; 10% of TST in receipt of surgical and systemic therapy care, respectively. CONCLUSION: Patients with locoregional pancreatic cancer spend a considerable percentage of their survival time in receipt of oncologic care. Further research to determine predictors of increased time burden is warranted to better inform shared decision making.&quot;,&quot;publisher&quot;:&quot;American Society of Clinical Oncology (ASCO)&quot;,&quot;issue&quot;:&quot;4&quot;,&quot;volume&quot;:&quot;18&quot;},&quot;isTemporary&quot;:false}],&quot;citationTag&quot;:&quot;MENDELEY_CITATION_v3_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&quot;},{&quot;citationID&quot;:&quot;MENDELEY_CITATION_a48d4611-00dd-4c9c-b6a0-f899a5b5a327&quot;,&quot;properties&quot;:{&quot;noteIndex&quot;:0},&quot;isEdited&quot;:false,&quot;manualOverride&quot;:{&quot;isManuallyOverridden&quot;:false,&quot;citeprocText&quot;:&quot;&lt;sup&gt;24&lt;/sup&gt;&quot;,&quot;manualOverrideText&quot;:&quot;&quot;},&quot;citationItems&quot;:[{&quot;id&quot;:&quot;dbf6bd7d-f11c-38fd-8be6-a82f3cc64fda&quot;,&quot;itemData&quot;:{&quot;type&quot;:&quot;article-journal&quot;,&quot;id&quot;:&quot;dbf6bd7d-f11c-38fd-8be6-a82f3cc64fda&quot;,&quot;title&quot;:&quot;Opportunity Costs of Surgical Resection and Perioperative Chemotherapy for Locoregional Pancreatic Adenocarcinoma&quot;,&quot;author&quot;:[{&quot;family&quot;:&quot;Lim&quot;,&quot;given&quot;:&quot;Szu-Aun&quot;,&quot;parse-names&quot;:false,&quot;dropping-particle&quot;:&quot;&quot;,&quot;non-dropping-particle&quot;:&quot;&quot;},{&quot;family&quot;:&quot;Hao&quot;,&quot;given&quot;:&quot;Scarlett B.&quot;,&quot;parse-names&quot;:false,&quot;dropping-particle&quot;:&quot;&quot;,&quot;non-dropping-particle&quot;:&quot;&quot;},{&quot;family&quot;:&quot;Boyd&quot;,&quot;given&quot;:&quot;Breana A.&quot;,&quot;parse-names&quot;:false,&quot;dropping-particle&quot;:&quot;&quot;,&quot;non-dropping-particle&quot;:&quot;&quot;},{&quot;family&quot;:&quot;Mitsakos&quot;,&quot;given&quot;:&quot;Anastasios&quot;,&quot;parse-names&quot;:false,&quot;dropping-particle&quot;:&quot;&quot;,&quot;non-dropping-particle&quot;:&quot;&quot;},{&quot;family&quot;:&quot;Irish&quot;,&quot;given&quot;:&quot;William&quot;,&quot;parse-names&quot;:false,&quot;dropping-particle&quot;:&quot;&quot;,&quot;non-dropping-particle&quot;:&quot;&quot;},{&quot;family&quot;:&quot;Burke&quot;,&quot;given&quot;:&quot;Aidan M.&quot;,&quot;parse-names&quot;:false,&quot;dropping-particle&quot;:&quot;&quot;,&quot;non-dropping-particle&quot;:&quot;&quot;},{&quot;family&quot;:&quot;Parikh&quot;,&quot;given&quot;:&quot;Alexander A.&quot;,&quot;parse-names&quot;:false,&quot;dropping-particle&quot;:&quot;&quot;,&quot;non-dropping-particle&quot;:&quot;&quot;},{&quot;family&quot;:&quot;Snyder&quot;,&quot;given&quot;:&quot;Rebecca A.&quot;,&quot;parse-names&quot;:false,&quot;dropping-particle&quot;:&quot;&quot;,&quot;non-dropping-particle&quot;:&quot;&quot;}],&quot;container-title&quot;:&quot;JCO Oncology Practice&quot;,&quot;container-title-short&quot;:&quot;JCO Oncol Pract&quot;,&quot;accessed&quot;:{&quot;date-parts&quot;:[[2023,4,2]]},&quot;DOI&quot;:&quot;10.1200/op.21.00311&quot;,&quot;ISSN&quot;:&quot;2688-1527&quot;,&quot;PMID&quot;:&quot;34709961&quot;,&quot;issued&quot;:{&quot;date-parts&quot;:[[2022,4,28]]},&quot;page&quot;:&quot;302-309&quot;,&quot;abstract&quot;:&quot;PURPOSE: Given the perioperative morbidity and intensity of multimodality  treatment, patients with resected pancreatic ductal adenocarcinoma (PDAC) spend a substantial amount of time in clinical care. The primary aim was to determine total time spent in multimodality care for patients with locoregional PDAC. METHODS: A cohort study of all patients who underwent curative-intent resection for PDAC at a single-institution, tertiary care center was performed (2015-2019). Exact times for all relevant visits were abstracted from the primary medical record, and travel time was calculated. Care time was divided into preoperative, surgical, radiation, and systemic therapy phases of care. Primary outcome measures were the percentage of total survival time (TST) and percentage of overall survival (OS) days spent in receipt of care. RESULTS: One hundred seven patients were included. Patients spent a median of 5.0% (interquartile range [IQR] 2.4%-10.1%) of TST and 11.0% (IQR, 5.7%-20.4%) of OS days in receipt of clinical care. Preoperative, surgical, radiation, and systemic therapy phases of care comprised a median of 0.9% (IQR, 0.4%-2.2%), 3.0% (IQR, 1.9%-6.8%), 4.4% (IQR, 3.6%-6.3%), and 10.0% (IQR, 6.2%-14.1%) of OS days. The median per-visit travel time was 60 minutes (IQR, 32-120), and the median cumulative travel time was 22.0 hours (IQR, 12.0-51.5). 12.1% (n = 13) and 7.8% (n = 4) of patients spent &gt; 10% of TST in receipt of surgical and systemic therapy care, respectively. CONCLUSION: Patients with locoregional pancreatic cancer spend a considerable percentage of their survival time in receipt of oncologic care. Further research to determine predictors of increased time burden is warranted to better inform shared decision making.&quot;,&quot;publisher&quot;:&quot;American Society of Clinical Oncology (ASCO)&quot;,&quot;issue&quot;:&quot;4&quot;,&quot;volume&quot;:&quot;18&quot;},&quot;isTemporary&quot;:false}],&quot;citationTag&quot;:&quot;MENDELEY_CITATION_v3_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&quot;},{&quot;citationID&quot;:&quot;MENDELEY_CITATION_121d0c8b-e09f-4e44-a6a5-4ded9420b79b&quot;,&quot;properties&quot;:{&quot;noteIndex&quot;:0},&quot;isEdited&quot;:false,&quot;manualOverride&quot;:{&quot;isManuallyOverridden&quot;:false,&quot;citeprocText&quot;:&quot;&lt;sup&gt;26&lt;/sup&gt;&quot;,&quot;manualOverrideText&quot;:&quot;&quot;},&quot;citationItems&quot;:[{&quot;id&quot;:&quot;62a1ba2a-304e-3945-92b0-6bb2c53908df&quot;,&quot;itemData&quot;:{&quot;type&quot;:&quot;article-journal&quot;,&quot;id&quot;:&quot;62a1ba2a-304e-3945-92b0-6bb2c53908df&quot;,&quot;title&quot;:&quot;How Is Geriatric Assessment Used in Clinical Practice for Older Adults With Cancer? A Survey of Cancer Providers by the American Society of Clinical Oncology&quot;,&quot;author&quot;:[{&quot;family&quot;:&quot;Dale&quot;,&quot;given&quot;:&quot;William&quot;,&quot;parse-names&quot;:false,&quot;dropping-particle&quot;:&quot;&quot;,&quot;non-dropping-particle&quot;:&quot;&quot;},{&quot;family&quot;:&quot;Williams&quot;,&quot;given&quot;:&quot;Grant R&quot;,&quot;parse-names&quot;:false,&quot;dropping-particle&quot;:&quot;&quot;,&quot;non-dropping-particle&quot;:&quot;&quot;},{&quot;family&quot;:&quot;R. MacKenzie&quot;,&quot;given&quot;:&quot;Amy&quot;,&quot;parse-names&quot;:false,&quot;dropping-particle&quot;:&quot;&quot;,&quot;non-dropping-particle&quot;:&quot;&quot;},{&quot;family&quot;:&quot;Soto-Perez-de-Celis&quot;,&quot;given&quot;:&quot;Enrique&quot;,&quot;parse-names&quot;:false,&quot;dropping-particle&quot;:&quot;&quot;,&quot;non-dropping-particle&quot;:&quot;&quot;},{&quot;family&quot;:&quot;Maggiore&quot;,&quot;given&quot;:&quot;Ronald J&quot;,&quot;parse-names&quot;:false,&quot;dropping-particle&quot;:&quot;&quot;,&quot;non-dropping-particle&quot;:&quot;&quot;},{&quot;family&quot;:&quot;Merrill&quot;,&quot;given&quot;:&quot;Janette K&quot;,&quot;parse-names&quot;:false,&quot;dropping-particle&quot;:&quot;&quot;,&quot;non-dropping-particle&quot;:&quot;&quot;},{&quot;family&quot;:&quot;Katta&quot;,&quot;given&quot;:&quot;Sweatha&quot;,&quot;parse-names&quot;:false,&quot;dropping-particle&quot;:&quot;&quot;,&quot;non-dropping-particle&quot;:&quot;&quot;},{&quot;family&quot;:&quot;Smith&quot;,&quot;given&quot;:&quot;Kimberly T&quot;,&quot;parse-names&quot;:false,&quot;dropping-particle&quot;:&quot;&quot;,&quot;non-dropping-particle&quot;:&quot;&quot;},{&quot;family&quot;:&quot;Klepin&quot;,&quot;given&quot;:&quot;Heidi D&quot;,&quot;parse-names&quot;:false,&quot;dropping-particle&quot;:&quot;&quot;,&quot;non-dropping-particle&quot;:&quot;&quot;}],&quot;container-title&quot;:&quot;JCO Oncology Practice&quot;,&quot;container-title-short&quot;:&quot;JCO Oncol Pract&quot;,&quot;DOI&quot;:&quot;10.1200/op.20.00442&quot;,&quot;ISSN&quot;:&quot;2688-1527&quot;,&quot;PMID&quot;:&quot;33064058&quot;,&quot;issued&quot;:{&quot;date-parts&quot;:[[2021]]},&quot;page&quot;:&quot;336-344&quot;,&quot;abstract&quot;:&quot;PURPOSE: For patients with cancer who are older than 65 years, the 2018 ASCO Guideline recommends geriatric assessment (GA) be performed. However, there are limited data on providers' practices using GA. Therefore, ASCO's Geriatric Oncology Task Force conducted a survey of providers to assess practice patterns and barriers to GA. METHODS: Cancer providers treating adult patients including those ≥ 65 years completed an online survey. Questions included those asking about awareness of ASCO's Geriatric Oncology Guideline (2018), use of validated GA tools, and perceived barriers to using GA. Descriptive statistics and statistical comparisons between those aware of the Guideline and those who were not were conducted. Statistical significance was set at P &lt; .05. RESULTS: Participants (N = 1,277) responded between April 5 and June 5, 2019. Approximately half (53%) reported awareness of the Guideline. The most frequently used GA tools, among those aware of the Guideline and those who were not, assessed functional status (69% v 50%; P &lt; .001) and falls (62% v 45%; P &lt; .001). Remaining tools were used &lt; 50% of the time, including tools assessing weight loss, comorbidities, cognition, life expectancy, chemotherapy toxicity, mood, and noncancer mortality risk. GA use was two to four times higher among those who are aware of the Guideline. The most frequent barriers for those who reported being Guideline aware were lack of resources, specifically time (81.7%) and staff (77.0%). In comparison, those who were unaware of the Guideline most often reported the following barriers: lack of knowledge or training (78.4%), lack of awareness about tools (75.2%), and uncertainty about use of tools (75.0%). CONCLUSION: Among providers caring for older adults, 52% were aware of the ASCO Guideline. Some domains were assessed frequently (eg, function, falls), whereas other domains were assessed rarely (eg, mood, cognition). Guideline awareness was associated with two to four times increased use of GA and differing perceived barriers. Interventions facilitating Guideline-consistent implementation will require various strategies to change behavior.&quot;,&quot;issue&quot;:&quot;6&quot;,&quot;volume&quot;:&quot;17&quot;},&quot;isTemporary&quot;:false}],&quot;citationTag&quot;:&quot;MENDELEY_CITATION_v3_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&quot;},{&quot;citationID&quot;:&quot;MENDELEY_CITATION_fd482ea3-4ef1-497d-b5fd-79411bbb979b&quot;,&quot;properties&quot;:{&quot;noteIndex&quot;:0},&quot;isEdited&quot;:false,&quot;manualOverride&quot;:{&quot;isManuallyOverridden&quot;:false,&quot;citeprocText&quot;:&quot;&lt;sup&gt;26&lt;/sup&gt;&quot;,&quot;manualOverrideText&quot;:&quot;&quot;},&quot;citationItems&quot;:[{&quot;id&quot;:&quot;62a1ba2a-304e-3945-92b0-6bb2c53908df&quot;,&quot;itemData&quot;:{&quot;type&quot;:&quot;article-journal&quot;,&quot;id&quot;:&quot;62a1ba2a-304e-3945-92b0-6bb2c53908df&quot;,&quot;title&quot;:&quot;How Is Geriatric Assessment Used in Clinical Practice for Older Adults With Cancer? A Survey of Cancer Providers by the American Society of Clinical Oncology&quot;,&quot;author&quot;:[{&quot;family&quot;:&quot;Dale&quot;,&quot;given&quot;:&quot;William&quot;,&quot;parse-names&quot;:false,&quot;dropping-particle&quot;:&quot;&quot;,&quot;non-dropping-particle&quot;:&quot;&quot;},{&quot;family&quot;:&quot;Williams&quot;,&quot;given&quot;:&quot;Grant R&quot;,&quot;parse-names&quot;:false,&quot;dropping-particle&quot;:&quot;&quot;,&quot;non-dropping-particle&quot;:&quot;&quot;},{&quot;family&quot;:&quot;R. MacKenzie&quot;,&quot;given&quot;:&quot;Amy&quot;,&quot;parse-names&quot;:false,&quot;dropping-particle&quot;:&quot;&quot;,&quot;non-dropping-particle&quot;:&quot;&quot;},{&quot;family&quot;:&quot;Soto-Perez-de-Celis&quot;,&quot;given&quot;:&quot;Enrique&quot;,&quot;parse-names&quot;:false,&quot;dropping-particle&quot;:&quot;&quot;,&quot;non-dropping-particle&quot;:&quot;&quot;},{&quot;family&quot;:&quot;Maggiore&quot;,&quot;given&quot;:&quot;Ronald J&quot;,&quot;parse-names&quot;:false,&quot;dropping-particle&quot;:&quot;&quot;,&quot;non-dropping-particle&quot;:&quot;&quot;},{&quot;family&quot;:&quot;Merrill&quot;,&quot;given&quot;:&quot;Janette K&quot;,&quot;parse-names&quot;:false,&quot;dropping-particle&quot;:&quot;&quot;,&quot;non-dropping-particle&quot;:&quot;&quot;},{&quot;family&quot;:&quot;Katta&quot;,&quot;given&quot;:&quot;Sweatha&quot;,&quot;parse-names&quot;:false,&quot;dropping-particle&quot;:&quot;&quot;,&quot;non-dropping-particle&quot;:&quot;&quot;},{&quot;family&quot;:&quot;Smith&quot;,&quot;given&quot;:&quot;Kimberly T&quot;,&quot;parse-names&quot;:false,&quot;dropping-particle&quot;:&quot;&quot;,&quot;non-dropping-particle&quot;:&quot;&quot;},{&quot;family&quot;:&quot;Klepin&quot;,&quot;given&quot;:&quot;Heidi D&quot;,&quot;parse-names&quot;:false,&quot;dropping-particle&quot;:&quot;&quot;,&quot;non-dropping-particle&quot;:&quot;&quot;}],&quot;container-title&quot;:&quot;JCO Oncology Practice&quot;,&quot;container-title-short&quot;:&quot;JCO Oncol Pract&quot;,&quot;DOI&quot;:&quot;10.1200/op.20.00442&quot;,&quot;ISSN&quot;:&quot;2688-1527&quot;,&quot;PMID&quot;:&quot;33064058&quot;,&quot;issued&quot;:{&quot;date-parts&quot;:[[2021]]},&quot;page&quot;:&quot;336-344&quot;,&quot;abstract&quot;:&quot;PURPOSE: For patients with cancer who are older than 65 years, the 2018 ASCO Guideline recommends geriatric assessment (GA) be performed. However, there are limited data on providers' practices using GA. Therefore, ASCO's Geriatric Oncology Task Force conducted a survey of providers to assess practice patterns and barriers to GA. METHODS: Cancer providers treating adult patients including those ≥ 65 years completed an online survey. Questions included those asking about awareness of ASCO's Geriatric Oncology Guideline (2018), use of validated GA tools, and perceived barriers to using GA. Descriptive statistics and statistical comparisons between those aware of the Guideline and those who were not were conducted. Statistical significance was set at P &lt; .05. RESULTS: Participants (N = 1,277) responded between April 5 and June 5, 2019. Approximately half (53%) reported awareness of the Guideline. The most frequently used GA tools, among those aware of the Guideline and those who were not, assessed functional status (69% v 50%; P &lt; .001) and falls (62% v 45%; P &lt; .001). Remaining tools were used &lt; 50% of the time, including tools assessing weight loss, comorbidities, cognition, life expectancy, chemotherapy toxicity, mood, and noncancer mortality risk. GA use was two to four times higher among those who are aware of the Guideline. The most frequent barriers for those who reported being Guideline aware were lack of resources, specifically time (81.7%) and staff (77.0%). In comparison, those who were unaware of the Guideline most often reported the following barriers: lack of knowledge or training (78.4%), lack of awareness about tools (75.2%), and uncertainty about use of tools (75.0%). CONCLUSION: Among providers caring for older adults, 52% were aware of the ASCO Guideline. Some domains were assessed frequently (eg, function, falls), whereas other domains were assessed rarely (eg, mood, cognition). Guideline awareness was associated with two to four times increased use of GA and differing perceived barriers. Interventions facilitating Guideline-consistent implementation will require various strategies to change behavior.&quot;,&quot;issue&quot;:&quot;6&quot;,&quot;volume&quot;:&quot;17&quot;},&quot;isTemporary&quot;:false}],&quot;citationTag&quot;:&quot;MENDELEY_CITATION_v3_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&quot;},{&quot;citationID&quot;:&quot;MENDELEY_CITATION_14503010-0e59-4daf-a586-82eb81037599&quot;,&quot;properties&quot;:{&quot;noteIndex&quot;:0},&quot;isEdited&quot;:false,&quot;manualOverride&quot;:{&quot;isManuallyOverridden&quot;:false,&quot;citeprocText&quot;:&quot;&lt;sup&gt;22,27&lt;/sup&gt;&quot;,&quot;manualOverrideText&quot;:&quot;&quot;},&quot;citationItems&quot;:[{&quot;id&quot;:&quot;fe72c9f2-deb8-32e6-af25-1423089c439a&quot;,&quot;itemData&quot;:{&quot;type&quot;:&quot;article-journal&quot;,&quot;id&quot;:&quot;fe72c9f2-deb8-32e6-af25-1423089c439a&quot;,&quot;title&quot;:&quot;Health care-related time costs in patients with metastatic breast cancer&quot;,&quot;author&quot;:[{&quot;family&quot;:&quot;Rocque&quot;,&quot;given&quot;:&quot;Gabrielle B&quot;,&quot;parse-names&quot;:false,&quot;dropping-particle&quot;:&quot;&quot;,&quot;non-dropping-particle&quot;:&quot;&quot;},{&quot;family&quot;:&quot;Williams&quot;,&quot;given&quot;:&quot;Courtney P&quot;,&quot;parse-names&quot;:false,&quot;dropping-particle&quot;:&quot;&quot;,&quot;non-dropping-particle&quot;:&quot;&quot;},{&quot;family&quot;:&quot;Ingram&quot;,&quot;given&quot;:&quot;Stacey A&quot;,&quot;parse-names&quot;:false,&quot;dropping-particle&quot;:&quot;&quot;,&quot;non-dropping-particle&quot;:&quot;&quot;},{&quot;family&quot;:&quot;Azuero&quot;,&quot;given&quot;:&quot;Andres&quot;,&quot;parse-names&quot;:false,&quot;dropping-particle&quot;:&quot;&quot;,&quot;non-dropping-particle&quot;:&quot;&quot;},{&quot;family&quot;:&quot;Mennemeyer&quot;,&quot;given&quot;:&quot;Stephen T&quot;,&quot;parse-names&quot;:false,&quot;dropping-particle&quot;:&quot;&quot;,&quot;non-dropping-particle&quot;:&quot;&quot;},{&quot;family&quot;:&quot;Young Pierce&quot;,&quot;given&quot;:&quot;Jennifer&quot;,&quot;parse-names&quot;:false,&quot;dropping-particle&quot;:&quot;&quot;,&quot;non-dropping-particle&quot;:&quot;&quot;},{&quot;family&quot;:&quot;Nipp&quot;,&quot;given&quot;:&quot;Ryan D&quot;,&quot;parse-names&quot;:false,&quot;dropping-particle&quot;:&quot;&quot;,&quot;non-dropping-particle&quot;:&quot;&quot;},{&quot;family&quot;:&quot;Reeder-Hayes&quot;,&quot;given&quot;:&quot;Katherine E&quot;,&quot;parse-names&quot;:false,&quot;dropping-particle&quot;:&quot;&quot;,&quot;non-dropping-particle&quot;:&quot;&quot;},{&quot;family&quot;:&quot;Kenzik&quot;,&quot;given&quot;:&quot;Kelly M&quot;,&quot;parse-names&quot;:false,&quot;dropping-particle&quot;:&quot;&quot;,&quot;non-dropping-particle&quot;:&quot;&quot;}],&quot;container-title&quot;:&quot;Cancer Medicine&quot;,&quot;container-title-short&quot;:&quot;Cancer Med&quot;,&quot;DOI&quot;:&quot;10.1002/cam4.3461&quot;,&quot;ISSN&quot;:&quot;20457634&quot;,&quot;PMID&quot;:&quot;32955793&quot;,&quot;issued&quot;:{&quot;date-parts&quot;:[[2020]]},&quot;page&quot;:&quot;8423-8431&quot;,&quot;abstract&quot;:&quot;Background: Burdens related to time spent receiving cancer care may be substantial for patients with incurable, life-limiting cancers such as metastatic breast cancer (MBC). Estimates of time spent on health care are needed to inform treatment-related decision-making. Methods: Estimates of time spent receiving cancer-related health care in the initial 3 months of treatment for patients with MBC were calculated using the following data sources: (a) direct observations from a time-in-motion quality improvement evaluation (process mapping); (b) cross-sectional patient surveys; and (c) administrative claims. Average ambulatory, inpatient, and total health care time were calculated for specific treatments which differed by antineoplastic type and administration method, including fulvestrant (injection, hormonal), letrozole (oral, hormonal), capecitabine (oral, chemotherapy), and paclitaxel (infusion, chemotherapy). Results: Average total time spent on health care ranged from 7% to 10% of all days included within the initial 3 months of treatment, depending on treatment. The greatest time contributions were time spent traveling for care and on inpatient services. Time with providers contributed modestly to total care time. Patients receiving infusion/injection treatments, compared with those receiving oral therapy, spent more time in ambulatory care. Health care time was higher for patients receiving chemotherapeutic agents compared to those receiving hormonal agents. Conclusion: Time spent traveling and receiving inpatient care represented a substantial burden to patients with MBC, with variation in time by treatment type and administration method.&quot;,&quot;issue&quot;:&quot;22&quot;,&quot;volume&quot;:&quot;9&quot;},&quot;isTemporary&quot;:false},{&quot;id&quot;:&quot;1eb1e791-da6f-3678-8b42-d32b1e0a24b5&quot;,&quot;itemData&quot;:{&quot;type&quot;:&quot;article-journal&quot;,&quot;id&quot;:&quot;1eb1e791-da6f-3678-8b42-d32b1e0a24b5&quot;,&quot;title&quot;:&quot;Invasive breast cancer: Clinical practice guidelines in oncology&quot;,&quot;author&quot;:[{&quot;family&quot;:&quot;Carlson&quot;,&quot;given&quot;:&quot;Robert W&quot;,&quot;parse-names&quot;:false,&quot;dropping-particle&quot;:&quot;&quot;,&quot;non-dropping-particle&quot;:&quot;&quot;},{&quot;family&quot;:&quot;Allred&quot;,&quot;given&quot;:&quot;D Craig&quot;,&quot;parse-names&quot;:false,&quot;dropping-particle&quot;:&quot;&quot;,&quot;non-dropping-particle&quot;:&quot;&quot;},{&quot;family&quot;:&quot;Anderson&quot;,&quot;given&quot;:&quot;Benjamin O&quot;,&quot;parse-names&quot;:false,&quot;dropping-particle&quot;:&quot;&quot;,&quot;non-dropping-particle&quot;:&quot;&quot;},{&quot;family&quot;:&quot;Burstein&quot;,&quot;given&quot;:&quot;Harold J&quot;,&quot;parse-names&quot;:false,&quot;dropping-particle&quot;:&quot;&quot;,&quot;non-dropping-particle&quot;:&quot;&quot;},{&quot;family&quot;:&quot;Carter&quot;,&quot;given&quot;:&quot;W Bradford&quot;,&quot;parse-names&quot;:false,&quot;dropping-particle&quot;:&quot;&quot;,&quot;non-dropping-particle&quot;:&quot;&quot;},{&quot;family&quot;:&quot;Edge&quot;,&quot;given&quot;:&quot;Stephen B&quot;,&quot;parse-names&quot;:false,&quot;dropping-particle&quot;:&quot;&quot;,&quot;non-dropping-particle&quot;:&quot;&quot;},{&quot;family&quot;:&quot;Erban&quot;,&quot;given&quot;:&quot;John K&quot;,&quot;parse-names&quot;:false,&quot;dropping-particle&quot;:&quot;&quot;,&quot;non-dropping-particle&quot;:&quot;&quot;},{&quot;family&quot;:&quot;Farrar&quot;,&quot;given&quot;:&quot;William B&quot;,&quot;parse-names&quot;:false,&quot;dropping-particle&quot;:&quot;&quot;,&quot;non-dropping-particle&quot;:&quot;&quot;},{&quot;family&quot;:&quot;Forero&quot;,&quot;given&quot;:&quot;Andres&quot;,&quot;parse-names&quot;:false,&quot;dropping-particle&quot;:&quot;&quot;,&quot;non-dropping-particle&quot;:&quot;&quot;},{&quot;family&quot;:&quot;Giordano&quot;,&quot;given&quot;:&quot;Sharon Hermes&quot;,&quot;parse-names&quot;:false,&quot;dropping-particle&quot;:&quot;&quot;,&quot;non-dropping-particle&quot;:&quot;&quot;},{&quot;family&quot;:&quot;Goldstein&quot;,&quot;given&quot;:&quot;Lori J&quot;,&quot;parse-names&quot;:false,&quot;dropping-particle&quot;:&quot;&quot;,&quot;non-dropping-particle&quot;:&quot;&quot;},{&quot;family&quot;:&quot;Gradishar&quot;,&quot;given&quot;:&quot;William J&quot;,&quot;parse-names&quot;:false,&quot;dropping-particle&quot;:&quot;&quot;,&quot;non-dropping-particle&quot;:&quot;&quot;},{&quot;family&quot;:&quot;Hayes&quot;,&quot;given&quot;:&quot;Daniel F&quot;,&quot;parse-names&quot;:false,&quot;dropping-particle&quot;:&quot;&quot;,&quot;non-dropping-particle&quot;:&quot;&quot;},{&quot;family&quot;:&quot;Hudis&quot;,&quot;given&quot;:&quot;Clifford A&quot;,&quot;parse-names&quot;:false,&quot;dropping-particle&quot;:&quot;&quot;,&quot;non-dropping-particle&quot;:&quot;&quot;},{&quot;family&quot;:&quot;Ljung&quot;,&quot;given&quot;:&quot;Britt Marie&quot;,&quot;parse-names&quot;:false,&quot;dropping-particle&quot;:&quot;&quot;,&quot;non-dropping-particle&quot;:&quot;&quot;},{&quot;family&quot;:&quot;Mankoff&quot;,&quot;given&quot;:&quot;David A&quot;,&quot;parse-names&quot;:false,&quot;dropping-particle&quot;:&quot;&quot;,&quot;non-dropping-particle&quot;:&quot;&quot;},{&quot;family&quot;:&quot;Marcom&quot;,&quot;given&quot;:&quot;P Kelly&quot;,&quot;parse-names&quot;:false,&quot;dropping-particle&quot;:&quot;&quot;,&quot;non-dropping-particle&quot;:&quot;&quot;},{&quot;family&quot;:&quot;Mayer&quot;,&quot;given&quot;:&quot;Ingrid A&quot;,&quot;parse-names&quot;:false,&quot;dropping-particle&quot;:&quot;&quot;,&quot;non-dropping-particle&quot;:&quot;&quot;},{&quot;family&quot;:&quot;McCormick&quot;,&quot;given&quot;:&quot;Beryl&quot;,&quot;parse-names&quot;:false,&quot;dropping-particle&quot;:&quot;&quot;,&quot;non-dropping-particle&quot;:&quot;&quot;},{&quot;family&quot;:&quot;Pierce&quot;,&quot;given&quot;:&quot;Lori J&quot;,&quot;parse-names&quot;:false,&quot;dropping-particle&quot;:&quot;&quot;,&quot;non-dropping-particle&quot;:&quot;&quot;},{&quot;family&quot;:&quot;Reed&quot;,&quot;given&quot;:&quot;Elizabeth C&quot;,&quot;parse-names&quot;:false,&quot;dropping-particle&quot;:&quot;&quot;,&quot;non-dropping-particle&quot;:&quot;&quot;},{&quot;family&quot;:&quot;Sachdev&quot;,&quot;given&quot;:&quot;Jasgit&quot;,&quot;parse-names&quot;:false,&quot;dropping-particle&quot;:&quot;&quot;,&quot;non-dropping-particle&quot;:&quot;&quot;},{&quot;family&quot;:&quot;Smith&quot;,&quot;given&quot;:&quot;Mary&quot;,&quot;parse-names&quot;:false,&quot;dropping-particle&quot;:&quot;Lou&quot;,&quot;non-dropping-particle&quot;:&quot;&quot;},{&quot;family&quot;:&quot;Somlo&quot;,&quot;given&quot;:&quot;George&quot;,&quot;parse-names&quot;:false,&quot;dropping-particle&quot;:&quot;&quot;,&quot;non-dropping-particle&quot;:&quot;&quot;},{&quot;family&quot;:&quot;Ward&quot;,&quot;given&quot;:&quot;John H&quot;,&quot;parse-names&quot;:false,&quot;dropping-particle&quot;:&quot;&quot;,&quot;non-dropping-particle&quot;:&quot;&quot;},{&quot;family&quot;:&quot;Wolff&quot;,&quot;given&quot;:&quot;Antonio C&quot;,&quot;parse-names&quot;:false,&quot;dropping-particle&quot;:&quot;&quot;,&quot;non-dropping-particle&quot;:&quot;&quot;},{&quot;family&quot;:&quot;Zellars&quot;,&quot;given&quot;:&quot;Richard&quot;,&quot;parse-names&quot;:false,&quot;dropping-particle&quot;:&quot;&quot;,&quot;non-dropping-particle&quot;:&quot;&quot;}],&quot;container-title&quot;:&quot;JNCCN Journal of the National Comprehensive Cancer Network&quot;,&quot;DOI&quot;:&quot;10.6004/jnccn.2011.0016&quot;,&quot;ISSN&quot;:&quot;15401413&quot;,&quot;PMID&quot;:&quot;21310842&quot;,&quot;issued&quot;:{&quot;date-parts&quot;:[[2011]]},&quot;page&quot;:&quot;136-222&quot;,&quot;abstract&quot;:&quot;The therapeutic options for patients with noninvasive or invasive breast cancer are complex and varied. In many situations, the patient and physician have the responsibility to jointly explore and select the most appropriate option from among the available alternatives. With few exceptions, the evaluation, treatment, and follow-up recommendations in these NCCN Guidelines are based on the results of past and present clinical trials. However, not a single clinical situation exists in which the treatment of breast cancer has been optimized with respect to either maximizing cure or minimizing toxicity and disfigurement. Therefore, patient/physician participation in prospective clinical trials allows patients to not only receive state-of-the-art cancer treatment but also contribute to improving the treatment of future patients. © JNCCN - Journal of the National Comprehensive Cancer Network.&quot;,&quot;issue&quot;:&quot;2&quot;,&quot;volume&quot;:&quot;9&quot;,&quot;container-title-short&quot;:&quot;&quot;},&quot;isTemporary&quot;:false}],&quot;citationTag&quot;:&quot;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&quot;},{&quot;citationID&quot;:&quot;MENDELEY_CITATION_b56bf4c1-0b75-4d98-b2f8-c3e24d5c4992&quot;,&quot;properties&quot;:{&quot;noteIndex&quot;:0},&quot;isEdited&quot;:false,&quot;manualOverride&quot;:{&quot;isManuallyOverridden&quot;:false,&quot;citeprocText&quot;:&quot;&lt;sup&gt;28&lt;/sup&gt;&quot;,&quot;manualOverrideText&quot;:&quot;&quot;},&quot;citationItems&quot;:[{&quot;id&quot;:&quot;be622321-be7a-3291-9a86-9ed0cd9f4ab7&quot;,&quot;itemData&quot;:{&quot;type&quot;:&quot;article-journal&quot;,&quot;id&quot;:&quot;be622321-be7a-3291-9a86-9ed0cd9f4ab7&quot;,&quot;title&quot;:&quot;Factors associated with high burden in caregivers of older adults with cancer.&quot;,&quot;author&quot;:[{&quot;family&quot;:&quot;Hsu&quot;,&quot;given&quot;:&quot;Tina&quot;,&quot;parse-names&quot;:false,&quot;dropping-particle&quot;:&quot;&quot;,&quot;non-dropping-particle&quot;:&quot;&quot;},{&quot;family&quot;:&quot;Loscalzo&quot;,&quot;given&quot;:&quot;Matthew&quot;,&quot;parse-names&quot;:false,&quot;dropping-particle&quot;:&quot;&quot;,&quot;non-dropping-particle&quot;:&quot;&quot;},{&quot;family&quot;:&quot;Ramani&quot;,&quot;given&quot;:&quot;Rupal&quot;,&quot;parse-names&quot;:false,&quot;dropping-particle&quot;:&quot;&quot;,&quot;non-dropping-particle&quot;:&quot;&quot;},{&quot;family&quot;:&quot;Forman&quot;,&quot;given&quot;:&quot;Stephen&quot;,&quot;parse-names&quot;:false,&quot;dropping-particle&quot;:&quot;&quot;,&quot;non-dropping-particle&quot;:&quot;&quot;},{&quot;family&quot;:&quot;Popplewell&quot;,&quot;given&quot;:&quot;Leslie&quot;,&quot;parse-names&quot;:false,&quot;dropping-particle&quot;:&quot;&quot;,&quot;non-dropping-particle&quot;:&quot;&quot;},{&quot;family&quot;:&quot;Clark&quot;,&quot;given&quot;:&quot;Karen&quot;,&quot;parse-names&quot;:false,&quot;dropping-particle&quot;:&quot;&quot;,&quot;non-dropping-particle&quot;:&quot;&quot;},{&quot;family&quot;:&quot;Katheria&quot;,&quot;given&quot;:&quot;Vani&quot;,&quot;parse-names&quot;:false,&quot;dropping-particle&quot;:&quot;&quot;,&quot;non-dropping-particle&quot;:&quot;&quot;},{&quot;family&quot;:&quot;Feng&quot;,&quot;given&quot;:&quot;Tao&quot;,&quot;parse-names&quot;:false,&quot;dropping-particle&quot;:&quot;&quot;,&quot;non-dropping-particle&quot;:&quot;&quot;},{&quot;family&quot;:&quot;Strowbridge&quot;,&quot;given&quot;:&quot;Rex&quot;,&quot;parse-names&quot;:false,&quot;dropping-particle&quot;:&quot;&quot;,&quot;non-dropping-particle&quot;:&quot;&quot;},{&quot;family&quot;:&quot;Rinehart&quot;,&quot;given&quot;:&quot;Redmond&quot;,&quot;parse-names&quot;:false,&quot;dropping-particle&quot;:&quot;&quot;,&quot;non-dropping-particle&quot;:&quot;&quot;},{&quot;family&quot;:&quot;Smith&quot;,&quot;given&quot;:&quot;Dan&quot;,&quot;parse-names&quot;:false,&quot;dropping-particle&quot;:&quot;&quot;,&quot;non-dropping-particle&quot;:&quot;&quot;},{&quot;family&quot;:&quot;Matthews&quot;,&quot;given&quot;:&quot;Keith&quot;,&quot;parse-names&quot;:false,&quot;dropping-particle&quot;:&quot;&quot;,&quot;non-dropping-particle&quot;:&quot;&quot;},{&quot;family&quot;:&quot;Dillehunt&quot;,&quot;given&quot;:&quot;Jeff&quot;,&quot;parse-names&quot;:false,&quot;dropping-particle&quot;:&quot;&quot;,&quot;non-dropping-particle&quot;:&quot;&quot;},{&quot;family&quot;:&quot;Hurria&quot;,&quot;given&quot;:&quot;Arti&quot;,&quot;parse-names&quot;:false,&quot;dropping-particle&quot;:&quot;&quot;,&quot;non-dropping-particle&quot;:&quot;&quot;}],&quot;container-title&quot;:&quot;Cancer&quot;,&quot;container-title-short&quot;:&quot;Cancer&quot;,&quot;DOI&quot;:&quot;10.1002/cncr.28765&quot;,&quot;ISSN&quot;:&quot;1097-0142 (Electronic)&quot;,&quot;PMID&quot;:&quot;24898093&quot;,&quot;issued&quot;:{&quot;date-parts&quot;:[[2014,9]]},&quot;page&quot;:&quot;2927-2935&quot;,&quot;language&quot;:&quot;eng&quot;,&quot;abstract&quot;:&quot;BACKGROUND: Older adults with cancer are vulnerable to functional decline, which  places greater onus on caregivers. Few studies have prospectively examined burden in caregivers of older cancer patients. The objective of this study was to determine the factors associated with high caregiver burden. METHODS: In total, 100 caregivers of patients aged ≥65 years with cancer, who were recruited at a single institution, completed questionnaires gauging their perception of the patient's physical, emotional, and social health. The association between these items, cancer-related factors, sociodemographic factors, and caregiver burden (measured using the Caregiver Strain Index [CSI]) was determined through multivariate analysis. RESULTS: The median patient age was 70 years (range, 65-91 years), 70% of patients had advanced disease, and 98% were receiving treatment. Caregivers were mostly women (73%), spouses (68%), and lived with the patient (79%). The median amount of care provided was 10 hours per week. The mean CSI score (± standard deviation) was 3.1 ± 3.2. Most caregivers (75%) reported some burden, with 15% reporting high caregiver burden (CSI score, ≥7). In multivariate analysis, employed caregivers (odds ratio, 4.5; 95% confidence interval, 1.1-18.4; P = .04) and those caring for patients who required more help with instrumental activities of daily living (Older Americans Resources and Services-Instrumental Activities of Daily Living score, &lt;12 of a possible 14; odds ratio, 12.4; 95% confidence interval, 2.4-62.5; P &lt; .001) were more likely to experience high caregiver burden (CSI score, ≥7). CONCLUSIONS: Caregiver burden is common in those who care for older cancer patients. High burden is more likely in employed caregivers and in those who care for patients who require increased functional assistance. Further studies are needed to determine the unique challenges experienced by caregivers of older adults with cancer and potential interventions to alleviate burden in these caregivers.&quot;,&quot;issue&quot;:&quot;18&quot;,&quot;volume&quot;:&quot;120&quot;},&quot;isTemporary&quot;:false}],&quot;citationTag&quot;:&quot;MENDELEY_CITATION_v3_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&quot;},{&quot;citationID&quot;:&quot;MENDELEY_CITATION_40946bfc-0735-434f-b4d8-14d522b7e23f&quot;,&quot;properties&quot;:{&quot;noteIndex&quot;:0},&quot;isEdited&quot;:false,&quot;manualOverride&quot;:{&quot;isManuallyOverridden&quot;:false,&quot;citeprocText&quot;:&quot;&lt;sup&gt;29&lt;/sup&gt;&quot;,&quot;manualOverrideText&quot;:&quot;&quot;},&quot;citationItems&quot;:[{&quot;id&quot;:&quot;cc873d67-ab29-354d-890b-621f098ce7ca&quot;,&quot;itemData&quot;:{&quot;type&quot;:&quot;article-journal&quot;,&quot;id&quot;:&quot;cc873d67-ab29-354d-890b-621f098ce7ca&quot;,&quot;title&quot;:&quot;Time costs associated with informal caregiving for cancer survivors&quot;,&quot;author&quot;:[{&quot;family&quot;:&quot;Yabroff&quot;,&quot;given&quot;:&quot;K. Robin&quot;,&quot;parse-names&quot;:false,&quot;dropping-particle&quot;:&quot;&quot;,&quot;non-dropping-particle&quot;:&quot;&quot;},{&quot;family&quot;:&quot;Kim&quot;,&quot;given&quot;:&quot;Youngmee&quot;,&quot;parse-names&quot;:false,&quot;dropping-particle&quot;:&quot;&quot;,&quot;non-dropping-particle&quot;:&quot;&quot;}],&quot;container-title&quot;:&quot;Cancer&quot;,&quot;container-title-short&quot;:&quot;Cancer&quot;,&quot;accessed&quot;:{&quot;date-parts&quot;:[[2023,7,17]]},&quot;DOI&quot;:&quot;10.1002/CNCR.24588&quot;,&quot;ISSN&quot;:&quot;1097-0142&quot;,&quot;PMID&quot;:&quot;19731345&quot;,&quot;URL&quot;:&quot;https://onlinelibrary.wiley.com/doi/full/10.1002/cncr.24588&quot;,&quot;issued&quot;:{&quot;date-parts&quot;:[[2009,9,15]]},&quot;page&quot;:&quot;4362-4373&quot;,&quot;abstract&quot;:&quot;BACKGROUND: To the authors' knowledge, little work has been done to estimate the time costs associated with informal caregiving for cancer survivors. METHODS: Data from a national survey of caregivers of cancer patients in 2003 to 2006 were used to estimate the time associated with informal caregiving in the 2 years after patient diagnosis with bladder, breast, colorectal, kidney, lung, melanoma of the skin, ovarian, prostate, or uterine cancer, or non-Hodgkins lymphoma (NHL). Caregivers reported the duration and daily intensity of caregiving as well as the types and frequency of support provided. The median wage rate in 2006 ($16.28) was used to value caregiver time, and other methods to value time were evaluated with sensitivity analyses. RESULTS: On average, caregivers provided care for 8.3 hours per day for 13.7 months. The number of months and daily hours spent caregiving were the highest for cancer survivors diagnosed with distant disease compared with survivors with regional or localized disease (P &lt; .05). Approximately half of caregivers provided emotional, instrumental, tangible, or medical support, although the frequency varied dramatically. Informal caregiver time costs over the 2-year period after diagnosis were the highest for caregivers of patients diagnosed with lung ($72,702; 95% confidence interval [95% CI], $56,814-$88,590) and ovarian ($66,210; 95% CI, $40,750-$91,670) cancers and NHL ($59,613; 95% CI, $43,423-$75,803) and the lowest for caregivers of patients with breast cancer ($38,334; 95% CI, $31,442-$45,226). CONCLUSIONS: Time spent by informal caregivers was substantial and was an important component of the burden of cancer care. Incorporation of the value of informal caregiver time will be important when evaluating the costs and benefits of cancer control interventions. © 2009 American Cancer Society.&quot;,&quot;publisher&quot;:&quot;John Wiley &amp; Sons, Ltd&quot;,&quot;issue&quot;:&quot;S18&quot;,&quot;volume&quot;:&quot;115&quot;},&quot;isTemporary&quot;:false}],&quot;citationTag&quot;:&quot;MENDELEY_CITATION_v3_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&quot;},{&quot;citationID&quot;:&quot;MENDELEY_CITATION_827e2031-a52e-4e0a-b3ba-a95c7791e580&quot;,&quot;properties&quot;:{&quot;noteIndex&quot;:0},&quot;isEdited&quot;:false,&quot;manualOverride&quot;:{&quot;isManuallyOverridden&quot;:false,&quot;citeprocText&quot;:&quot;&lt;sup&gt;30&lt;/sup&gt;&quot;,&quot;manualOverrideText&quot;:&quot;&quot;},&quot;citationItems&quot;:[{&quot;id&quot;:&quot;2130933f-aea4-389b-a84d-f6cb3956cfc1&quot;,&quot;itemData&quot;:{&quot;type&quot;:&quot;article-journal&quot;,&quot;id&quot;:&quot;2130933f-aea4-389b-a84d-f6cb3956cfc1&quot;,&quot;title&quot;:&quot;Comprehensive geriatric assessment – a guide for the non-specialist&quot;,&quot;author&quot;:[{&quot;family&quot;:&quot;Welsh&quot;,&quot;given&quot;:&quot;T. J.&quot;,&quot;parse-names&quot;:false,&quot;dropping-particle&quot;:&quot;&quot;,&quot;non-dropping-particle&quot;:&quot;&quot;},{&quot;family&quot;:&quot;Gordon&quot;,&quot;given&quot;:&quot;A. L.&quot;,&quot;parse-names&quot;:false,&quot;dropping-particle&quot;:&quot;&quot;,&quot;non-dropping-particle&quot;:&quot;&quot;},{&quot;family&quot;:&quot;Gladman&quot;,&quot;given&quot;:&quot;J. R.&quot;,&quot;parse-names&quot;:false,&quot;dropping-particle&quot;:&quot;&quot;,&quot;non-dropping-particle&quot;:&quot;&quot;}],&quot;container-title&quot;:&quot;International Journal of Clinical Practice&quot;,&quot;container-title-short&quot;:&quot;Int J Clin Pract&quot;,&quot;accessed&quot;:{&quot;date-parts&quot;:[[2023,3,13]]},&quot;DOI&quot;:&quot;10.1111/IJCP.12313&quot;,&quot;ISSN&quot;:&quot;13685031&quot;,&quot;PMID&quot;:&quot;24118661&quot;,&quot;URL&quot;:&quot;/pmc/articles/PMC4282277/&quot;,&quot;issued&quot;:{&quot;date-parts&quot;:[[2014,3]]},&quot;page&quot;:&quot;290&quot;,&quot;publisher&quot;:&quot;Wiley-Blackwell&quot;,&quot;issue&quot;:&quot;3&quot;,&quot;volume&quot;:&quot;68&quot;},&quot;isTemporary&quot;:false}],&quot;citationTag&quot;:&quot;MENDELEY_CITATION_v3_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&quot;},{&quot;citationID&quot;:&quot;MENDELEY_CITATION_0a9388f8-f860-4e19-b44b-e0bbb1c4823b&quot;,&quot;properties&quot;:{&quot;noteIndex&quot;:0},&quot;isEdited&quot;:false,&quot;manualOverride&quot;:{&quot;isManuallyOverridden&quot;:false,&quot;citeprocText&quot;:&quot;&lt;sup&gt;30&lt;/sup&gt;&quot;,&quot;manualOverrideText&quot;:&quot;&quot;},&quot;citationItems&quot;:[{&quot;id&quot;:&quot;2130933f-aea4-389b-a84d-f6cb3956cfc1&quot;,&quot;itemData&quot;:{&quot;type&quot;:&quot;article-journal&quot;,&quot;id&quot;:&quot;2130933f-aea4-389b-a84d-f6cb3956cfc1&quot;,&quot;title&quot;:&quot;Comprehensive geriatric assessment – a guide for the non-specialist&quot;,&quot;author&quot;:[{&quot;family&quot;:&quot;Welsh&quot;,&quot;given&quot;:&quot;T. J.&quot;,&quot;parse-names&quot;:false,&quot;dropping-particle&quot;:&quot;&quot;,&quot;non-dropping-particle&quot;:&quot;&quot;},{&quot;family&quot;:&quot;Gordon&quot;,&quot;given&quot;:&quot;A. L.&quot;,&quot;parse-names&quot;:false,&quot;dropping-particle&quot;:&quot;&quot;,&quot;non-dropping-particle&quot;:&quot;&quot;},{&quot;family&quot;:&quot;Gladman&quot;,&quot;given&quot;:&quot;J. R.&quot;,&quot;parse-names&quot;:false,&quot;dropping-particle&quot;:&quot;&quot;,&quot;non-dropping-particle&quot;:&quot;&quot;}],&quot;container-title&quot;:&quot;International Journal of Clinical Practice&quot;,&quot;container-title-short&quot;:&quot;Int J Clin Pract&quot;,&quot;accessed&quot;:{&quot;date-parts&quot;:[[2023,3,13]]},&quot;DOI&quot;:&quot;10.1111/IJCP.12313&quot;,&quot;ISSN&quot;:&quot;13685031&quot;,&quot;PMID&quot;:&quot;24118661&quot;,&quot;URL&quot;:&quot;/pmc/articles/PMC4282277/&quot;,&quot;issued&quot;:{&quot;date-parts&quot;:[[2014,3]]},&quot;page&quot;:&quot;290&quot;,&quot;publisher&quot;:&quot;Wiley-Blackwell&quot;,&quot;issue&quot;:&quot;3&quot;,&quot;volume&quot;:&quot;68&quot;},&quot;isTemporary&quot;:false}],&quot;citationTag&quot;:&quot;MENDELEY_CITATION_v3_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&quot;},{&quot;citationID&quot;:&quot;MENDELEY_CITATION_3ec0d76c-64ed-4ffb-9543-8d341ae4fb6d&quot;,&quot;properties&quot;:{&quot;noteIndex&quot;:0},&quot;isEdited&quot;:false,&quot;manualOverride&quot;:{&quot;isManuallyOverridden&quot;:false,&quot;citeprocText&quot;:&quot;&lt;sup&gt;31,32&lt;/sup&gt;&quot;,&quot;manualOverrideText&quot;:&quot;&quot;},&quot;citationItems&quot;:[{&quot;id&quot;:&quot;3b7a788b-6c63-3c5c-a35d-63f061a0fc41&quot;,&quot;itemData&quot;:{&quot;type&quot;:&quot;article-journal&quot;,&quot;id&quot;:&quot;3b7a788b-6c63-3c5c-a35d-63f061a0fc41&quot;,&quot;title&quot;:&quot;The Time Toxicity of Cancer Treatment&quot;,&quot;author&quot;:[{&quot;family&quot;:&quot;Gupta&quot;,&quot;given&quot;:&quot;Arjun&quot;,&quot;parse-names&quot;:false,&quot;dropping-particle&quot;:&quot;&quot;,&quot;non-dropping-particle&quot;:&quot;&quot;},{&quot;family&quot;:&quot;Eisenhauer&quot;,&quot;given&quot;:&quot;Elizabeth A.&quot;,&quot;parse-names&quot;:false,&quot;dropping-particle&quot;:&quot;&quot;,&quot;non-dropping-particle&quot;:&quot;&quot;},{&quot;family&quot;:&quot;Booth&quot;,&quot;given&quot;:&quot;Christopher M.&quot;,&quot;parse-names&quot;:false,&quot;dropping-particle&quot;:&quot;&quot;,&quot;non-dropping-particle&quot;:&quot;&quot;}],&quot;container-title&quot;:&quot;Journal of Clinical Oncology&quot;,&quot;accessed&quot;:{&quot;date-parts&quot;:[[2023,3,13]]},&quot;DOI&quot;:&quot;10.1200/JCO.21.02810&quot;,&quot;ISSN&quot;:&quot;15277755&quot;,&quot;PMID&quot;:&quot;35235366&quot;,&quot;issued&quot;:{&quot;date-parts&quot;:[[2022,5,20]]},&quot;page&quot;:&quot;1611-1615&quot;,&quot;abstract&quot;:&quot;Oncology has lagged in realizing the time burdens of cancer care. Trials should report time toxicity&quot;,&quot;publisher&quot;:&quot;Lippincott Williams and Wilkins&quot;,&quot;issue&quot;:&quot;15&quot;,&quot;volume&quot;:&quot;40&quot;,&quot;container-title-short&quot;:&quot;&quot;},&quot;isTemporary&quot;:false},{&quot;id&quot;:&quot;490533e2-5d24-3a1b-bf98-40581f6e0ab1&quot;,&quot;itemData&quot;:{&quot;type&quot;:&quot;report&quot;,&quot;id&quot;:&quot;490533e2-5d24-3a1b-bf98-40581f6e0ab1&quot;,&quot;title&quot;:&quot;Evaluating the Time Toxicity of Cancer Treatment in the CCTG CO.17 Trial&quot;,&quot;author&quot;:[{&quot;family&quot;:&quot;Gupta&quot;,&quot;given&quot;:&quot;Arjun&quot;,&quot;parse-names&quot;:false,&quot;dropping-particle&quot;:&quot;&quot;,&quot;non-dropping-particle&quot;:&quot;&quot;},{&quot;family&quot;:&quot;Christopher&quot;,&quot;given&quot;:&quot;;&quot;,&quot;parse-names&quot;:false,&quot;dropping-particle&quot;:&quot;&quot;,&quot;non-dropping-particle&quot;:&quot;&quot;},{&quot;family&quot;:&quot;O'callaghan&quot;,&quot;given&quot;:&quot;J&quot;,&quot;parse-names&quot;:false,&quot;dropping-particle&quot;:&quot;&quot;,&quot;non-dropping-particle&quot;:&quot;&quot;},{&quot;family&quot;:&quot;Zhu&quot;,&quot;given&quot;:&quot;Liting&quot;,&quot;parse-names&quot;:false,&quot;dropping-particle&quot;:&quot;&quot;,&quot;non-dropping-particle&quot;:&quot;&quot;},{&quot;family&quot;:&quot;Jonker&quot;,&quot;given&quot;:&quot;Derek J&quot;,&quot;parse-names&quot;:false,&quot;dropping-particle&quot;:&quot;&quot;,&quot;non-dropping-particle&quot;:&quot;&quot;},{&quot;family&quot;:&quot;Ralph&quot;,&quot;given&quot;:&quot;;&quot;,&quot;parse-names&quot;:false,&quot;dropping-particle&quot;:&quot;&quot;,&quot;non-dropping-particle&quot;:&quot;&quot;},{&quot;family&quot;:&quot;Wong&quot;,&quot;given&quot;:&quot;P W&quot;,&quot;parse-names&quot;:false,&quot;dropping-particle&quot;:&quot;&quot;,&quot;non-dropping-particle&quot;:&quot;&quot;},{&quot;family&quot;:&quot;Colwell&quot;,&quot;given&quot;:&quot;; Bruce&quot;,&quot;parse-names&quot;:false,&quot;dropping-particle&quot;:&quot;&quot;,&quot;non-dropping-particle&quot;:&quot;&quot;},{&quot;family&quot;:&quot;Malcolm&quot;,&quot;given&quot;:&quot;;&quot;,&quot;parse-names&quot;:false,&quot;dropping-particle&quot;:&quot;&quot;,&quot;non-dropping-particle&quot;:&quot;&quot;},{&quot;family&quot;:&quot;Moore&quot;,&quot;given&quot;:&quot;J&quot;,&quot;parse-names&quot;:false,&quot;dropping-particle&quot;:&quot;&quot;,&quot;non-dropping-particle&quot;:&quot;&quot;},{&quot;family&quot;:&quot;Karapetis&quot;,&quot;given&quot;:&quot;Christos S&quot;,&quot;parse-names&quot;:false,&quot;dropping-particle&quot;:&quot;&quot;,&quot;non-dropping-particle&quot;:&quot;&quot;},{&quot;family&quot;:&quot;Tebbutt&quot;,&quot;given&quot;:&quot;Niall C&quot;,&quot;parse-names&quot;:false,&quot;dropping-particle&quot;:&quot;&quot;,&quot;non-dropping-particle&quot;:&quot;&quot;},{&quot;family&quot;:&quot;Shapiro&quot;,&quot;given&quot;:&quot;Jeremy D&quot;,&quot;parse-names&quot;:false,&quot;dropping-particle&quot;:&quot;&quot;,&quot;non-dropping-particle&quot;:&quot;&quot;},{&quot;family&quot;:&quot;Tu&quot;,&quot;given&quot;:&quot;Dongsheng&quot;,&quot;parse-names&quot;:false,&quot;dropping-particle&quot;:&quot;&quot;,&quot;non-dropping-particle&quot;:&quot;&quot;},{&quot;family&quot;:&quot;Booth&quot;,&quot;given&quot;:&quot;Christopher M&quot;,&quot;parse-names&quot;:false,&quot;dropping-particle&quot;:&quot;&quot;,&quot;non-dropping-particle&quot;:&quot;&quot;}],&quot;URL&quot;:&quot;https://doi.org/10.&quot;,&quot;issued&quot;:{&quot;date-parts&quot;:[[2023]]}},&quot;isTemporary&quot;:false}],&quot;citationTag&quot;:&quot;MENDELEY_CITATION_v3_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&quot;},{&quot;citationID&quot;:&quot;MENDELEY_CITATION_3de66492-2f79-4a98-8319-6a92c91b6a49&quot;,&quot;properties&quot;:{&quot;noteIndex&quot;:0},&quot;isEdited&quot;:false,&quot;manualOverride&quot;:{&quot;isManuallyOverridden&quot;:false,&quot;citeprocText&quot;:&quot;&lt;sup&gt;15,33,34&lt;/sup&gt;&quot;,&quot;manualOverrideText&quot;:&quot;&quot;},&quot;citationItems&quot;:[{&quot;id&quot;:&quot;803e224d-4ee0-3ae3-b03f-badac1354341&quot;,&quot;itemData&quot;:{&quot;type&quot;:&quot;article-journal&quot;,&quot;id&quot;:&quot;803e224d-4ee0-3ae3-b03f-badac1354341&quot;,&quot;title&quot;:&quot;Time and productivity loss associated with immunotherapy infusions for the treatment of melanoma in the United States: a survey of health care professionals and patients&quot;,&quot;author&quot;:[{&quot;family&quot;:&quot;Aguiar-Ibáñez&quot;,&quot;given&quot;:&quot;Raquel&quot;,&quot;parse-names&quot;:false,&quot;dropping-particle&quot;:&quot;&quot;,&quot;non-dropping-particle&quot;:&quot;&quot;},{&quot;family&quot;:&quot;Scherrer&quot;,&quot;given&quot;:&quot;Emilie&quot;,&quot;parse-names&quot;:false,&quot;dropping-particle&quot;:&quot;&quot;,&quot;non-dropping-particle&quot;:&quot;&quot;},{&quot;family&quot;:&quot;Grebennik&quot;,&quot;given&quot;:&quot;Dmitri&quot;,&quot;parse-names&quot;:false,&quot;dropping-particle&quot;:&quot;&quot;,&quot;non-dropping-particle&quot;:&quot;&quot;},{&quot;family&quot;:&quot;Cook&quot;,&quot;given&quot;:&quot;John&quot;,&quot;parse-names&quot;:false,&quot;dropping-particle&quot;:&quot;&quot;,&quot;non-dropping-particle&quot;:&quot;&quot;},{&quot;family&quot;:&quot;Bagga&quot;,&quot;given&quot;:&quot;Shalini&quot;,&quot;parse-names&quot;:false,&quot;dropping-particle&quot;:&quot;&quot;,&quot;non-dropping-particle&quot;:&quot;&quot;},{&quot;family&quot;:&quot;Sawhney&quot;,&quot;given&quot;:&quot;Baanie&quot;,&quot;parse-names&quot;:false,&quot;dropping-particle&quot;:&quot;&quot;,&quot;non-dropping-particle&quot;:&quot;&quot;},{&quot;family&quot;:&quot;Khandelwal&quot;,&quot;given&quot;:&quot;Anvi&quot;,&quot;parse-names&quot;:false,&quot;dropping-particle&quot;:&quot;&quot;,&quot;non-dropping-particle&quot;:&quot;&quot;},{&quot;family&quot;:&quot;Soefje&quot;,&quot;given&quot;:&quot;Scott A.&quot;,&quot;parse-names&quot;:false,&quot;dropping-particle&quot;:&quot;&quot;,&quot;non-dropping-particle&quot;:&quot;&quot;}],&quot;container-title&quot;:&quot;BMC Health Services Research&quot;,&quot;container-title-short&quot;:&quot;BMC Health Serv Res&quot;,&quot;DOI&quot;:&quot;10.1186/s12913-022-08904-4&quot;,&quot;ISSN&quot;:&quot;14726963&quot;,&quot;PMID&quot;:&quot;36759810&quot;,&quot;issued&quot;:{&quot;date-parts&quot;:[[2023,12,1]]},&quot;abstract&quot;:&quot;Introduction: A new dosing schedule for the oncology immunotherapy pembrolizumab, every 6 weeks (Q6W), has been approved by the U.S. FDA, reducing the frequency of visits to infusion centers. We quantified the time spent by oncologists, nurses, patients, and caregivers per melanoma-related immunotherapy infusion visit to evaluate its potential impact. Methods: Surveys were self-completed by 100 oncologists, 101 oncology nurses, and 100 patients with melanoma across the U.S. to quantify the time spent per infusion visit with pembrolizumab (Q3W or Q6W), nivolumab (Q2W or Q4W), or nivolumab+ipilimumab (nivolumab in combination: Q3W; nivolumab maintenance: Q2W or Q4W). Time measures included traveling, waiting, consultation, infusion, post-treatment observation, and caregiving. Respondents were also surveyed regarding the impact of the COVID-19 pandemic on infusion treatments. Results: Responses deemed valid were provided by 89 oncologists, 93 nurses, and 100 patients. For each new [returning] patient treated with pembrolizumab, nivolumab or nivolumab+ipilimumab, oncologists reported to spend an average of 90 [64], 87 [60] and 101 [69] minutes per infusion visit (p-value for between-group difference = 0.300 [0.627]). For first [subsequent] treatment cycles, nurses reported spending 160 [145] average minutes per visit for nivolumab+ipilimumab, versus roughly 120 [110] for the single agents (p-value for between-group difference = 0.018 [0.022]). Patients reported to spend an average of 263, 382, and 224 minutes per visit at the center for pembrolizumab (N = 47), nivolumab (n = 34), and nivolumab+ipilimumab (n = 15) respectively (p-value for between-group difference = 0.0002). Patients also reported that their unpaid (N = 20) and paid caregivers (N = 41) spent with them an average of 966 and 333 minutes, respectively, from the day before to the day after the infusion visit. Conclusion: Less frequent immunotherapy infusion visits may result in substantial time savings for oncologists, nurses, patients, and caregivers.&quot;,&quot;publisher&quot;:&quot;BioMed Central Ltd&quot;,&quot;issue&quot;:&quot;1&quot;,&quot;volume&quot;:&quot;23&quot;},&quot;isTemporary&quot;:false},{&quot;id&quot;:&quot;5c75f01c-c688-3cb3-a8d7-c83e78e1e075&quot;,&quot;itemData&quot;:{&quot;type&quot;:&quot;article-journal&quot;,&quot;id&quot;:&quot;5c75f01c-c688-3cb3-a8d7-c83e78e1e075&quot;,&quot;title&quot;:&quot;Time spent at home among older adults with acute myeloid leukemia receiving azacitidine- or venetoclax-based regimens&quot;,&quot;author&quot;:[{&quot;family&quot;:&quot;Jensen&quot;,&quot;given&quot;:&quot;Christopher E.&quot;,&quot;parse-names&quot;:false,&quot;dropping-particle&quot;:&quot;&quot;,&quot;non-dropping-particle&quot;:&quot;&quot;},{&quot;family&quot;:&quot;Heiling&quot;,&quot;given&quot;:&quot;Hilary M.&quot;,&quot;parse-names&quot;:false,&quot;dropping-particle&quot;:&quot;&quot;,&quot;non-dropping-particle&quot;:&quot;&quot;},{&quot;family&quot;:&quot;Beke&quot;,&quot;given&quot;:&quot;Konan E.&quot;,&quot;parse-names&quot;:false,&quot;dropping-particle&quot;:&quot;&quot;,&quot;non-dropping-particle&quot;:&quot;&quot;},{&quot;family&quot;:&quot;Deal&quot;,&quot;given&quot;:&quot;Allison M.&quot;,&quot;parse-names&quot;:false,&quot;dropping-particle&quot;:&quot;&quot;,&quot;non-dropping-particle&quot;:&quot;&quot;},{&quot;family&quot;:&quot;Bryant&quot;,&quot;given&quot;:&quot;Ashley L.&quot;,&quot;parse-names&quot;:false,&quot;dropping-particle&quot;:&quot;&quot;,&quot;non-dropping-particle&quot;:&quot;&quot;},{&quot;family&quot;:&quot;Coombs&quot;,&quot;given&quot;:&quot;Lorinda A.&quot;,&quot;parse-names&quot;:false,&quot;dropping-particle&quot;:&quot;&quot;,&quot;non-dropping-particle&quot;:&quot;&quot;},{&quot;family&quot;:&quot;Foster&quot;,&quot;given&quot;:&quot;Matthew C.&quot;,&quot;parse-names&quot;:false,&quot;dropping-particle&quot;:&quot;&quot;,&quot;non-dropping-particle&quot;:&quot;&quot;},{&quot;family&quot;:&quot;Richardson&quot;,&quot;given&quot;:&quot;Daniel R.&quot;,&quot;parse-names&quot;:false,&quot;dropping-particle&quot;:&quot;&quot;,&quot;non-dropping-particle&quot;:&quot;&quot;}],&quot;container-title&quot;:&quot;Haematologica&quot;,&quot;container-title-short&quot;:&quot;Haematologica&quot;,&quot;DOI&quot;:&quot;10.3324/haematol.2022.280728&quot;,&quot;ISSN&quot;:&quot;15928721&quot;,&quot;PMID&quot;:&quot;35861016&quot;,&quot;issued&quot;:{&quot;date-parts&quot;:[[2023,4,1]]},&quot;page&quot;:&quot;1006-1014&quot;,&quot;abstract&quot;:&quot;Time at home is a critically important outcome to adults with acute myeloid leukemia (AML) when selecting treatment; however, no study to date has adequately described the amount of time older adults spend at home following initiation of chemotherapy. We queried records from a multi-institution health system to identify adults aged ≥60 years newly diagnosed with AML who were treated with azacitidine or venetoclax and evaluated the proportion of days at home (PDH) following diagnosis. Days were considered “at home” if patients were not admitted or seen in the emergency department or oncology/infusion clinic. Assessed covariates included demographics and disease risk. Associations between PDH and baseline characteristics were evaluated via linear regression, adjusted for log length of follow-up. From 2015-2020, 113 older adults were identified. Most received azacitidine plus venetoclax (51.3%) followed by azacitidine monotherapy (38.9%). The mean PDH for all patients was 0.58 (95% confidence interval: 0.54-0.63, median 0.63). PDH increased among survivors over time. PDH did not differ between therapy groups (adjusted mean, azacitidine plus venetoclax: 0.68; azacitidine monotherapy: 0.66; P=0.64) or between disease risk categories (P=0.34). Compared to patients receiving azacitidine monotherapy, patients receiving azacitidine plus venetoclax had longer clinic visits (median minutes: 127.9 vs. 112.9, P&lt;0.001) and infusion visits (median minutes: 194.3 vs. 132.5, P&lt;0.001). The burden of care for older adults with AML treated with “less intense” chemotherapy is high. The addition of venetoclax to azacitidine did not translate into increased time at home. Future prospective studies should evaluate patient-centered outcomes, including time at home, to inform shared decision-making and drug development.&quot;,&quot;publisher&quot;:&quot;Ferrata Storti Foundation&quot;,&quot;issue&quot;:&quot;4&quot;,&quot;volume&quot;:&quot;108&quot;},&quot;isTemporary&quot;:false},{&quot;id&quot;:&quot;ae79422e-1447-3422-b37b-0cbdc9f962b1&quot;,&quot;itemData&quot;:{&quot;type&quot;:&quot;article-journal&quot;,&quot;id&quot;:&quot;ae79422e-1447-3422-b37b-0cbdc9f962b1&quot;,&quot;title&quot;:&quot;Estimation of time cost of anti-cancer drugs approved based on comparisons to best supportive care: A cross sectional analysis&quot;,&quot;author&quot;:[{&quot;family&quot;:&quot;Prasad&quot;,&quot;given&quot;:&quot;Vinay&quot;,&quot;parse-names&quot;:false,&quot;dropping-particle&quot;:&quot;&quot;,&quot;non-dropping-particle&quot;:&quot;&quot;},{&quot;family&quot;:&quot;Olivier&quot;,&quot;given&quot;:&quot;Timothée&quot;,&quot;parse-names&quot;:false,&quot;dropping-particle&quot;:&quot;&quot;,&quot;non-dropping-particle&quot;:&quot;&quot;},{&quot;family&quot;:&quot;Chen&quot;,&quot;given&quot;:&quot;Emerson Y.&quot;,&quot;parse-names&quot;:false,&quot;dropping-particle&quot;:&quot;&quot;,&quot;non-dropping-particle&quot;:&quot;&quot;},{&quot;family&quot;:&quot;Haslam&quot;,&quot;given&quot;:&quot;Alyson&quot;,&quot;parse-names&quot;:false,&quot;dropping-particle&quot;:&quot;&quot;,&quot;non-dropping-particle&quot;:&quot;&quot;}],&quot;container-title&quot;:&quot;Journal of Cancer Policy&quot;,&quot;container-title-short&quot;:&quot;J Cancer Policy&quot;,&quot;accessed&quot;:{&quot;date-parts&quot;:[[2023,4,2]]},&quot;DOI&quot;:&quot;10.1016/J.JCPO.2022.100363&quot;,&quot;ISSN&quot;:&quot;2213-5383&quot;,&quot;PMID&quot;:&quot;36162749&quot;,&quot;issued&quot;:{&quot;date-parts&quot;:[[2022,12,1]]},&quot;page&quot;:&quot;100363&quot;,&quot;abstract&quot;:&quot;Background: Financial costs from cancer treatment are increasingly recognized, but what has historically been underrecognized is the time cost of therapy. We sought to estimate the time burden of anti-cancer drugs approved based on comparisons to best supportive care (BSC), with the assumption that without this drug, a patient could have been treated with observation, home palliative care or hospice services, with minimal time seeking medical care. Methods: We searched all FDA approvals (2009 - March 2022) for randomized trials that used BSC as a treatment option for an anti-tumor drug in the metastatic setting and abstracted data on treatment related activities. We then estimated time spent on these activities using previously calculated times. Results: Of the 13 drugs tested against BSC, nine studies demonstrated an improvement in median OS (median 2.1 months). The median monthly time spent for patients in the intervention arm of BSC trials was 15.8 h. Conclusion: Time is a valuable resource for people who have cancer, but especially for patients who may have few to no remaining treatment options, and yet, we found that patients can spend up to 16 h in anti-cancer drug related activities per month. Policy summary: Because survival outcomes are variable for patients being treated in later lines of therapy, time resources are a valuable consideration in the treatment plan.&quot;,&quot;publisher&quot;:&quot;Elsevier&quot;,&quot;volume&quot;:&quot;34&quot;},&quot;isTemporary&quot;:false}],&quot;citationTag&quot;:&quot;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&quot;},{&quot;citationID&quot;:&quot;MENDELEY_CITATION_ce847bad-f80d-4979-87b6-99fe37923438&quot;,&quot;properties&quot;:{&quot;noteIndex&quot;:0},&quot;isEdited&quot;:false,&quot;manualOverride&quot;:{&quot;isManuallyOverridden&quot;:false,&quot;citeprocText&quot;:&quot;&lt;sup&gt;35&lt;/sup&gt;&quot;,&quot;manualOverrideText&quot;:&quot;&quot;},&quot;citationItems&quot;:[{&quot;id&quot;:&quot;61540017-0c4a-3db5-ae95-792f88e5fd46&quot;,&quot;itemData&quot;:{&quot;type&quot;:&quot;article&quot;,&quot;id&quot;:&quot;61540017-0c4a-3db5-ae95-792f88e5fd46&quot;,&quot;title&quot;:&quot;The unequal burden of time toxicity&quot;,&quot;author&quot;:[{&quot;family&quot;:&quot;Johnson&quot;,&quot;given&quot;:&quot;Whitney&quot;,&quot;parse-names&quot;:false,&quot;dropping-particle&quot;:&quot;V.&quot;,&quot;non-dropping-particle&quot;:&quot;&quot;},{&quot;family&quot;:&quot;Blaes&quot;,&quot;given&quot;:&quot;Anne H.&quot;,&quot;parse-names&quot;:false,&quot;dropping-particle&quot;:&quot;&quot;,&quot;non-dropping-particle&quot;:&quot;&quot;},{&quot;family&quot;:&quot;Booth&quot;,&quot;given&quot;:&quot;Christopher M.&quot;,&quot;parse-names&quot;:false,&quot;dropping-particle&quot;:&quot;&quot;,&quot;non-dropping-particle&quot;:&quot;&quot;},{&quot;family&quot;:&quot;Ganguli&quot;,&quot;given&quot;:&quot;Ishani&quot;,&quot;parse-names&quot;:false,&quot;dropping-particle&quot;:&quot;&quot;,&quot;non-dropping-particle&quot;:&quot;&quot;},{&quot;family&quot;:&quot;Gupta&quot;,&quot;given&quot;:&quot;Arjun&quot;,&quot;parse-names&quot;:false,&quot;dropping-particle&quot;:&quot;&quot;,&quot;non-dropping-particle&quot;:&quot;&quot;}],&quot;container-title&quot;:&quot;Trends in Cancer&quot;,&quot;container-title-short&quot;:&quot;Trends Cancer&quot;,&quot;DOI&quot;:&quot;10.1016/j.trecan.2023.01.006&quot;,&quot;ISSN&quot;:&quot;24058033&quot;,&quot;issued&quot;:{&quot;date-parts&quot;:[[2023]]},&quot;abstract&quot;:&quot;Many cancer treatments impose large time investments on patients. We have termed these time burdens ‘time toxicity’ and have urged their consideration as adverse events of treatment. Here, we discuss time toxicity measures while considering inequitable access to healthcare, time as a resource, and patterns of time toxicity.&quot;,&quot;publisher&quot;:&quot;Cell Press&quot;},&quot;isTemporary&quot;:false}],&quot;citationTag&quot;:&quot;MENDELEY_CITATION_v3_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&quot;},{&quot;citationID&quot;:&quot;MENDELEY_CITATION_8cae9aee-cd76-439a-bb14-b99b168ef66d&quot;,&quot;properties&quot;:{&quot;noteIndex&quot;:0},&quot;isEdited&quot;:false,&quot;manualOverride&quot;:{&quot;isManuallyOverridden&quot;:false,&quot;citeprocText&quot;:&quot;&lt;sup&gt;31&lt;/sup&gt;&quot;,&quot;manualOverrideText&quot;:&quot;&quot;},&quot;citationItems&quot;:[{&quot;id&quot;:&quot;3b7a788b-6c63-3c5c-a35d-63f061a0fc41&quot;,&quot;itemData&quot;:{&quot;type&quot;:&quot;article-journal&quot;,&quot;id&quot;:&quot;3b7a788b-6c63-3c5c-a35d-63f061a0fc41&quot;,&quot;title&quot;:&quot;The Time Toxicity of Cancer Treatment&quot;,&quot;author&quot;:[{&quot;family&quot;:&quot;Gupta&quot;,&quot;given&quot;:&quot;Arjun&quot;,&quot;parse-names&quot;:false,&quot;dropping-particle&quot;:&quot;&quot;,&quot;non-dropping-particle&quot;:&quot;&quot;},{&quot;family&quot;:&quot;Eisenhauer&quot;,&quot;given&quot;:&quot;Elizabeth A.&quot;,&quot;parse-names&quot;:false,&quot;dropping-particle&quot;:&quot;&quot;,&quot;non-dropping-particle&quot;:&quot;&quot;},{&quot;family&quot;:&quot;Booth&quot;,&quot;given&quot;:&quot;Christopher M.&quot;,&quot;parse-names&quot;:false,&quot;dropping-particle&quot;:&quot;&quot;,&quot;non-dropping-particle&quot;:&quot;&quot;}],&quot;container-title&quot;:&quot;Journal of Clinical Oncology&quot;,&quot;accessed&quot;:{&quot;date-parts&quot;:[[2023,3,13]]},&quot;DOI&quot;:&quot;10.1200/JCO.21.02810&quot;,&quot;ISSN&quot;:&quot;15277755&quot;,&quot;PMID&quot;:&quot;35235366&quot;,&quot;issued&quot;:{&quot;date-parts&quot;:[[2022,5,20]]},&quot;page&quot;:&quot;1611-1615&quot;,&quot;abstract&quot;:&quot;Oncology has lagged in realizing the time burdens of cancer care. Trials should report time toxicity&quot;,&quot;publisher&quot;:&quot;Lippincott Williams and Wilkins&quot;,&quot;issue&quot;:&quot;15&quot;,&quot;volume&quot;:&quot;40&quot;,&quot;container-title-short&quot;:&quot;&quot;},&quot;isTemporary&quot;:false}],&quot;citationTag&quot;:&quot;MENDELEY_CITATION_v3_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&quot;}]"/>
    <we:property name="MENDELEY_CITATIONS_LOCALE_CODE" value="&quot;en-GB&quot;"/>
    <we:property name="MENDELEY_CITATIONS_STYLE" value="{&quot;id&quot;:&quot;https://www.zotero.org/styles/the-lancet-oncology&quot;,&quot;title&quot;:&quot;The Lancet Oncology&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3E2538-52F6-4AEB-AA2D-74DA91712A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511</Words>
  <Characters>2919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Atre, Swarali</dc:creator>
  <cp:keywords/>
  <dc:description/>
  <cp:lastModifiedBy>Trupti Sudge</cp:lastModifiedBy>
  <cp:revision>2</cp:revision>
  <cp:lastPrinted>2024-03-07T05:12:00Z</cp:lastPrinted>
  <dcterms:created xsi:type="dcterms:W3CDTF">2024-03-22T14:00:00Z</dcterms:created>
  <dcterms:modified xsi:type="dcterms:W3CDTF">2024-03-22T14:00:00Z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documentId_609</vt:lpwstr>
  </property>
  <property fmtid="{D5CDD505-2E9C-101B-9397-08002B2CF9AE}" pid="3" name="grammarly_documentContext">
    <vt:lpwstr>{"goals":[],"domain":"general","emotions":[],"dialect":"american"}</vt:lpwstr>
  </property>
  <property fmtid="{D5CDD505-2E9C-101B-9397-08002B2CF9AE}" pid="4" name="ZOTERO_PREF_1">
    <vt:lpwstr>&lt;data data-version="3" zotero-version="6.0.30"&gt;&lt;session id="7h4WxOcU"/&gt;&lt;style id="http://www.zotero.org/styles/breast-cancer-research-and-treatment" hasBibliography="1" bibliographyStyleHasBeenSet="1"/&gt;&lt;prefs&gt;&lt;pref name="fieldType" value="Field"/&gt;&lt;pref na</vt:lpwstr>
  </property>
  <property fmtid="{D5CDD505-2E9C-101B-9397-08002B2CF9AE}" pid="5" name="ZOTERO_PREF_2">
    <vt:lpwstr>me="automaticJournalAbbreviations" value="true"/&gt;&lt;pref name="dontAskDelayCitationUpdates" value="true"/&gt;&lt;/prefs&gt;&lt;/data&gt;</vt:lpwstr>
  </property>
</Properties>
</file>