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0"/>
          <w:szCs w:val="20"/>
        </w:rPr>
      </w:pPr>
      <w:r>
        <w:rPr>
          <w:rFonts w:ascii="Arial" w:hAnsi="Arial" w:cs="Arial"/>
          <w:b/>
          <w:bCs/>
          <w:sz w:val="20"/>
          <w:szCs w:val="20"/>
        </w:rPr>
        <w:t>Additional file 1:</w:t>
      </w:r>
      <w:r>
        <w:rPr>
          <w:rFonts w:ascii="Arial" w:hAnsi="Arial" w:cs="Arial"/>
          <w:b/>
          <w:bCs/>
          <w:sz w:val="20"/>
          <w:szCs w:val="20"/>
        </w:rPr>
        <w:t xml:space="preserve"> F</w:t>
      </w:r>
      <w:r>
        <w:rPr>
          <w:rFonts w:hint="eastAsia" w:ascii="Arial" w:hAnsi="Arial" w:cs="Arial"/>
          <w:b/>
          <w:bCs/>
          <w:sz w:val="20"/>
          <w:szCs w:val="20"/>
        </w:rPr>
        <w:t>ig</w:t>
      </w:r>
      <w:r>
        <w:rPr>
          <w:rFonts w:hint="default" w:ascii="Arial" w:hAnsi="Arial" w:cs="Arial"/>
          <w:b/>
          <w:bCs/>
          <w:sz w:val="20"/>
          <w:szCs w:val="20"/>
        </w:rPr>
        <w:t>ure</w:t>
      </w:r>
      <w:r>
        <w:rPr>
          <w:rFonts w:ascii="Arial" w:hAnsi="Arial" w:cs="Arial"/>
          <w:b/>
          <w:bCs/>
          <w:sz w:val="20"/>
          <w:szCs w:val="20"/>
        </w:rPr>
        <w:t xml:space="preserve"> S1 </w:t>
      </w:r>
      <w:r>
        <w:rPr>
          <w:rFonts w:ascii="Times New Roman" w:hAnsi="Times New Roman" w:cs="Times New Roman"/>
          <w:sz w:val="20"/>
          <w:szCs w:val="20"/>
        </w:rPr>
        <w:t>The overall flow chart of obtaining a risk scoring system.</w:t>
      </w:r>
    </w:p>
    <w:p>
      <w:pPr>
        <w:rPr>
          <w:rFonts w:ascii="Arial" w:hAnsi="Arial" w:cs="Arial"/>
          <w:sz w:val="20"/>
          <w:szCs w:val="20"/>
        </w:rPr>
      </w:pPr>
    </w:p>
    <w:p>
      <w:pPr>
        <w:rPr>
          <w:rFonts w:ascii="Times New Roman" w:hAnsi="Times New Roman" w:cs="Times New Roman"/>
          <w:sz w:val="20"/>
          <w:szCs w:val="20"/>
        </w:rPr>
      </w:pPr>
      <w:r>
        <w:rPr>
          <w:rFonts w:ascii="Arial" w:hAnsi="Arial" w:cs="Arial"/>
          <w:b/>
          <w:bCs/>
          <w:sz w:val="20"/>
          <w:szCs w:val="20"/>
        </w:rPr>
        <w:t>Additional</w:t>
      </w:r>
      <w:r>
        <w:rPr>
          <w:rFonts w:ascii="Arial" w:hAnsi="Arial" w:cs="Arial"/>
          <w:b/>
          <w:bCs/>
          <w:sz w:val="20"/>
          <w:szCs w:val="20"/>
        </w:rPr>
        <w:t xml:space="preserve"> </w:t>
      </w:r>
      <w:r>
        <w:rPr>
          <w:rFonts w:ascii="Arial" w:hAnsi="Arial" w:cs="Arial"/>
          <w:b/>
          <w:bCs/>
          <w:sz w:val="20"/>
          <w:szCs w:val="20"/>
        </w:rPr>
        <w:t xml:space="preserve">file </w:t>
      </w:r>
      <w:r>
        <w:rPr>
          <w:rFonts w:ascii="Arial" w:hAnsi="Arial" w:cs="Arial"/>
          <w:b/>
          <w:bCs/>
          <w:sz w:val="20"/>
          <w:szCs w:val="20"/>
        </w:rPr>
        <w:t>2</w:t>
      </w:r>
      <w:r>
        <w:rPr>
          <w:rFonts w:ascii="Arial" w:hAnsi="Arial" w:cs="Arial"/>
          <w:b/>
          <w:bCs/>
          <w:sz w:val="20"/>
          <w:szCs w:val="20"/>
        </w:rPr>
        <w:t>: F</w:t>
      </w:r>
      <w:r>
        <w:rPr>
          <w:rFonts w:hint="eastAsia" w:ascii="Arial" w:hAnsi="Arial" w:cs="Arial"/>
          <w:b/>
          <w:bCs/>
          <w:sz w:val="20"/>
          <w:szCs w:val="20"/>
        </w:rPr>
        <w:t>ig</w:t>
      </w:r>
      <w:r>
        <w:rPr>
          <w:rFonts w:hint="default" w:ascii="Arial" w:hAnsi="Arial" w:cs="Arial"/>
          <w:b/>
          <w:bCs/>
          <w:sz w:val="20"/>
          <w:szCs w:val="20"/>
        </w:rPr>
        <w:t>ure</w:t>
      </w:r>
      <w:r>
        <w:rPr>
          <w:rFonts w:ascii="Arial" w:hAnsi="Arial" w:cs="Arial"/>
          <w:b/>
          <w:bCs/>
          <w:sz w:val="20"/>
          <w:szCs w:val="20"/>
        </w:rPr>
        <w:t xml:space="preserve"> S2 </w:t>
      </w:r>
      <w:r>
        <w:rPr>
          <w:rFonts w:ascii="Times New Roman" w:hAnsi="Times New Roman" w:cs="Times New Roman"/>
          <w:sz w:val="20"/>
          <w:szCs w:val="20"/>
        </w:rPr>
        <w:t xml:space="preserve">Quality control step of four papillary thyroid cancer microarrays. </w:t>
      </w:r>
    </w:p>
    <w:p>
      <w:pPr>
        <w:rPr>
          <w:rFonts w:ascii="Times New Roman" w:hAnsi="Times New Roman" w:cs="Times New Roman"/>
          <w:sz w:val="20"/>
          <w:szCs w:val="20"/>
        </w:rPr>
      </w:pPr>
      <w:r>
        <w:rPr>
          <w:rFonts w:ascii="Times New Roman" w:hAnsi="Times New Roman" w:cs="Times New Roman"/>
          <w:sz w:val="20"/>
          <w:szCs w:val="20"/>
        </w:rPr>
        <w:t xml:space="preserve">Four representative datasets were selected to describe quality control measures. The first column listed the raw data names. the second column presented the calls for each data set (top) and percentage of average background (bottom). The graph in the third column indicated the results of quality control, where 3'-to-5' ratios of β-actin and GAPDH were denoted as triangles and circles, respectively. Outliers were denoted in red, suggesting that the samples were degraded and could not be applied. </w:t>
      </w:r>
      <w:r>
        <w:rPr>
          <w:rFonts w:ascii="Times New Roman" w:hAnsi="Times New Roman" w:cs="Times New Roman"/>
          <w:b/>
          <w:bCs/>
          <w:sz w:val="20"/>
          <w:szCs w:val="20"/>
        </w:rPr>
        <w:t xml:space="preserve">a, b </w:t>
      </w:r>
      <w:r>
        <w:rPr>
          <w:rFonts w:ascii="Times New Roman" w:hAnsi="Times New Roman" w:cs="Times New Roman"/>
          <w:sz w:val="20"/>
          <w:szCs w:val="20"/>
        </w:rPr>
        <w:t xml:space="preserve">All samples passed the test. </w:t>
      </w:r>
      <w:r>
        <w:rPr>
          <w:rFonts w:ascii="Times New Roman" w:hAnsi="Times New Roman" w:cs="Times New Roman"/>
          <w:b/>
          <w:bCs/>
          <w:sz w:val="20"/>
          <w:szCs w:val="20"/>
        </w:rPr>
        <w:t>c</w:t>
      </w:r>
      <w:r>
        <w:rPr>
          <w:rFonts w:ascii="Times New Roman" w:hAnsi="Times New Roman" w:cs="Times New Roman"/>
          <w:sz w:val="20"/>
          <w:szCs w:val="20"/>
        </w:rPr>
        <w:t xml:space="preserve"> One sample failed the GADPH ratio test and was excluded.</w:t>
      </w:r>
      <w:r>
        <w:rPr>
          <w:rFonts w:ascii="Times New Roman" w:hAnsi="Times New Roman" w:cs="Times New Roman"/>
          <w:b/>
          <w:bCs/>
          <w:sz w:val="20"/>
          <w:szCs w:val="20"/>
        </w:rPr>
        <w:t xml:space="preserve"> d</w:t>
      </w:r>
      <w:r>
        <w:rPr>
          <w:rFonts w:ascii="Times New Roman" w:hAnsi="Times New Roman" w:cs="Times New Roman"/>
          <w:sz w:val="20"/>
          <w:szCs w:val="20"/>
        </w:rPr>
        <w:t xml:space="preserve"> Three outliers were located by the test.</w:t>
      </w:r>
    </w:p>
    <w:p>
      <w:pPr>
        <w:rPr>
          <w:rFonts w:ascii="Times New Roman" w:hAnsi="Times New Roman" w:cs="Times New Roman"/>
          <w:sz w:val="20"/>
          <w:szCs w:val="20"/>
        </w:rPr>
      </w:pPr>
    </w:p>
    <w:p>
      <w:pPr>
        <w:rPr>
          <w:rFonts w:ascii="Arial" w:hAnsi="Arial" w:cs="Arial"/>
          <w:b/>
          <w:bCs/>
          <w:sz w:val="20"/>
          <w:szCs w:val="20"/>
        </w:rPr>
      </w:pPr>
      <w:r>
        <w:rPr>
          <w:rFonts w:ascii="Arial" w:hAnsi="Arial" w:cs="Arial"/>
          <w:b/>
          <w:bCs/>
          <w:sz w:val="20"/>
          <w:szCs w:val="20"/>
        </w:rPr>
        <w:t>Additional</w:t>
      </w:r>
      <w:r>
        <w:rPr>
          <w:rFonts w:ascii="Arial" w:hAnsi="Arial" w:cs="Arial"/>
          <w:b/>
          <w:bCs/>
          <w:sz w:val="20"/>
          <w:szCs w:val="20"/>
        </w:rPr>
        <w:t xml:space="preserve"> </w:t>
      </w:r>
      <w:r>
        <w:rPr>
          <w:rFonts w:ascii="Arial" w:hAnsi="Arial" w:cs="Arial"/>
          <w:b/>
          <w:bCs/>
          <w:sz w:val="20"/>
          <w:szCs w:val="20"/>
        </w:rPr>
        <w:t xml:space="preserve">file </w:t>
      </w:r>
      <w:r>
        <w:rPr>
          <w:rFonts w:ascii="Arial" w:hAnsi="Arial" w:cs="Arial"/>
          <w:b/>
          <w:bCs/>
          <w:sz w:val="20"/>
          <w:szCs w:val="20"/>
        </w:rPr>
        <w:t>3</w:t>
      </w:r>
      <w:r>
        <w:rPr>
          <w:rFonts w:ascii="Arial" w:hAnsi="Arial" w:cs="Arial"/>
          <w:b/>
          <w:bCs/>
          <w:sz w:val="20"/>
          <w:szCs w:val="20"/>
        </w:rPr>
        <w:t>: F</w:t>
      </w:r>
      <w:r>
        <w:rPr>
          <w:rFonts w:hint="eastAsia" w:ascii="Arial" w:hAnsi="Arial" w:cs="Arial"/>
          <w:b/>
          <w:bCs/>
          <w:sz w:val="20"/>
          <w:szCs w:val="20"/>
        </w:rPr>
        <w:t>ig</w:t>
      </w:r>
      <w:r>
        <w:rPr>
          <w:rFonts w:hint="default" w:ascii="Arial" w:hAnsi="Arial" w:cs="Arial"/>
          <w:b/>
          <w:bCs/>
          <w:sz w:val="20"/>
          <w:szCs w:val="20"/>
        </w:rPr>
        <w:t>u</w:t>
      </w:r>
      <w:bookmarkStart w:id="0" w:name="_GoBack"/>
      <w:bookmarkEnd w:id="0"/>
      <w:r>
        <w:rPr>
          <w:rFonts w:hint="default" w:ascii="Arial" w:hAnsi="Arial" w:cs="Arial"/>
          <w:b/>
          <w:bCs/>
          <w:sz w:val="20"/>
          <w:szCs w:val="20"/>
        </w:rPr>
        <w:t>re</w:t>
      </w:r>
      <w:r>
        <w:rPr>
          <w:rFonts w:ascii="Arial" w:hAnsi="Arial" w:cs="Arial"/>
          <w:b/>
          <w:bCs/>
          <w:sz w:val="20"/>
          <w:szCs w:val="20"/>
        </w:rPr>
        <w:t xml:space="preserve"> S</w:t>
      </w:r>
      <w:r>
        <w:rPr>
          <w:rFonts w:ascii="Arial" w:hAnsi="Arial" w:cs="Arial"/>
          <w:b/>
          <w:bCs/>
          <w:sz w:val="20"/>
          <w:szCs w:val="20"/>
        </w:rPr>
        <w:t>3</w:t>
      </w:r>
      <w:r>
        <w:rPr>
          <w:rFonts w:ascii="Arial" w:hAnsi="Arial" w:cs="Arial"/>
          <w:b/>
          <w:bCs/>
          <w:sz w:val="20"/>
          <w:szCs w:val="20"/>
        </w:rPr>
        <w:t xml:space="preserve"> </w:t>
      </w:r>
      <w:r>
        <w:rPr>
          <w:rFonts w:ascii="Times New Roman" w:hAnsi="Times New Roman" w:cs="Times New Roman"/>
          <w:sz w:val="20"/>
          <w:szCs w:val="20"/>
        </w:rPr>
        <w:t>Construction of WGCNA model using TCGA thyroid cancer microarray after deleting outliers (N = 482).</w:t>
      </w:r>
    </w:p>
    <w:p>
      <w:pPr>
        <w:rPr>
          <w:rFonts w:ascii="Times New Roman" w:hAnsi="Times New Roman" w:cs="Times New Roman"/>
          <w:sz w:val="20"/>
          <w:szCs w:val="20"/>
        </w:rPr>
      </w:pPr>
      <w:r>
        <w:rPr>
          <w:rFonts w:ascii="Times New Roman" w:hAnsi="Times New Roman" w:cs="Times New Roman"/>
          <w:b/>
          <w:bCs/>
          <w:sz w:val="20"/>
          <w:szCs w:val="20"/>
        </w:rPr>
        <w:t xml:space="preserve">a </w:t>
      </w:r>
      <w:r>
        <w:rPr>
          <w:rFonts w:ascii="Times New Roman" w:hAnsi="Times New Roman" w:cs="Times New Roman"/>
          <w:sz w:val="20"/>
          <w:szCs w:val="20"/>
        </w:rPr>
        <w:t xml:space="preserve">Sample dendrogram and heatmap of associated clinical trait. All the samples could be hierarchically clustered. Binary variables (vital status, gender, N, M) were displayed as red or green blocks, and continuous variables (age, stage, focus type, T) were displayed as color-coded blocks, The various colors of the blocks denoted distinct values. </w:t>
      </w:r>
      <w:r>
        <w:rPr>
          <w:rFonts w:ascii="Times New Roman" w:hAnsi="Times New Roman" w:cs="Times New Roman"/>
          <w:b/>
          <w:bCs/>
          <w:sz w:val="20"/>
          <w:szCs w:val="20"/>
        </w:rPr>
        <w:t xml:space="preserve">b </w:t>
      </w:r>
      <w:r>
        <w:rPr>
          <w:rFonts w:ascii="Times New Roman" w:hAnsi="Times New Roman" w:cs="Times New Roman"/>
          <w:sz w:val="20"/>
          <w:szCs w:val="20"/>
        </w:rPr>
        <w:t>Calculation and selection of the optimal soft-thresholding power for the scale-free topology fit index (scale-free R</w:t>
      </w:r>
      <w:r>
        <w:rPr>
          <w:rFonts w:ascii="Times New Roman" w:hAnsi="Times New Roman" w:cs="Times New Roman"/>
          <w:sz w:val="20"/>
          <w:szCs w:val="20"/>
          <w:vertAlign w:val="superscript"/>
        </w:rPr>
        <w:t>2</w:t>
      </w:r>
      <w:r>
        <w:rPr>
          <w:rFonts w:ascii="Times New Roman" w:hAnsi="Times New Roman" w:cs="Times New Roman"/>
          <w:sz w:val="20"/>
          <w:szCs w:val="20"/>
        </w:rPr>
        <w:t>) (left) and mean connectivity (right). The red horizontal line suggested scale-free R</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0.85. </w:t>
      </w:r>
      <w:r>
        <w:rPr>
          <w:rFonts w:ascii="Times New Roman" w:hAnsi="Times New Roman" w:cs="Times New Roman"/>
          <w:b/>
          <w:bCs/>
          <w:sz w:val="20"/>
          <w:szCs w:val="20"/>
        </w:rPr>
        <w:t>c</w:t>
      </w:r>
      <w:r>
        <w:rPr>
          <w:rFonts w:ascii="Times New Roman" w:hAnsi="Times New Roman" w:cs="Times New Roman"/>
          <w:sz w:val="20"/>
          <w:szCs w:val="20"/>
        </w:rPr>
        <w:t xml:space="preserve"> Clustering dendrogram showed the gene clustering result of 6,492 DEGs. Finally, 7 merged modules in 482 PTC samples was identified.</w:t>
      </w:r>
    </w:p>
    <w:p>
      <w:pPr>
        <w:rPr>
          <w:rFonts w:ascii="Times New Roman" w:hAnsi="Times New Roman" w:cs="Times New Roman"/>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panose1 w:val="020F0702030404030204"/>
    <w:charset w:val="00"/>
    <w:family w:val="swiss"/>
    <w:pitch w:val="default"/>
    <w:sig w:usb0="E10002FF" w:usb1="4000ACFF" w:usb2="00000009" w:usb3="00000000" w:csb0="2000019F"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Arial">
    <w:panose1 w:val="020B0604020202090204"/>
    <w:charset w:val="00"/>
    <w:family w:val="swiss"/>
    <w:pitch w:val="default"/>
    <w:sig w:usb0="E0000AFF" w:usb1="00007843" w:usb2="00000001" w:usb3="00000000" w:csb0="400001BF" w:csb1="DFF70000"/>
  </w:font>
  <w:font w:name="Calibri Light">
    <w:altName w:val="Helvetica Neue"/>
    <w:panose1 w:val="020F0302020204030204"/>
    <w:charset w:val="00"/>
    <w:family w:val="swiss"/>
    <w:pitch w:val="default"/>
    <w:sig w:usb0="00000000" w:usb1="00000000" w:usb2="00000009" w:usb3="00000000" w:csb0="000001FF"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7EC97"/>
    <w:rsid w:val="00555B3B"/>
    <w:rsid w:val="00AD1505"/>
    <w:rsid w:val="6CD6F11F"/>
    <w:rsid w:val="AFDF3EB8"/>
    <w:rsid w:val="DF77E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242</Words>
  <Characters>1386</Characters>
  <Lines>11</Lines>
  <Paragraphs>3</Paragraphs>
  <TotalTime>0</TotalTime>
  <ScaleCrop>false</ScaleCrop>
  <LinksUpToDate>false</LinksUpToDate>
  <CharactersWithSpaces>1625</CharactersWithSpaces>
  <Application>WPS Office_2.3.1.3761_F1E327BC-269C-435d-A152-05C5408002CA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2020-06-10T07:17:00Z</dcterms:created>
  <dc:creator>huangziwei</dc:creator>
  <cp:lastModifiedBy>huangziwei</cp:lastModifiedBy>
  <dcterms:modified xsi:type="dcterms:W3CDTF">2020-07-11T14:17:41Z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2052-2.3.1.3761</vt:lpwstr>
  </property>
</Properties>
</file>