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C54FF" w14:textId="77777777" w:rsidR="00A6485A" w:rsidRDefault="00A6485A"/>
    <w:tbl>
      <w:tblPr>
        <w:tblStyle w:val="TableGrid"/>
        <w:tblW w:w="1423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980"/>
        <w:gridCol w:w="992"/>
        <w:gridCol w:w="1276"/>
        <w:gridCol w:w="1139"/>
        <w:gridCol w:w="1755"/>
        <w:gridCol w:w="1134"/>
        <w:gridCol w:w="1531"/>
        <w:gridCol w:w="1531"/>
        <w:gridCol w:w="992"/>
        <w:gridCol w:w="1904"/>
      </w:tblGrid>
      <w:tr w:rsidR="00A6485A" w14:paraId="1EF9720D" w14:textId="77777777">
        <w:trPr>
          <w:trHeight w:val="454"/>
        </w:trPr>
        <w:tc>
          <w:tcPr>
            <w:tcW w:w="1980" w:type="dxa"/>
            <w:tcBorders>
              <w:top w:val="single" w:sz="12" w:space="0" w:color="auto"/>
              <w:bottom w:val="single" w:sz="12" w:space="0" w:color="auto"/>
            </w:tcBorders>
            <w:noWrap/>
            <w:vAlign w:val="center"/>
          </w:tcPr>
          <w:p w14:paraId="7F35B178" w14:textId="77777777" w:rsidR="00A6485A" w:rsidRDefault="00000000">
            <w:pPr>
              <w:spacing w:line="360" w:lineRule="auto"/>
              <w:rPr>
                <w:rFonts w:ascii="Times New Roman" w:hAnsi="Times New Roman" w:cs="Times New Roman"/>
                <w:sz w:val="16"/>
                <w:szCs w:val="16"/>
              </w:rPr>
            </w:pPr>
            <w:r>
              <w:br w:type="page"/>
            </w:r>
            <w:r>
              <w:rPr>
                <w:rFonts w:ascii="Times New Roman" w:hAnsi="Times New Roman" w:cs="Times New Roman"/>
                <w:noProof/>
                <w:sz w:val="16"/>
                <w:szCs w:val="16"/>
              </w:rPr>
              <mc:AlternateContent>
                <mc:Choice Requires="wps">
                  <w:drawing>
                    <wp:anchor distT="45720" distB="45720" distL="114300" distR="114300" simplePos="0" relativeHeight="251659264" behindDoc="0" locked="0" layoutInCell="1" allowOverlap="1" wp14:anchorId="7215705B" wp14:editId="3B843538">
                      <wp:simplePos x="0" y="0"/>
                      <wp:positionH relativeFrom="column">
                        <wp:posOffset>-68580</wp:posOffset>
                      </wp:positionH>
                      <wp:positionV relativeFrom="paragraph">
                        <wp:posOffset>-439420</wp:posOffset>
                      </wp:positionV>
                      <wp:extent cx="9837420" cy="1404620"/>
                      <wp:effectExtent l="0" t="0" r="0" b="508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7420" cy="1404620"/>
                              </a:xfrm>
                              <a:prstGeom prst="rect">
                                <a:avLst/>
                              </a:prstGeom>
                              <a:solidFill>
                                <a:srgbClr val="FFFFFF"/>
                              </a:solidFill>
                              <a:ln w="9525">
                                <a:noFill/>
                                <a:miter lim="800000"/>
                              </a:ln>
                            </wps:spPr>
                            <wps:txbx>
                              <w:txbxContent>
                                <w:p w14:paraId="630284ED" w14:textId="77777777" w:rsidR="00A6485A" w:rsidRDefault="00000000">
                                  <w:pPr>
                                    <w:rPr>
                                      <w:rFonts w:ascii="Times New Roman" w:eastAsia="DengXian" w:hAnsi="Times New Roman" w:cs="Times New Roman"/>
                                      <w:szCs w:val="21"/>
                                    </w:rPr>
                                  </w:pPr>
                                  <w:r>
                                    <w:rPr>
                                      <w:rFonts w:ascii="Times New Roman" w:eastAsia="DengXian" w:hAnsi="Times New Roman" w:cs="Times New Roman"/>
                                      <w:b/>
                                      <w:szCs w:val="21"/>
                                    </w:rPr>
                                    <w:t xml:space="preserve">Table 1  </w:t>
                                  </w:r>
                                  <w:r>
                                    <w:rPr>
                                      <w:rFonts w:ascii="Times New Roman" w:eastAsia="DengXian" w:hAnsi="Times New Roman" w:cs="Times New Roman"/>
                                      <w:szCs w:val="21"/>
                                    </w:rPr>
                                    <w:t xml:space="preserve">Summary of identified </w:t>
                                  </w:r>
                                  <w:r>
                                    <w:rPr>
                                      <w:rFonts w:ascii="Times New Roman" w:eastAsia="DengXian" w:hAnsi="Times New Roman" w:cs="Times New Roman"/>
                                      <w:i/>
                                      <w:iCs/>
                                      <w:szCs w:val="21"/>
                                    </w:rPr>
                                    <w:t>E</w:t>
                                  </w:r>
                                  <w:r>
                                    <w:rPr>
                                      <w:rFonts w:ascii="Times New Roman" w:eastAsia="DengXian" w:hAnsi="Times New Roman" w:cs="Times New Roman" w:hint="eastAsia"/>
                                      <w:i/>
                                      <w:iCs/>
                                      <w:szCs w:val="21"/>
                                    </w:rPr>
                                    <w:t>YA</w:t>
                                  </w:r>
                                  <w:r>
                                    <w:rPr>
                                      <w:rFonts w:ascii="Times New Roman" w:eastAsia="DengXian" w:hAnsi="Times New Roman" w:cs="Times New Roman"/>
                                      <w:i/>
                                      <w:iCs/>
                                      <w:szCs w:val="21"/>
                                    </w:rPr>
                                    <w:t>4</w:t>
                                  </w:r>
                                  <w:r>
                                    <w:rPr>
                                      <w:rFonts w:ascii="Times New Roman" w:eastAsia="DengXian" w:hAnsi="Times New Roman" w:cs="Times New Roman"/>
                                      <w:szCs w:val="21"/>
                                    </w:rPr>
                                    <w:t xml:space="preserve"> gene variants and clinical phenotypes</w:t>
                                  </w:r>
                                  <w:r>
                                    <w:rPr>
                                      <w:rFonts w:ascii="Times New Roman" w:eastAsia="DengXian" w:hAnsi="Times New Roman" w:cs="Times New Roman"/>
                                      <w:szCs w:val="21"/>
                                    </w:rPr>
                                    <w:t>（</w:t>
                                  </w:r>
                                  <w:r>
                                    <w:rPr>
                                      <w:rFonts w:ascii="Times New Roman" w:eastAsia="DengXian" w:hAnsi="Times New Roman" w:cs="Times New Roman"/>
                                      <w:szCs w:val="21"/>
                                    </w:rPr>
                                    <w:t>yellow</w:t>
                                  </w:r>
                                  <w:r>
                                    <w:rPr>
                                      <w:rFonts w:ascii="Times New Roman" w:eastAsia="SimSun" w:hAnsi="Times New Roman" w:cs="Times New Roman"/>
                                    </w:rPr>
                                    <w:t>—</w:t>
                                  </w:r>
                                  <w:r>
                                    <w:rPr>
                                      <w:rFonts w:ascii="Times New Roman" w:eastAsia="DengXian" w:hAnsi="Times New Roman" w:cs="Times New Roman"/>
                                      <w:szCs w:val="21"/>
                                    </w:rPr>
                                    <w:t>Chinese; blue</w:t>
                                  </w:r>
                                  <w:r>
                                    <w:rPr>
                                      <w:rFonts w:ascii="Times New Roman" w:eastAsia="SimSun" w:hAnsi="Times New Roman" w:cs="Times New Roman"/>
                                    </w:rPr>
                                    <w:t>—</w:t>
                                  </w:r>
                                  <w:r>
                                    <w:rPr>
                                      <w:rFonts w:ascii="Times New Roman" w:eastAsia="DengXian" w:hAnsi="Times New Roman" w:cs="Times New Roman"/>
                                      <w:szCs w:val="21"/>
                                    </w:rPr>
                                    <w:t>Spanish; green</w:t>
                                  </w:r>
                                  <w:r>
                                    <w:rPr>
                                      <w:rFonts w:ascii="Times New Roman" w:eastAsia="SimSun" w:hAnsi="Times New Roman" w:cs="Times New Roman"/>
                                    </w:rPr>
                                    <w:t>—</w:t>
                                  </w:r>
                                  <w:r>
                                    <w:rPr>
                                      <w:rFonts w:ascii="Times New Roman" w:eastAsia="DengXian" w:hAnsi="Times New Roman" w:cs="Times New Roman"/>
                                      <w:szCs w:val="21"/>
                                    </w:rPr>
                                    <w:t>Japanese; brown</w:t>
                                  </w:r>
                                  <w:r>
                                    <w:rPr>
                                      <w:rFonts w:ascii="Times New Roman" w:eastAsia="SimSun" w:hAnsi="Times New Roman" w:cs="Times New Roman"/>
                                    </w:rPr>
                                    <w:t>—</w:t>
                                  </w:r>
                                  <w:r>
                                    <w:rPr>
                                      <w:rFonts w:ascii="Times New Roman" w:eastAsia="DengXian" w:hAnsi="Times New Roman" w:cs="Times New Roman"/>
                                      <w:szCs w:val="21"/>
                                    </w:rPr>
                                    <w:t>Korean</w:t>
                                  </w:r>
                                  <w:r>
                                    <w:rPr>
                                      <w:rFonts w:ascii="Times New Roman" w:eastAsia="DengXian" w:hAnsi="Times New Roman" w:cs="Times New Roman"/>
                                      <w:szCs w:val="21"/>
                                    </w:rPr>
                                    <w:t>）</w:t>
                                  </w:r>
                                </w:p>
                              </w:txbxContent>
                            </wps:txbx>
                            <wps:bodyPr rot="0" vert="horz" wrap="square" lIns="91440" tIns="45720" rIns="91440" bIns="45720" anchor="t" anchorCtr="0">
                              <a:spAutoFit/>
                            </wps:bodyPr>
                          </wps:wsp>
                        </a:graphicData>
                      </a:graphic>
                    </wp:anchor>
                  </w:drawing>
                </mc:Choice>
                <mc:Fallback>
                  <w:pict>
                    <v:shapetype w14:anchorId="7215705B" id="_x0000_t202" coordsize="21600,21600" o:spt="202" path="m,l,21600r21600,l21600,xe">
                      <v:stroke joinstyle="miter"/>
                      <v:path gradientshapeok="t" o:connecttype="rect"/>
                    </v:shapetype>
                    <v:shape id="文本框 2" o:spid="_x0000_s1026" type="#_x0000_t202" style="position:absolute;left:0;text-align:left;margin-left:-5.4pt;margin-top:-34.6pt;width:774.6pt;height:110.6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" stroked="f">
                      <v:textbox style="mso-fit-shape-to-text:t">
                        <w:txbxContent>
                          <w:p w14:paraId="630284ED" w14:textId="77777777" w:rsidR="00A6485A" w:rsidRDefault="00000000">
                            <w:pPr>
                              <w:rPr>
                                <w:rFonts w:ascii="Times New Roman" w:eastAsia="DengXian" w:hAnsi="Times New Roman" w:cs="Times New Roman"/>
                                <w:szCs w:val="21"/>
                              </w:rPr>
                            </w:pPr>
                            <w:r>
                              <w:rPr>
                                <w:rFonts w:ascii="Times New Roman" w:eastAsia="DengXian" w:hAnsi="Times New Roman" w:cs="Times New Roman"/>
                                <w:b/>
                                <w:szCs w:val="21"/>
                              </w:rPr>
                              <w:t xml:space="preserve">Table 1  </w:t>
                            </w:r>
                            <w:r>
                              <w:rPr>
                                <w:rFonts w:ascii="Times New Roman" w:eastAsia="DengXian" w:hAnsi="Times New Roman" w:cs="Times New Roman"/>
                                <w:szCs w:val="21"/>
                              </w:rPr>
                              <w:t xml:space="preserve">Summary of identified </w:t>
                            </w:r>
                            <w:r>
                              <w:rPr>
                                <w:rFonts w:ascii="Times New Roman" w:eastAsia="DengXian" w:hAnsi="Times New Roman" w:cs="Times New Roman"/>
                                <w:i/>
                                <w:iCs/>
                                <w:szCs w:val="21"/>
                              </w:rPr>
                              <w:t>E</w:t>
                            </w:r>
                            <w:r>
                              <w:rPr>
                                <w:rFonts w:ascii="Times New Roman" w:eastAsia="DengXian" w:hAnsi="Times New Roman" w:cs="Times New Roman" w:hint="eastAsia"/>
                                <w:i/>
                                <w:iCs/>
                                <w:szCs w:val="21"/>
                              </w:rPr>
                              <w:t>YA</w:t>
                            </w:r>
                            <w:r>
                              <w:rPr>
                                <w:rFonts w:ascii="Times New Roman" w:eastAsia="DengXian" w:hAnsi="Times New Roman" w:cs="Times New Roman"/>
                                <w:i/>
                                <w:iCs/>
                                <w:szCs w:val="21"/>
                              </w:rPr>
                              <w:t>4</w:t>
                            </w:r>
                            <w:r>
                              <w:rPr>
                                <w:rFonts w:ascii="Times New Roman" w:eastAsia="DengXian" w:hAnsi="Times New Roman" w:cs="Times New Roman"/>
                                <w:szCs w:val="21"/>
                              </w:rPr>
                              <w:t xml:space="preserve"> gene variants and clinical phenotypes</w:t>
                            </w:r>
                            <w:r>
                              <w:rPr>
                                <w:rFonts w:ascii="Times New Roman" w:eastAsia="DengXian" w:hAnsi="Times New Roman" w:cs="Times New Roman"/>
                                <w:szCs w:val="21"/>
                              </w:rPr>
                              <w:t>（</w:t>
                            </w:r>
                            <w:r>
                              <w:rPr>
                                <w:rFonts w:ascii="Times New Roman" w:eastAsia="DengXian" w:hAnsi="Times New Roman" w:cs="Times New Roman"/>
                                <w:szCs w:val="21"/>
                              </w:rPr>
                              <w:t>yellow</w:t>
                            </w:r>
                            <w:r>
                              <w:rPr>
                                <w:rFonts w:ascii="Times New Roman" w:eastAsia="SimSun" w:hAnsi="Times New Roman" w:cs="Times New Roman"/>
                              </w:rPr>
                              <w:t>—</w:t>
                            </w:r>
                            <w:r>
                              <w:rPr>
                                <w:rFonts w:ascii="Times New Roman" w:eastAsia="DengXian" w:hAnsi="Times New Roman" w:cs="Times New Roman"/>
                                <w:szCs w:val="21"/>
                              </w:rPr>
                              <w:t>Chinese; blue</w:t>
                            </w:r>
                            <w:r>
                              <w:rPr>
                                <w:rFonts w:ascii="Times New Roman" w:eastAsia="SimSun" w:hAnsi="Times New Roman" w:cs="Times New Roman"/>
                              </w:rPr>
                              <w:t>—</w:t>
                            </w:r>
                            <w:r>
                              <w:rPr>
                                <w:rFonts w:ascii="Times New Roman" w:eastAsia="DengXian" w:hAnsi="Times New Roman" w:cs="Times New Roman"/>
                                <w:szCs w:val="21"/>
                              </w:rPr>
                              <w:t>Spanish; green</w:t>
                            </w:r>
                            <w:r>
                              <w:rPr>
                                <w:rFonts w:ascii="Times New Roman" w:eastAsia="SimSun" w:hAnsi="Times New Roman" w:cs="Times New Roman"/>
                              </w:rPr>
                              <w:t>—</w:t>
                            </w:r>
                            <w:r>
                              <w:rPr>
                                <w:rFonts w:ascii="Times New Roman" w:eastAsia="DengXian" w:hAnsi="Times New Roman" w:cs="Times New Roman"/>
                                <w:szCs w:val="21"/>
                              </w:rPr>
                              <w:t>Japanese; brown</w:t>
                            </w:r>
                            <w:r>
                              <w:rPr>
                                <w:rFonts w:ascii="Times New Roman" w:eastAsia="SimSun" w:hAnsi="Times New Roman" w:cs="Times New Roman"/>
                              </w:rPr>
                              <w:t>—</w:t>
                            </w:r>
                            <w:r>
                              <w:rPr>
                                <w:rFonts w:ascii="Times New Roman" w:eastAsia="DengXian" w:hAnsi="Times New Roman" w:cs="Times New Roman"/>
                                <w:szCs w:val="21"/>
                              </w:rPr>
                              <w:t>Korean</w:t>
                            </w:r>
                            <w:r>
                              <w:rPr>
                                <w:rFonts w:ascii="Times New Roman" w:eastAsia="DengXian" w:hAnsi="Times New Roman" w:cs="Times New Roman"/>
                                <w:szCs w:val="21"/>
                              </w:rPr>
                              <w:t>）</w:t>
                            </w:r>
                          </w:p>
                        </w:txbxContent>
                      </v:textbox>
                    </v:shape>
                  </w:pict>
                </mc:Fallback>
              </mc:AlternateContent>
            </w:r>
            <w:r>
              <w:rPr>
                <w:rFonts w:ascii="Times New Roman" w:hAnsi="Times New Roman" w:cs="Times New Roman"/>
                <w:sz w:val="16"/>
                <w:szCs w:val="16"/>
              </w:rPr>
              <w:t>DNA mutation</w:t>
            </w:r>
          </w:p>
        </w:tc>
        <w:tc>
          <w:tcPr>
            <w:tcW w:w="992" w:type="dxa"/>
            <w:tcBorders>
              <w:top w:val="single" w:sz="12" w:space="0" w:color="auto"/>
              <w:bottom w:val="single" w:sz="12" w:space="0" w:color="auto"/>
            </w:tcBorders>
            <w:noWrap/>
            <w:vAlign w:val="center"/>
          </w:tcPr>
          <w:p w14:paraId="49E64BF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Exon/Intron</w:t>
            </w:r>
          </w:p>
        </w:tc>
        <w:tc>
          <w:tcPr>
            <w:tcW w:w="1276" w:type="dxa"/>
            <w:tcBorders>
              <w:top w:val="single" w:sz="12" w:space="0" w:color="auto"/>
              <w:bottom w:val="single" w:sz="12" w:space="0" w:color="auto"/>
            </w:tcBorders>
            <w:noWrap/>
            <w:vAlign w:val="center"/>
          </w:tcPr>
          <w:p w14:paraId="22FC466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Mutation type</w:t>
            </w:r>
          </w:p>
        </w:tc>
        <w:tc>
          <w:tcPr>
            <w:tcW w:w="1139" w:type="dxa"/>
            <w:tcBorders>
              <w:top w:val="single" w:sz="12" w:space="0" w:color="auto"/>
              <w:bottom w:val="single" w:sz="12" w:space="0" w:color="auto"/>
            </w:tcBorders>
            <w:noWrap/>
            <w:vAlign w:val="center"/>
          </w:tcPr>
          <w:p w14:paraId="4326905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D</w:t>
            </w:r>
            <w:r>
              <w:rPr>
                <w:rFonts w:ascii="Times New Roman" w:hAnsi="Times New Roman" w:cs="Times New Roman"/>
                <w:sz w:val="16"/>
                <w:szCs w:val="16"/>
              </w:rPr>
              <w:t>omain</w:t>
            </w:r>
          </w:p>
        </w:tc>
        <w:tc>
          <w:tcPr>
            <w:tcW w:w="1755" w:type="dxa"/>
            <w:tcBorders>
              <w:top w:val="single" w:sz="12" w:space="0" w:color="auto"/>
              <w:bottom w:val="single" w:sz="12" w:space="0" w:color="auto"/>
            </w:tcBorders>
            <w:noWrap/>
            <w:vAlign w:val="center"/>
          </w:tcPr>
          <w:p w14:paraId="397B99F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A</w:t>
            </w:r>
            <w:r>
              <w:rPr>
                <w:rFonts w:ascii="Times New Roman" w:hAnsi="Times New Roman" w:cs="Times New Roman"/>
                <w:sz w:val="16"/>
                <w:szCs w:val="16"/>
              </w:rPr>
              <w:t>mino Acid Change</w:t>
            </w:r>
          </w:p>
        </w:tc>
        <w:tc>
          <w:tcPr>
            <w:tcW w:w="1134" w:type="dxa"/>
            <w:tcBorders>
              <w:top w:val="single" w:sz="12" w:space="0" w:color="auto"/>
              <w:bottom w:val="single" w:sz="12" w:space="0" w:color="auto"/>
            </w:tcBorders>
            <w:noWrap/>
            <w:vAlign w:val="center"/>
          </w:tcPr>
          <w:p w14:paraId="55CF76F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O</w:t>
            </w:r>
            <w:r>
              <w:rPr>
                <w:rFonts w:ascii="Times New Roman" w:hAnsi="Times New Roman" w:cs="Times New Roman"/>
                <w:sz w:val="16"/>
                <w:szCs w:val="16"/>
              </w:rPr>
              <w:t>nset</w:t>
            </w:r>
          </w:p>
        </w:tc>
        <w:tc>
          <w:tcPr>
            <w:tcW w:w="1531" w:type="dxa"/>
            <w:tcBorders>
              <w:top w:val="single" w:sz="12" w:space="0" w:color="auto"/>
              <w:bottom w:val="single" w:sz="12" w:space="0" w:color="auto"/>
            </w:tcBorders>
            <w:noWrap/>
            <w:vAlign w:val="center"/>
          </w:tcPr>
          <w:p w14:paraId="1312FB4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S</w:t>
            </w:r>
            <w:r>
              <w:rPr>
                <w:rFonts w:ascii="Times New Roman" w:hAnsi="Times New Roman" w:cs="Times New Roman"/>
                <w:sz w:val="16"/>
                <w:szCs w:val="16"/>
              </w:rPr>
              <w:t>everity of HL</w:t>
            </w:r>
          </w:p>
        </w:tc>
        <w:tc>
          <w:tcPr>
            <w:tcW w:w="1531" w:type="dxa"/>
            <w:tcBorders>
              <w:top w:val="single" w:sz="12" w:space="0" w:color="auto"/>
              <w:bottom w:val="single" w:sz="12" w:space="0" w:color="auto"/>
            </w:tcBorders>
            <w:noWrap/>
            <w:vAlign w:val="center"/>
          </w:tcPr>
          <w:p w14:paraId="5A3FAD8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Audiometric Configuration</w:t>
            </w:r>
          </w:p>
        </w:tc>
        <w:tc>
          <w:tcPr>
            <w:tcW w:w="992" w:type="dxa"/>
            <w:tcBorders>
              <w:top w:val="single" w:sz="12" w:space="0" w:color="auto"/>
              <w:bottom w:val="single" w:sz="12" w:space="0" w:color="auto"/>
            </w:tcBorders>
            <w:noWrap/>
            <w:vAlign w:val="center"/>
          </w:tcPr>
          <w:p w14:paraId="57F2391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f</w:t>
            </w:r>
            <w:r>
              <w:rPr>
                <w:rFonts w:ascii="Times New Roman" w:hAnsi="Times New Roman" w:cs="Times New Roman"/>
                <w:sz w:val="16"/>
                <w:szCs w:val="16"/>
              </w:rPr>
              <w:t>amily</w:t>
            </w:r>
          </w:p>
        </w:tc>
        <w:tc>
          <w:tcPr>
            <w:tcW w:w="1904" w:type="dxa"/>
            <w:tcBorders>
              <w:top w:val="single" w:sz="12" w:space="0" w:color="auto"/>
              <w:bottom w:val="single" w:sz="12" w:space="0" w:color="auto"/>
            </w:tcBorders>
            <w:noWrap/>
            <w:vAlign w:val="center"/>
          </w:tcPr>
          <w:p w14:paraId="02840D2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R</w:t>
            </w:r>
            <w:r>
              <w:rPr>
                <w:rFonts w:ascii="Times New Roman" w:hAnsi="Times New Roman" w:cs="Times New Roman"/>
                <w:sz w:val="16"/>
                <w:szCs w:val="16"/>
              </w:rPr>
              <w:t>eference</w:t>
            </w:r>
          </w:p>
        </w:tc>
      </w:tr>
      <w:tr w:rsidR="00A6485A" w14:paraId="2CA10011" w14:textId="77777777">
        <w:trPr>
          <w:trHeight w:val="454"/>
        </w:trPr>
        <w:tc>
          <w:tcPr>
            <w:tcW w:w="1980" w:type="dxa"/>
            <w:tcBorders>
              <w:top w:val="single" w:sz="12" w:space="0" w:color="auto"/>
            </w:tcBorders>
            <w:shd w:val="clear" w:color="auto" w:fill="FFFF00"/>
            <w:noWrap/>
            <w:vAlign w:val="center"/>
          </w:tcPr>
          <w:p w14:paraId="6299313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c.IVS3-2A&gt;G</w:t>
            </w:r>
          </w:p>
        </w:tc>
        <w:tc>
          <w:tcPr>
            <w:tcW w:w="992" w:type="dxa"/>
            <w:tcBorders>
              <w:top w:val="single" w:sz="12" w:space="0" w:color="auto"/>
            </w:tcBorders>
            <w:shd w:val="clear" w:color="auto" w:fill="FFFF00"/>
            <w:noWrap/>
            <w:vAlign w:val="center"/>
          </w:tcPr>
          <w:p w14:paraId="2A03042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Intron 3</w:t>
            </w:r>
          </w:p>
        </w:tc>
        <w:tc>
          <w:tcPr>
            <w:tcW w:w="1276" w:type="dxa"/>
            <w:tcBorders>
              <w:top w:val="single" w:sz="12" w:space="0" w:color="auto"/>
            </w:tcBorders>
            <w:shd w:val="clear" w:color="auto" w:fill="FFFF00"/>
            <w:noWrap/>
            <w:vAlign w:val="center"/>
          </w:tcPr>
          <w:p w14:paraId="50C3CDF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Splicing</w:t>
            </w:r>
          </w:p>
        </w:tc>
        <w:tc>
          <w:tcPr>
            <w:tcW w:w="1139" w:type="dxa"/>
            <w:tcBorders>
              <w:top w:val="single" w:sz="12" w:space="0" w:color="auto"/>
            </w:tcBorders>
            <w:shd w:val="clear" w:color="auto" w:fill="FFFF00"/>
            <w:noWrap/>
            <w:vAlign w:val="center"/>
          </w:tcPr>
          <w:p w14:paraId="02C28A7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tcBorders>
              <w:top w:val="single" w:sz="12" w:space="0" w:color="auto"/>
            </w:tcBorders>
            <w:shd w:val="clear" w:color="auto" w:fill="FFFF00"/>
            <w:noWrap/>
            <w:vAlign w:val="center"/>
          </w:tcPr>
          <w:p w14:paraId="7C463D4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134" w:type="dxa"/>
            <w:tcBorders>
              <w:top w:val="single" w:sz="12" w:space="0" w:color="auto"/>
            </w:tcBorders>
            <w:shd w:val="clear" w:color="auto" w:fill="FFFF00"/>
            <w:noWrap/>
            <w:vAlign w:val="center"/>
          </w:tcPr>
          <w:p w14:paraId="2DAAF03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tcBorders>
              <w:top w:val="single" w:sz="12" w:space="0" w:color="auto"/>
            </w:tcBorders>
            <w:shd w:val="clear" w:color="auto" w:fill="FFFF00"/>
            <w:noWrap/>
            <w:vAlign w:val="center"/>
          </w:tcPr>
          <w:p w14:paraId="11CF64B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tcBorders>
              <w:top w:val="single" w:sz="12" w:space="0" w:color="auto"/>
            </w:tcBorders>
            <w:shd w:val="clear" w:color="auto" w:fill="FFFF00"/>
            <w:noWrap/>
            <w:vAlign w:val="center"/>
          </w:tcPr>
          <w:p w14:paraId="5C56E94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992" w:type="dxa"/>
            <w:tcBorders>
              <w:top w:val="single" w:sz="12" w:space="0" w:color="auto"/>
            </w:tcBorders>
            <w:shd w:val="clear" w:color="auto" w:fill="FFFF00"/>
            <w:noWrap/>
            <w:vAlign w:val="center"/>
          </w:tcPr>
          <w:p w14:paraId="0D3F9F1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tcBorders>
              <w:top w:val="single" w:sz="12" w:space="0" w:color="auto"/>
            </w:tcBorders>
            <w:shd w:val="clear" w:color="auto" w:fill="FFFF00"/>
            <w:noWrap/>
            <w:vAlign w:val="center"/>
          </w:tcPr>
          <w:p w14:paraId="5CC5D59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Chen et al.2016</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{"citationID":"VO8hVmpo","properties":{"formattedCitation":"[9]","plainCitation":"[9]","noteIndex":0},"citationItems":[{"id":260,"uris":["http://zotero.org/users/13427954/items/GY6IP359"],"itemData":{"id":260,"type":"article-journal","abstract":"Aims: We attempted to identify the genetic epidemiology of hereditary hearing loss among the Chinese Han population using next-generation sequencing (NGS). Materials and Methods: The entire length of the genes GJB2, SLC26A4, and GJB3, as well as exons of 57 additional candidate genes were sequenced from 116 individuals suffering from hearing loss. Results: Thirty potentially causative mutations from these 60 genes were identiﬁed as the likely etiologies of hearing loss in 67 of the cases. In our study, SLC26A4 and GJB2 were the most frequently affected genes among the Chinese Han population with hearing loss. Collectively, they account for 52.8% of the cases, followed by MTRNR1, PCDH15, and TECTA. These data also illustrate that NGS can be used to identify rare alleles responsible for hereditary hearing loss: 22 of the 30 (73.3%) genes identiﬁed with mutations are rarely mutated in hereditary hearing loss and only account for 21.5% (42/195) of the total mutation frequency, explaining no more than 2% for each gene. These rarely mutated genes would be missed by conventional diagnostic sequencing approaches. Conclusions: NGS can be used effectively to identify the common and rare genes causing hereditary hearing loss.","container-title":"Genetic Testing and Molecular Biomarkers","DOI":"10.1089/gtmb.2016.0051","ISSN":"1945-0265, 1945-0257","issue":"11","journalAbbreviation":"Genetic Testing and Molecular Biomarkers","language":"en","page":"660-665","source":"DOI.org (Crossref)","title":"Targeted Next-Generation Sequencing Successfully Detects Causative Genes in Chinese Patients with Hereditary Hearing Loss","volume":"20","author":[{"family":"Chen","given":"Siqi"},{"family":"Dong","given":"Cheng"},{"family":"Wang","given":"Qi"},{"family":"Zhong","given":"Zhen"},{"family":"Qi","given":"Yu"},{"family":"Ke","given":"Xiaomei"},{"family":"Liu","given":"Yuhe"}],"issued":{"date-parts":[["2016",11]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[9]</w:t>
            </w:r>
            <w:r>
              <w:rPr>
                <w:rFonts w:ascii="Times New Roman" w:hAnsi="Times New Roman" w:cs="Times New Roman"/>
                <w:sz w:val="16"/>
                <w:szCs w:val="16"/>
              </w:rPr>
              <w:fldChar w:fldCharType="end"/>
            </w:r>
          </w:p>
        </w:tc>
      </w:tr>
      <w:tr w:rsidR="00A6485A" w14:paraId="7FB23E76" w14:textId="77777777">
        <w:trPr>
          <w:trHeight w:val="454"/>
        </w:trPr>
        <w:tc>
          <w:tcPr>
            <w:tcW w:w="1980" w:type="dxa"/>
            <w:shd w:val="clear" w:color="auto" w:fill="B4C6E7" w:themeFill="accent5" w:themeFillTint="66"/>
            <w:noWrap/>
            <w:vAlign w:val="center"/>
          </w:tcPr>
          <w:p w14:paraId="378C54B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c.160G &gt; T</w:t>
            </w:r>
          </w:p>
        </w:tc>
        <w:tc>
          <w:tcPr>
            <w:tcW w:w="992" w:type="dxa"/>
            <w:shd w:val="clear" w:color="auto" w:fill="B4C6E7" w:themeFill="accent5" w:themeFillTint="66"/>
            <w:noWrap/>
            <w:vAlign w:val="center"/>
          </w:tcPr>
          <w:p w14:paraId="1D9A770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4</w:t>
            </w:r>
          </w:p>
        </w:tc>
        <w:tc>
          <w:tcPr>
            <w:tcW w:w="1276" w:type="dxa"/>
            <w:shd w:val="clear" w:color="auto" w:fill="B4C6E7" w:themeFill="accent5" w:themeFillTint="66"/>
            <w:noWrap/>
            <w:vAlign w:val="center"/>
          </w:tcPr>
          <w:p w14:paraId="49D40D4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shd w:val="clear" w:color="auto" w:fill="B4C6E7" w:themeFill="accent5" w:themeFillTint="66"/>
            <w:noWrap/>
            <w:vAlign w:val="center"/>
          </w:tcPr>
          <w:p w14:paraId="670DFAD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B4C6E7" w:themeFill="accent5" w:themeFillTint="66"/>
            <w:noWrap/>
            <w:vAlign w:val="center"/>
          </w:tcPr>
          <w:p w14:paraId="1E5CDDB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p.Glu54*</w:t>
            </w:r>
          </w:p>
        </w:tc>
        <w:tc>
          <w:tcPr>
            <w:tcW w:w="1134" w:type="dxa"/>
            <w:shd w:val="clear" w:color="auto" w:fill="B4C6E7" w:themeFill="accent5" w:themeFillTint="66"/>
            <w:noWrap/>
            <w:vAlign w:val="center"/>
          </w:tcPr>
          <w:p w14:paraId="6BB2F75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42 y</w:t>
            </w:r>
          </w:p>
        </w:tc>
        <w:tc>
          <w:tcPr>
            <w:tcW w:w="1531" w:type="dxa"/>
            <w:shd w:val="clear" w:color="auto" w:fill="B4C6E7" w:themeFill="accent5" w:themeFillTint="66"/>
            <w:noWrap/>
            <w:vAlign w:val="center"/>
          </w:tcPr>
          <w:p w14:paraId="4BC6DAF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w:t>
            </w:r>
          </w:p>
        </w:tc>
        <w:tc>
          <w:tcPr>
            <w:tcW w:w="1531" w:type="dxa"/>
            <w:shd w:val="clear" w:color="auto" w:fill="B4C6E7" w:themeFill="accent5" w:themeFillTint="66"/>
            <w:noWrap/>
            <w:vAlign w:val="center"/>
          </w:tcPr>
          <w:p w14:paraId="26CABEA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Mid/flat freq.</w:t>
            </w:r>
          </w:p>
        </w:tc>
        <w:tc>
          <w:tcPr>
            <w:tcW w:w="992" w:type="dxa"/>
            <w:shd w:val="clear" w:color="auto" w:fill="B4C6E7" w:themeFill="accent5" w:themeFillTint="66"/>
            <w:noWrap/>
            <w:vAlign w:val="center"/>
          </w:tcPr>
          <w:p w14:paraId="4B00B16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74A1D69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4hAUX6xD","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0D8B62A8" w14:textId="77777777">
        <w:trPr>
          <w:trHeight w:val="454"/>
        </w:trPr>
        <w:tc>
          <w:tcPr>
            <w:tcW w:w="1980" w:type="dxa"/>
            <w:shd w:val="clear" w:color="auto" w:fill="C5E0B3" w:themeFill="accent6" w:themeFillTint="66"/>
            <w:noWrap/>
            <w:vAlign w:val="center"/>
          </w:tcPr>
          <w:p w14:paraId="74132C6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c.222_223del</w:t>
            </w:r>
          </w:p>
        </w:tc>
        <w:tc>
          <w:tcPr>
            <w:tcW w:w="992" w:type="dxa"/>
            <w:shd w:val="clear" w:color="auto" w:fill="C5E0B3" w:themeFill="accent6" w:themeFillTint="66"/>
            <w:noWrap/>
            <w:vAlign w:val="center"/>
          </w:tcPr>
          <w:p w14:paraId="1E9A544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5</w:t>
            </w:r>
          </w:p>
        </w:tc>
        <w:tc>
          <w:tcPr>
            <w:tcW w:w="1276" w:type="dxa"/>
            <w:shd w:val="clear" w:color="auto" w:fill="C5E0B3" w:themeFill="accent6" w:themeFillTint="66"/>
            <w:noWrap/>
            <w:vAlign w:val="center"/>
          </w:tcPr>
          <w:p w14:paraId="21A066A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shd w:val="clear" w:color="auto" w:fill="C5E0B3" w:themeFill="accent6" w:themeFillTint="66"/>
            <w:noWrap/>
            <w:vAlign w:val="center"/>
          </w:tcPr>
          <w:p w14:paraId="218E473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6A4E03A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p.Val75Phefs*32</w:t>
            </w:r>
          </w:p>
        </w:tc>
        <w:tc>
          <w:tcPr>
            <w:tcW w:w="1134" w:type="dxa"/>
            <w:shd w:val="clear" w:color="auto" w:fill="C5E0B3" w:themeFill="accent6" w:themeFillTint="66"/>
            <w:noWrap/>
            <w:vAlign w:val="center"/>
          </w:tcPr>
          <w:p w14:paraId="4DF0251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61y</w:t>
            </w:r>
          </w:p>
        </w:tc>
        <w:tc>
          <w:tcPr>
            <w:tcW w:w="1531" w:type="dxa"/>
            <w:shd w:val="clear" w:color="auto" w:fill="C5E0B3" w:themeFill="accent6" w:themeFillTint="66"/>
            <w:noWrap/>
            <w:vAlign w:val="center"/>
          </w:tcPr>
          <w:p w14:paraId="10CBDF5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moderate</w:t>
            </w:r>
          </w:p>
        </w:tc>
        <w:tc>
          <w:tcPr>
            <w:tcW w:w="1531" w:type="dxa"/>
            <w:shd w:val="clear" w:color="auto" w:fill="C5E0B3" w:themeFill="accent6" w:themeFillTint="66"/>
            <w:noWrap/>
            <w:vAlign w:val="center"/>
          </w:tcPr>
          <w:p w14:paraId="7844BDD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High/Low freq</w:t>
            </w:r>
          </w:p>
        </w:tc>
        <w:tc>
          <w:tcPr>
            <w:tcW w:w="992" w:type="dxa"/>
            <w:shd w:val="clear" w:color="auto" w:fill="C5E0B3" w:themeFill="accent6" w:themeFillTint="66"/>
            <w:noWrap/>
            <w:vAlign w:val="center"/>
          </w:tcPr>
          <w:p w14:paraId="0034A14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7E1BDA1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tXZN5UzV","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3028281C" w14:textId="77777777">
        <w:trPr>
          <w:trHeight w:val="454"/>
        </w:trPr>
        <w:tc>
          <w:tcPr>
            <w:tcW w:w="1980" w:type="dxa"/>
            <w:noWrap/>
            <w:vAlign w:val="center"/>
          </w:tcPr>
          <w:p w14:paraId="375479E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c.464del</w:t>
            </w:r>
          </w:p>
        </w:tc>
        <w:tc>
          <w:tcPr>
            <w:tcW w:w="992" w:type="dxa"/>
            <w:noWrap/>
            <w:vAlign w:val="center"/>
          </w:tcPr>
          <w:p w14:paraId="3ED59FE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noWrap/>
            <w:vAlign w:val="center"/>
          </w:tcPr>
          <w:p w14:paraId="246567D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noWrap/>
            <w:vAlign w:val="center"/>
          </w:tcPr>
          <w:p w14:paraId="614CAE8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noWrap/>
            <w:vAlign w:val="center"/>
          </w:tcPr>
          <w:p w14:paraId="55CFE5E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p.Pro155Glnfs*43</w:t>
            </w:r>
          </w:p>
        </w:tc>
        <w:tc>
          <w:tcPr>
            <w:tcW w:w="1134" w:type="dxa"/>
            <w:noWrap/>
            <w:vAlign w:val="center"/>
          </w:tcPr>
          <w:p w14:paraId="23B2C01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Childhood</w:t>
            </w:r>
          </w:p>
        </w:tc>
        <w:tc>
          <w:tcPr>
            <w:tcW w:w="1531" w:type="dxa"/>
            <w:noWrap/>
            <w:vAlign w:val="center"/>
          </w:tcPr>
          <w:p w14:paraId="1B809DB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Modetate</w:t>
            </w:r>
          </w:p>
        </w:tc>
        <w:tc>
          <w:tcPr>
            <w:tcW w:w="1531" w:type="dxa"/>
            <w:noWrap/>
            <w:vAlign w:val="center"/>
          </w:tcPr>
          <w:p w14:paraId="302EF0B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 or high freq</w:t>
            </w:r>
          </w:p>
        </w:tc>
        <w:tc>
          <w:tcPr>
            <w:tcW w:w="992" w:type="dxa"/>
            <w:noWrap/>
            <w:vAlign w:val="center"/>
          </w:tcPr>
          <w:p w14:paraId="13D451C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Dutch</w:t>
            </w:r>
          </w:p>
        </w:tc>
        <w:tc>
          <w:tcPr>
            <w:tcW w:w="1904" w:type="dxa"/>
            <w:noWrap/>
            <w:vAlign w:val="center"/>
          </w:tcPr>
          <w:p w14:paraId="5352F25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Van Beelen et al. 2016</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{"citationID":"GbakDXym","properties":{"formattedCitation":"[19]","plainCitation":"[19]","noteIndex":0},"citationItems":[{"id":210,"uris":["http://zotero.org/users/13427954/items/WKBBZIRM"],"itemData":{"id":210,"type":"article-journal","abstract":"Objectives: Mutations in EYA4 can cause nonsyndromic autosomal dominant sensorineural hearing impairment (DFNA10) or a syndromic variant with hearing impairment and dilated cardiomyopathy. A mutation in EYA4 was found in a Dutch family, causing DFNA10. This study is focused on characterizing the hearing impairment in this family. Design: Whole exome sequencing was performed in the proband. In addition, peripheral blood samples were collected from 23 family members, and segregation analyses were performed. All participants underwent otorhinolaryngological examinations and pure-tone audiometry, and 12 participants underwent speech audiometry. In addition, an extended set of audiometric measurements was performed in five family members to evaluate the functional status of the cochlea. Vestibular testing was performed in three family members. Two individuals underwent echocardiography to evaluate the nonsyndromic phenotype.\nResults: The authors present a Dutch family with a truncating mutation in EYA4 causing a mid-frequency hearing impairment. This mutation (c.464del) leads to a frameshift and a premature stop codon (p.Pro155fsX). This mutation is the most N-terminal mutation in EYA4 found to date. In addition, a missense mutation, predicted to be deleterious, was found in EYA4 in two family members. Echocardiography in two family members revealed no signs of dilated cardiomyopathy. Results of caloric and velocity step tests in three family members showed no abnormalities. Hearing impairment was found to be symmetric and progressive, beginning as a mid-frequency hearing impairment in childhood and developing into a high-frequency, moderate hearing impairment later in life. Furthermore, an extended set of audiometric measurements was performed in five family members. The results were comparable to those obtained in patients with other sensory types of hearing impairments, such as patients with Usher syndrome type IIA and presbyacusis, and not to those obtained in patients with (cochlear) conductive types of hearing impairment, such as DFNA8/12 and DFNA13.\nConclusions: The mid-frequency hearing impairment in the present family was found to be symmetric and progressive, with a predominantly childhood onset. The results of psychophysical measurements revealed similarities to other conditions involving a sensory type of hearing impairment, such as Usher syndrome type IIA and presbyacusis. The study results suggest that EYA4 is expressed in the sensory cells of the cochlea. This phenotypic description will facilitate counseling for hearing impairment in DFNA10 patients.","container-title":"Ear &amp; Hearing","DOI":"10.1097/AUD.0000000000000217","ISSN":"0196-0202","issue":"1","language":"en","page":"103-111","source":"DOI.org (Crossref)","title":"Audiometric Characteristics of a Dutch DFNA10 Family With Mid-Frequency Hearing Impairment","volume":"37","author":[{"family":"Van Beelen","given":"Eline"},{"family":"Oonk","given":"Anne M. M."},{"family":"Leijendeckers","given":"Joop M."},{"family":"Hoefsloot","given":"Elisabeth H."},{"family":"Pennings","given":"Ronald J. E."},{"family":"Feenstra","given":"Ilse"},{"family":"Dieker","given":"Hendrik-Jan"},{"family":"Huygen","given":"Patrick L. M."},{"family":"Snik","given":"Ad F. M."},{"family":"Kremer","given":"Hannie"},{"family":"Kunst","given":"Henricus P. M."}],"issued":{"date-parts":[["2016",1]]}}}],"schema":"https://github.com/citation-style-language/schema/raw/master/csl-citation.json"}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[19]</w:t>
            </w:r>
            <w:r>
              <w:rPr>
                <w:rFonts w:ascii="Times New Roman" w:hAnsi="Times New Roman" w:cs="Times New Roman"/>
                <w:sz w:val="16"/>
                <w:szCs w:val="16"/>
              </w:rPr>
              <w:fldChar w:fldCharType="end"/>
            </w:r>
          </w:p>
        </w:tc>
      </w:tr>
      <w:tr w:rsidR="00A6485A" w14:paraId="27C98C18" w14:textId="77777777">
        <w:trPr>
          <w:trHeight w:val="454"/>
        </w:trPr>
        <w:tc>
          <w:tcPr>
            <w:tcW w:w="1980" w:type="dxa"/>
            <w:shd w:val="clear" w:color="auto" w:fill="C5E0B3" w:themeFill="accent6" w:themeFillTint="66"/>
            <w:noWrap/>
            <w:vAlign w:val="center"/>
          </w:tcPr>
          <w:p w14:paraId="0F97839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c.498del</w:t>
            </w:r>
          </w:p>
        </w:tc>
        <w:tc>
          <w:tcPr>
            <w:tcW w:w="992" w:type="dxa"/>
            <w:shd w:val="clear" w:color="auto" w:fill="C5E0B3" w:themeFill="accent6" w:themeFillTint="66"/>
            <w:noWrap/>
            <w:vAlign w:val="center"/>
          </w:tcPr>
          <w:p w14:paraId="42A0851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shd w:val="clear" w:color="auto" w:fill="C5E0B3" w:themeFill="accent6" w:themeFillTint="66"/>
            <w:noWrap/>
            <w:vAlign w:val="center"/>
          </w:tcPr>
          <w:p w14:paraId="231E642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shd w:val="clear" w:color="auto" w:fill="C5E0B3" w:themeFill="accent6" w:themeFillTint="66"/>
            <w:noWrap/>
            <w:vAlign w:val="center"/>
          </w:tcPr>
          <w:p w14:paraId="5FF5DB4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75E91C5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p.Thr167Leufs*31</w:t>
            </w:r>
          </w:p>
        </w:tc>
        <w:tc>
          <w:tcPr>
            <w:tcW w:w="1134" w:type="dxa"/>
            <w:shd w:val="clear" w:color="auto" w:fill="C5E0B3" w:themeFill="accent6" w:themeFillTint="66"/>
            <w:noWrap/>
            <w:vAlign w:val="center"/>
          </w:tcPr>
          <w:p w14:paraId="0AF0F34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13</w:t>
            </w:r>
          </w:p>
        </w:tc>
        <w:tc>
          <w:tcPr>
            <w:tcW w:w="1531" w:type="dxa"/>
            <w:shd w:val="clear" w:color="auto" w:fill="C5E0B3" w:themeFill="accent6" w:themeFillTint="66"/>
            <w:noWrap/>
            <w:vAlign w:val="center"/>
          </w:tcPr>
          <w:p w14:paraId="58B18AC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w:t>
            </w:r>
          </w:p>
        </w:tc>
        <w:tc>
          <w:tcPr>
            <w:tcW w:w="1531" w:type="dxa"/>
            <w:shd w:val="clear" w:color="auto" w:fill="C5E0B3" w:themeFill="accent6" w:themeFillTint="66"/>
            <w:noWrap/>
            <w:vAlign w:val="center"/>
          </w:tcPr>
          <w:p w14:paraId="2E26305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Low freq</w:t>
            </w:r>
          </w:p>
        </w:tc>
        <w:tc>
          <w:tcPr>
            <w:tcW w:w="992" w:type="dxa"/>
            <w:shd w:val="clear" w:color="auto" w:fill="C5E0B3" w:themeFill="accent6" w:themeFillTint="66"/>
            <w:noWrap/>
            <w:vAlign w:val="center"/>
          </w:tcPr>
          <w:p w14:paraId="0A1A367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2AA8C63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cyUnmRR","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79F43F0B" w14:textId="77777777">
        <w:trPr>
          <w:trHeight w:val="454"/>
        </w:trPr>
        <w:tc>
          <w:tcPr>
            <w:tcW w:w="1980" w:type="dxa"/>
            <w:shd w:val="clear" w:color="auto" w:fill="FFFF00"/>
            <w:noWrap/>
            <w:vAlign w:val="center"/>
          </w:tcPr>
          <w:p w14:paraId="7A10333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c.511G &gt; C</w:t>
            </w:r>
          </w:p>
        </w:tc>
        <w:tc>
          <w:tcPr>
            <w:tcW w:w="992" w:type="dxa"/>
            <w:shd w:val="clear" w:color="auto" w:fill="FFFF00"/>
            <w:noWrap/>
            <w:vAlign w:val="center"/>
          </w:tcPr>
          <w:p w14:paraId="5A8964D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shd w:val="clear" w:color="auto" w:fill="FFFF00"/>
            <w:noWrap/>
            <w:vAlign w:val="center"/>
          </w:tcPr>
          <w:p w14:paraId="63EDD42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FFFF00"/>
            <w:noWrap/>
            <w:vAlign w:val="center"/>
          </w:tcPr>
          <w:p w14:paraId="35F0024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FFFF00"/>
            <w:noWrap/>
            <w:vAlign w:val="center"/>
          </w:tcPr>
          <w:p w14:paraId="539352A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p.Gly171Arg</w:t>
            </w:r>
          </w:p>
        </w:tc>
        <w:tc>
          <w:tcPr>
            <w:tcW w:w="1134" w:type="dxa"/>
            <w:shd w:val="clear" w:color="auto" w:fill="FFFF00"/>
            <w:noWrap/>
            <w:vAlign w:val="center"/>
          </w:tcPr>
          <w:p w14:paraId="55D69EB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26-32y</w:t>
            </w:r>
          </w:p>
        </w:tc>
        <w:tc>
          <w:tcPr>
            <w:tcW w:w="1531" w:type="dxa"/>
            <w:shd w:val="clear" w:color="auto" w:fill="FFFF00"/>
            <w:noWrap/>
            <w:vAlign w:val="center"/>
          </w:tcPr>
          <w:p w14:paraId="2594C33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severe</w:t>
            </w:r>
          </w:p>
        </w:tc>
        <w:tc>
          <w:tcPr>
            <w:tcW w:w="1531" w:type="dxa"/>
            <w:shd w:val="clear" w:color="auto" w:fill="FFFF00"/>
            <w:noWrap/>
            <w:vAlign w:val="center"/>
          </w:tcPr>
          <w:p w14:paraId="5711761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sloping</w:t>
            </w:r>
          </w:p>
        </w:tc>
        <w:tc>
          <w:tcPr>
            <w:tcW w:w="992" w:type="dxa"/>
            <w:shd w:val="clear" w:color="auto" w:fill="FFFF00"/>
            <w:noWrap/>
            <w:vAlign w:val="center"/>
          </w:tcPr>
          <w:p w14:paraId="53ECF04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43CBBBE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Liu et al. 2015 </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{"citationID":"lly0JxL0","properties":{"unsorted":true,"formattedCitation":"[20]","plainCitation":"[20]","noteIndex":0},"citationItems":[{"id":125,"uris":["http://zotero.org/users/13427954/items/JPJDUFYP"],"itemData":{"id":125,"type":"article-journal","abstract":"Autosomal dominant non-syndromic hearing loss is highly heterogeneous, and eyes absent 4 (EYA4) is a disease-causing gene. Most EYA4 mutations founded in the Eya-homologous region, however, no deafness causative missense mutation in variable region of EYA4 have previously been found. In this study, we identified a pathogenic missense mutation located in the variable region of the EYA4 gene for the first time in a four-generation Chinese family with 57 members. Whole-exome sequencing (WES) was performed on samples from one unaffected and two affected individuals to systematically search for deafness susceptibility genes, and the candidate mutations and the co-segregation of the phenotype were verified by polymerase chain reaction amplification and by Sanger sequencing in all of the family members. Then, we identified a novel EYA4 mutation in exon 8, c.511G&gt;C; p. G171R, which segregated with postlingual and progressive autosomal dominant sensorineural hearing loss (SNHL). This report is the first to describe a missense mutation in the variable region domain of the EYA4 gene, which is not highly conserved in many species, indicating that the potential unconserved role of 171G&gt;R in human EYA4 function is extremely important.","container-title":"PLOS ONE","DOI":"10.1371/journal.pone.0126602","ISSN":"1932-6203","issue":"5","journalAbbreviation":"PLoS ONE","language":"en","page":"e0126602","source":"DOI.org (Crossref)","title":"Exome Sequencing Identifies a Mutation in EYA4 as a Novel Cause of Autosomal Dominant Non-Syndromic Hearing Loss","volume":"10","author":[{"family":"Liu","given":"Fei"},{"family":"Hu","given":"Jiongjiong"},{"family":"Xia","given":"Wenjun"},{"family":"Hao","given":"Lili"},{"family":"Ma","given":"Jing"},{"family":"Ma","given":"Duan"},{"family":"Ma","given":"Zhaoxin"}],"editor":[{"family":"Alsina","given":"Berta"}],"issued":{"date-parts":[["2015",5,11]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[20]</w:t>
            </w:r>
            <w:r>
              <w:rPr>
                <w:rFonts w:ascii="Times New Roman" w:hAnsi="Times New Roman" w:cs="Times New Roman"/>
                <w:sz w:val="16"/>
                <w:szCs w:val="16"/>
              </w:rPr>
              <w:fldChar w:fldCharType="end"/>
            </w:r>
          </w:p>
        </w:tc>
      </w:tr>
      <w:tr w:rsidR="00A6485A" w14:paraId="7FCFF09A" w14:textId="77777777">
        <w:trPr>
          <w:trHeight w:val="454"/>
        </w:trPr>
        <w:tc>
          <w:tcPr>
            <w:tcW w:w="1980" w:type="dxa"/>
            <w:shd w:val="clear" w:color="auto" w:fill="C5E0B3" w:themeFill="accent6" w:themeFillTint="66"/>
            <w:noWrap/>
            <w:vAlign w:val="center"/>
          </w:tcPr>
          <w:p w14:paraId="2A2376B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c.517C &gt; T</w:t>
            </w:r>
          </w:p>
        </w:tc>
        <w:tc>
          <w:tcPr>
            <w:tcW w:w="992" w:type="dxa"/>
            <w:shd w:val="clear" w:color="auto" w:fill="C5E0B3" w:themeFill="accent6" w:themeFillTint="66"/>
            <w:noWrap/>
            <w:vAlign w:val="center"/>
          </w:tcPr>
          <w:p w14:paraId="2D8D3B2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shd w:val="clear" w:color="auto" w:fill="C5E0B3" w:themeFill="accent6" w:themeFillTint="66"/>
            <w:noWrap/>
            <w:vAlign w:val="center"/>
          </w:tcPr>
          <w:p w14:paraId="1E22C1E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shd w:val="clear" w:color="auto" w:fill="C5E0B3" w:themeFill="accent6" w:themeFillTint="66"/>
            <w:noWrap/>
            <w:vAlign w:val="center"/>
          </w:tcPr>
          <w:p w14:paraId="36765F8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763B0A3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p.Gln173*</w:t>
            </w:r>
          </w:p>
        </w:tc>
        <w:tc>
          <w:tcPr>
            <w:tcW w:w="1134" w:type="dxa"/>
            <w:shd w:val="clear" w:color="auto" w:fill="C5E0B3" w:themeFill="accent6" w:themeFillTint="66"/>
            <w:noWrap/>
            <w:vAlign w:val="center"/>
          </w:tcPr>
          <w:p w14:paraId="5202DF5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48y</w:t>
            </w:r>
          </w:p>
        </w:tc>
        <w:tc>
          <w:tcPr>
            <w:tcW w:w="1531" w:type="dxa"/>
            <w:shd w:val="clear" w:color="auto" w:fill="C5E0B3" w:themeFill="accent6" w:themeFillTint="66"/>
            <w:noWrap/>
            <w:vAlign w:val="center"/>
          </w:tcPr>
          <w:p w14:paraId="533E782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1E94337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3686C75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6B99A15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oXKV3Ood","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24BEC5F5" w14:textId="77777777">
        <w:trPr>
          <w:trHeight w:val="454"/>
        </w:trPr>
        <w:tc>
          <w:tcPr>
            <w:tcW w:w="1980" w:type="dxa"/>
            <w:shd w:val="clear" w:color="auto" w:fill="FFFF00"/>
            <w:noWrap/>
            <w:vAlign w:val="center"/>
          </w:tcPr>
          <w:p w14:paraId="674E4E5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c.543C&gt;G</w:t>
            </w:r>
          </w:p>
        </w:tc>
        <w:tc>
          <w:tcPr>
            <w:tcW w:w="992" w:type="dxa"/>
            <w:shd w:val="clear" w:color="auto" w:fill="FFFF00"/>
            <w:noWrap/>
            <w:vAlign w:val="center"/>
          </w:tcPr>
          <w:p w14:paraId="422025F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shd w:val="clear" w:color="auto" w:fill="FFFF00"/>
            <w:noWrap/>
            <w:vAlign w:val="center"/>
          </w:tcPr>
          <w:p w14:paraId="665D3DB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FFFF00"/>
            <w:noWrap/>
            <w:vAlign w:val="center"/>
          </w:tcPr>
          <w:p w14:paraId="221545D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FFFF00"/>
            <w:noWrap/>
            <w:vAlign w:val="center"/>
          </w:tcPr>
          <w:p w14:paraId="2523F61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p.Tyr181Ter</w:t>
            </w:r>
          </w:p>
        </w:tc>
        <w:tc>
          <w:tcPr>
            <w:tcW w:w="1134" w:type="dxa"/>
            <w:shd w:val="clear" w:color="auto" w:fill="FFFF00"/>
            <w:noWrap/>
            <w:vAlign w:val="center"/>
          </w:tcPr>
          <w:p w14:paraId="6FA556D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20-40</w:t>
            </w:r>
          </w:p>
        </w:tc>
        <w:tc>
          <w:tcPr>
            <w:tcW w:w="1531" w:type="dxa"/>
            <w:shd w:val="clear" w:color="auto" w:fill="FFFF00"/>
            <w:noWrap/>
            <w:vAlign w:val="center"/>
          </w:tcPr>
          <w:p w14:paraId="3500E7D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severe</w:t>
            </w:r>
          </w:p>
        </w:tc>
        <w:tc>
          <w:tcPr>
            <w:tcW w:w="1531" w:type="dxa"/>
            <w:shd w:val="clear" w:color="auto" w:fill="FFFF00"/>
            <w:noWrap/>
            <w:vAlign w:val="center"/>
          </w:tcPr>
          <w:p w14:paraId="7ECC1C5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 freq</w:t>
            </w:r>
          </w:p>
        </w:tc>
        <w:tc>
          <w:tcPr>
            <w:tcW w:w="992" w:type="dxa"/>
            <w:shd w:val="clear" w:color="auto" w:fill="FFFF00"/>
            <w:noWrap/>
            <w:vAlign w:val="center"/>
          </w:tcPr>
          <w:p w14:paraId="7769317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199C859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 et al</w:t>
            </w:r>
            <w:r>
              <w:rPr>
                <w:rFonts w:ascii="Times New Roman" w:hAnsi="Times New Roman" w:cs="Times New Roman" w:hint="eastAsia"/>
                <w:sz w:val="16"/>
                <w:szCs w:val="16"/>
              </w:rPr>
              <w:t>，</w:t>
            </w:r>
            <w:r>
              <w:rPr>
                <w:rFonts w:ascii="Times New Roman" w:hAnsi="Times New Roman" w:cs="Times New Roman"/>
                <w:sz w:val="16"/>
                <w:szCs w:val="16"/>
              </w:rPr>
              <w:t xml:space="preserve">2020 </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{"citationID":"b86mnyDm","properties":{"formattedCitation":"[15]","plainCitation":"[15]","noteIndex":0},"citationItems":[{"id":248,"uris":["http://zotero.org/users/13427954/items/SB8UP3YT"],"itemData":{"id":248,"type":"arti</w:instrText>
            </w:r>
            <w:r>
              <w:rPr>
                <w:rFonts w:ascii="Times New Roman" w:hAnsi="Times New Roman" w:cs="Times New Roman" w:hint="eastAsia"/>
                <w:sz w:val="16"/>
                <w:szCs w:val="16"/>
              </w:rPr>
              <w:instrText>cle-journal","abstract":"Abstract\n            \n              Background\n              \n                Autosomal dominant hearing loss (ADHL) accounts for about 20% of all hereditary non</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syndromic HL. Truncating mutations of the\n                EYA4\n                gene can cause either non</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syndromic ADHL or syndromic ADHL with cardiac abnormalities. It has been proposed that truncations of the C</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terminal Eya domain lead to non</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syndromic HL, whereas early truncations of the N</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terminal variable regio</w:instrText>
            </w:r>
            <w:r>
              <w:rPr>
                <w:rFonts w:ascii="Times New Roman" w:hAnsi="Times New Roman" w:cs="Times New Roman"/>
                <w:sz w:val="16"/>
                <w:szCs w:val="16"/>
              </w:rPr>
              <w:instrText xml:space="preserve">n cause syndromic HL with cardiac phenotype.\n              \n            \n            \n              Methods\n              \n                The proband and all the other hearing impaired members of the family underwent a thorough clinical and audiological evaluation. The cardiac phenotype was examined by ECG and echocardiography. Their DNA was subjected to target exome sequencing of 129 known deafness genes. The sequencing data were analyzed and the candidate variants were interpreted following the ACMG guidelines for clinical sequence interpretation. The effect of candidate variant on\n                EYA4\n                gene expression was assessed by quantitative PCR and western blot of gene production in blood.\n              \n            \n  </w:instrText>
            </w:r>
            <w:r>
              <w:rPr>
                <w:rFonts w:ascii="Times New Roman" w:hAnsi="Times New Roman" w:cs="Times New Roman" w:hint="eastAsia"/>
                <w:sz w:val="16"/>
                <w:szCs w:val="16"/>
              </w:rPr>
              <w:instrText xml:space="preserve">          \n              Results\n              \n                We report a Chinese family cosegregating post</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 xml:space="preserve">lingual onset, progressive ADHL with a novel nonsense mutation NM_004100.4:c.543C&gt;G (p.Tyr181Ter) of\n                EYA4\n                . </w:instrText>
            </w:r>
            <w:r>
              <w:rPr>
                <w:rFonts w:ascii="Times New Roman" w:hAnsi="Times New Roman" w:cs="Times New Roman"/>
                <w:sz w:val="16"/>
                <w:szCs w:val="16"/>
              </w:rPr>
              <w:instrText>Two affected members show no cardiac abnormalities at least until now revealed by electrocardiography and echocardiography. The overall expression level of the\n                EYA4\n                gene in the proband was lower than that in his unaffected relative.\n              \n            \n            \n              Conclusion\n              \n                This report expands the mutational spectrum of the\n                EYA4\n                gene and highlights the fact that more data are needed to elucidate the complex genotype–phenotype correlation of\n                EYA4\n                mutations.","container-title":"Molecular Genetics &amp; Genomic Medicine","DOI":"10.1002/mgg3.1569","ISSN":"2324-9269, 2324-9269","issue":"1","journalAbbrev</w:instrText>
            </w:r>
            <w:r>
              <w:rPr>
                <w:rFonts w:ascii="Times New Roman" w:hAnsi="Times New Roman" w:cs="Times New Roman" w:hint="eastAsia"/>
                <w:sz w:val="16"/>
                <w:szCs w:val="16"/>
              </w:rPr>
              <w:instrText>iation":"Molec Gen &amp;amp; Gen Med","language":"en","page":"e1569","source":"DOI.org (Crossref)","title":"Early truncation of the N</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terminal variable region of &lt;i&gt;EYA4&lt;/i&gt; gene causes dominant hearing loss without cardiac phenotype","volume":"9","author":[{</w:instrText>
            </w:r>
            <w:r>
              <w:rPr>
                <w:rFonts w:ascii="Times New Roman" w:hAnsi="Times New Roman" w:cs="Times New Roman"/>
                <w:sz w:val="16"/>
                <w:szCs w:val="16"/>
              </w:rPr>
              <w:instrText xml:space="preserve">"family":"Mi","given":"Yanfang"},{"family":"Liu","given":"Danhua"},{"family":"Zeng","given":"Beiping"},{"family":"Tian","given":"Yongan"},{"family":"Zhang","given":"Hui"},{"family":"Chen","given":"Bei"},{"family":"Zhang","given":"Juanli"},{"family":"Xue","given":"Hong"},{"family":"Tang","given":"Wenxue"},{"family":"Zhao","given":"Yulin"},{"family":"Xu","given":"Hongen"}],"issued":{"date-parts":[["2021",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[15]</w:t>
            </w:r>
            <w:r>
              <w:rPr>
                <w:rFonts w:ascii="Times New Roman" w:hAnsi="Times New Roman" w:cs="Times New Roman"/>
                <w:sz w:val="16"/>
                <w:szCs w:val="16"/>
              </w:rPr>
              <w:fldChar w:fldCharType="end"/>
            </w:r>
          </w:p>
        </w:tc>
      </w:tr>
      <w:tr w:rsidR="00A6485A" w14:paraId="2BE5CA90" w14:textId="77777777">
        <w:trPr>
          <w:trHeight w:val="454"/>
        </w:trPr>
        <w:tc>
          <w:tcPr>
            <w:tcW w:w="1980" w:type="dxa"/>
            <w:shd w:val="clear" w:color="auto" w:fill="FFFF00"/>
            <w:noWrap/>
            <w:vAlign w:val="center"/>
          </w:tcPr>
          <w:p w14:paraId="45BD0D6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c.544_545insA</w:t>
            </w:r>
          </w:p>
        </w:tc>
        <w:tc>
          <w:tcPr>
            <w:tcW w:w="992" w:type="dxa"/>
            <w:shd w:val="clear" w:color="auto" w:fill="FFFF00"/>
            <w:noWrap/>
            <w:vAlign w:val="center"/>
          </w:tcPr>
          <w:p w14:paraId="00B7707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shd w:val="clear" w:color="auto" w:fill="FFFF00"/>
            <w:noWrap/>
            <w:vAlign w:val="center"/>
          </w:tcPr>
          <w:p w14:paraId="1861AB5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shd w:val="clear" w:color="auto" w:fill="FFFF00"/>
            <w:noWrap/>
            <w:vAlign w:val="center"/>
          </w:tcPr>
          <w:p w14:paraId="75F61D7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FFFF00"/>
            <w:noWrap/>
            <w:vAlign w:val="center"/>
          </w:tcPr>
          <w:p w14:paraId="7DD537C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p.F221X</w:t>
            </w:r>
          </w:p>
        </w:tc>
        <w:tc>
          <w:tcPr>
            <w:tcW w:w="1134" w:type="dxa"/>
            <w:shd w:val="clear" w:color="auto" w:fill="FFFF00"/>
            <w:noWrap/>
            <w:vAlign w:val="center"/>
          </w:tcPr>
          <w:p w14:paraId="77CACCB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20</w:t>
            </w:r>
            <w:r>
              <w:rPr>
                <w:rFonts w:ascii="Times New Roman" w:hAnsi="Times New Roman" w:cs="Times New Roman" w:hint="eastAsia"/>
                <w:sz w:val="16"/>
                <w:szCs w:val="16"/>
              </w:rPr>
              <w:t>–</w:t>
            </w:r>
            <w:r>
              <w:rPr>
                <w:rFonts w:ascii="Times New Roman" w:hAnsi="Times New Roman" w:cs="Times New Roman"/>
                <w:sz w:val="16"/>
                <w:szCs w:val="16"/>
              </w:rPr>
              <w:t>40 y</w:t>
            </w:r>
          </w:p>
        </w:tc>
        <w:tc>
          <w:tcPr>
            <w:tcW w:w="1531" w:type="dxa"/>
            <w:shd w:val="clear" w:color="auto" w:fill="FFFF00"/>
            <w:noWrap/>
            <w:vAlign w:val="center"/>
          </w:tcPr>
          <w:p w14:paraId="3A1BDA6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profound</w:t>
            </w:r>
          </w:p>
        </w:tc>
        <w:tc>
          <w:tcPr>
            <w:tcW w:w="1531" w:type="dxa"/>
            <w:shd w:val="clear" w:color="auto" w:fill="FFFF00"/>
            <w:noWrap/>
            <w:vAlign w:val="center"/>
          </w:tcPr>
          <w:p w14:paraId="5996602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Flat/sloping.</w:t>
            </w:r>
          </w:p>
        </w:tc>
        <w:tc>
          <w:tcPr>
            <w:tcW w:w="992" w:type="dxa"/>
            <w:shd w:val="clear" w:color="auto" w:fill="FFFF00"/>
            <w:noWrap/>
            <w:vAlign w:val="center"/>
          </w:tcPr>
          <w:p w14:paraId="78F2D37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16A7514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Huang et al. 2015</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{"citationID":"Kq7B9JzT","properties":{"formattedCitation":"[21]","plainCitation":"[21]","noteIndex":0},"citationItems":[{"id":124,"uris":["http://zotero.org/users/13427954/items/CLA9QJ7F"],"itemData":{"id":124,"type":"article-journal","abstract":"Background: Hereditary hearing loss is a heterogeneous class of disorders showing various patterns of inheritance and involving many genes. Mutations in the EYA4 gene are responsible for postlingual, progressive, autosomal dominant hearing loss at the DFNA10 locus.\nMethods: We report on a Chinese family with sensorineural, progressive hearing loss. Next-generation sequencing (NGS) was conducted using DNA samples from this family. A candidate mutation was confirmed by Sanger sequencing. A detailed genotype and phenotype analysis of EYA4 in deafness is provided.\nResults: NGS revealed an insertion mutation c.544_545insA in exon 8 of EYA4 in all affected family members. This insertion created a frameshift resulting in a stop codon at position 221 (p.F221X). The p.F221X frameshift mutation cosegregated with hearing loss in the family. Audiograms of affected family members are flat or sloping, differing from the characteristic “cookie bite” audiogram and the mutation is localized in a different region of the eyaHR in EYA4.\nConclusions: We identified a novel frameshift mutation in the EYA4 gene. Our results enrich the mutational spectrum of EYA4 and highlight the complexity of the DFNA10 genotypes and phenotypes. Using NGS techniques to establish a database of common mutations in patients with hearing loss and further data accumulation will contribute to the early diagnosis and development of fundamental therapies for hereditary hearing loss.","container-title":"Journal of Translational Medicine","DOI":"10.1186/s12967-015-0483-3","ISSN":"1479-5876","issue":"1","journalAbbreviation":"J Transl Med","language":"en","page":"154","source":"DOI.org (Crossref)","title":"A novel EYA4 mutation causing hearing loss in a Chinese DFNA family and genotype-phenotype review of EYA4 in deafness","volume":"13","author":[{"family":"Huang","given":"Aiping"},{"family":"Yuan","given":"Yongyi"},{"family":"Liu","given":"Yanping"},{"family":"Zhu","given":"Qingwen"},{"family":"Dai","given":"Pu"}],"issued":{"date-parts":[["2015",12]]}}}],"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[21]</w:t>
            </w:r>
            <w:r>
              <w:rPr>
                <w:rFonts w:ascii="Times New Roman" w:hAnsi="Times New Roman" w:cs="Times New Roman"/>
                <w:sz w:val="16"/>
                <w:szCs w:val="16"/>
              </w:rPr>
              <w:fldChar w:fldCharType="end"/>
            </w:r>
          </w:p>
        </w:tc>
      </w:tr>
      <w:tr w:rsidR="00A6485A" w14:paraId="77B06EB6" w14:textId="77777777">
        <w:trPr>
          <w:trHeight w:val="454"/>
        </w:trPr>
        <w:tc>
          <w:tcPr>
            <w:tcW w:w="1980" w:type="dxa"/>
            <w:noWrap/>
            <w:vAlign w:val="center"/>
          </w:tcPr>
          <w:p w14:paraId="2998D1E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c.579_580insTACC</w:t>
            </w:r>
          </w:p>
        </w:tc>
        <w:tc>
          <w:tcPr>
            <w:tcW w:w="992" w:type="dxa"/>
            <w:noWrap/>
            <w:vAlign w:val="center"/>
          </w:tcPr>
          <w:p w14:paraId="66B856D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8</w:t>
            </w:r>
          </w:p>
        </w:tc>
        <w:tc>
          <w:tcPr>
            <w:tcW w:w="1276" w:type="dxa"/>
            <w:noWrap/>
            <w:vAlign w:val="center"/>
          </w:tcPr>
          <w:p w14:paraId="48E949F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noWrap/>
            <w:vAlign w:val="center"/>
          </w:tcPr>
          <w:p w14:paraId="38C7F90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noWrap/>
            <w:vAlign w:val="center"/>
          </w:tcPr>
          <w:p w14:paraId="6AA9490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p.Asp194Tyrfs*52</w:t>
            </w:r>
          </w:p>
        </w:tc>
        <w:tc>
          <w:tcPr>
            <w:tcW w:w="1134" w:type="dxa"/>
            <w:noWrap/>
            <w:vAlign w:val="center"/>
          </w:tcPr>
          <w:p w14:paraId="7B634FF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4-40y</w:t>
            </w:r>
          </w:p>
        </w:tc>
        <w:tc>
          <w:tcPr>
            <w:tcW w:w="1531" w:type="dxa"/>
            <w:noWrap/>
            <w:vAlign w:val="center"/>
          </w:tcPr>
          <w:p w14:paraId="2BFF4F9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profound</w:t>
            </w:r>
          </w:p>
        </w:tc>
        <w:tc>
          <w:tcPr>
            <w:tcW w:w="1531" w:type="dxa"/>
            <w:noWrap/>
            <w:vAlign w:val="center"/>
          </w:tcPr>
          <w:p w14:paraId="7C9DD2D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Variable</w:t>
            </w:r>
          </w:p>
        </w:tc>
        <w:tc>
          <w:tcPr>
            <w:tcW w:w="992" w:type="dxa"/>
            <w:noWrap/>
            <w:vAlign w:val="center"/>
          </w:tcPr>
          <w:p w14:paraId="4DAE3A4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Swedish</w:t>
            </w:r>
          </w:p>
        </w:tc>
        <w:tc>
          <w:tcPr>
            <w:tcW w:w="1904" w:type="dxa"/>
            <w:noWrap/>
            <w:vAlign w:val="center"/>
          </w:tcPr>
          <w:p w14:paraId="2FFF7EC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Frykholm et al.2015</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Dd2rpZMA","properties":{"formattedCitation":"[22]","plainCitation":"[22]","noteIndex":0},"citationItems":[{"id":217,"uris":["http://zotero.org/users/13427954/items/C54NUNDR"],"itemData":{"id":217,"type":"article-journal","container-title":"Gene","DOI":"10.1016/j.gene.2015.02.022","ISSN":"03781119","issue":"1","journalAbbreviation":"Gene","language":"en","page":"10-16","source":"DOI.org (Crossref)","title":"Phenotypic variability in a seven-generation Swedish family segregating autosomal dominant hearing impairment due to a novel EYA4 frameshift mutation","volume":"563","author":[{"family":"Frykholm","given":"Carina"},{"family":"Klar","given":"Joakim"},{"family":"Arnesson","given":"Hanna"},{"family":"Rehnman","given":"Anna-Carin"},{"family":"Lodahl","given":"Marianne"},{"family":"Wedén","given":"Ulla"},{"family":"Dahl","given":"Niklas"},{"family":"Tranebjærg","given":"Lisbeth"},{"family":"Rendtorff","given":"Nanna D."}],"issued":{"date-parts":[["2015",5]]}}}],"schema":"https://github.com/citation-style-language/schema/raw/master/csl-citation.json"}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[22]</w:t>
            </w:r>
            <w:r>
              <w:rPr>
                <w:rFonts w:ascii="Times New Roman" w:hAnsi="Times New Roman" w:cs="Times New Roman"/>
                <w:sz w:val="16"/>
                <w:szCs w:val="16"/>
              </w:rPr>
              <w:fldChar w:fldCharType="end"/>
            </w:r>
          </w:p>
        </w:tc>
      </w:tr>
      <w:tr w:rsidR="00A6485A" w14:paraId="42B7858D" w14:textId="77777777">
        <w:trPr>
          <w:trHeight w:val="454"/>
        </w:trPr>
        <w:tc>
          <w:tcPr>
            <w:tcW w:w="1980" w:type="dxa"/>
            <w:shd w:val="clear" w:color="auto" w:fill="C5E0B3" w:themeFill="accent6" w:themeFillTint="66"/>
            <w:noWrap/>
            <w:vAlign w:val="center"/>
          </w:tcPr>
          <w:p w14:paraId="4694401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c.580 + 1G &gt; A</w:t>
            </w:r>
          </w:p>
        </w:tc>
        <w:tc>
          <w:tcPr>
            <w:tcW w:w="992" w:type="dxa"/>
            <w:shd w:val="clear" w:color="auto" w:fill="C5E0B3" w:themeFill="accent6" w:themeFillTint="66"/>
            <w:noWrap/>
            <w:vAlign w:val="center"/>
          </w:tcPr>
          <w:p w14:paraId="406AA11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Intron 8</w:t>
            </w:r>
          </w:p>
        </w:tc>
        <w:tc>
          <w:tcPr>
            <w:tcW w:w="1276" w:type="dxa"/>
            <w:shd w:val="clear" w:color="auto" w:fill="C5E0B3" w:themeFill="accent6" w:themeFillTint="66"/>
            <w:noWrap/>
            <w:vAlign w:val="center"/>
          </w:tcPr>
          <w:p w14:paraId="55B201A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Splicing</w:t>
            </w:r>
          </w:p>
        </w:tc>
        <w:tc>
          <w:tcPr>
            <w:tcW w:w="1139" w:type="dxa"/>
            <w:shd w:val="clear" w:color="auto" w:fill="C5E0B3" w:themeFill="accent6" w:themeFillTint="66"/>
            <w:noWrap/>
            <w:vAlign w:val="center"/>
          </w:tcPr>
          <w:p w14:paraId="28F68D3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1594EC4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134" w:type="dxa"/>
            <w:shd w:val="clear" w:color="auto" w:fill="C5E0B3" w:themeFill="accent6" w:themeFillTint="66"/>
            <w:noWrap/>
            <w:vAlign w:val="center"/>
          </w:tcPr>
          <w:p w14:paraId="0D39ED9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45y</w:t>
            </w:r>
          </w:p>
        </w:tc>
        <w:tc>
          <w:tcPr>
            <w:tcW w:w="1531" w:type="dxa"/>
            <w:shd w:val="clear" w:color="auto" w:fill="C5E0B3" w:themeFill="accent6" w:themeFillTint="66"/>
            <w:noWrap/>
            <w:vAlign w:val="center"/>
          </w:tcPr>
          <w:p w14:paraId="025D56E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51DAF47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57E072C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58A1654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d9cbH1pt","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0E1EEECD" w14:textId="77777777">
        <w:trPr>
          <w:trHeight w:val="454"/>
        </w:trPr>
        <w:tc>
          <w:tcPr>
            <w:tcW w:w="1980" w:type="dxa"/>
            <w:shd w:val="clear" w:color="auto" w:fill="B4C6E7" w:themeFill="accent5" w:themeFillTint="66"/>
            <w:noWrap/>
            <w:vAlign w:val="center"/>
          </w:tcPr>
          <w:p w14:paraId="158B388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c.781del</w:t>
            </w:r>
          </w:p>
        </w:tc>
        <w:tc>
          <w:tcPr>
            <w:tcW w:w="992" w:type="dxa"/>
            <w:shd w:val="clear" w:color="auto" w:fill="B4C6E7" w:themeFill="accent5" w:themeFillTint="66"/>
            <w:noWrap/>
            <w:vAlign w:val="center"/>
          </w:tcPr>
          <w:p w14:paraId="1903953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10</w:t>
            </w:r>
          </w:p>
        </w:tc>
        <w:tc>
          <w:tcPr>
            <w:tcW w:w="1276" w:type="dxa"/>
            <w:shd w:val="clear" w:color="auto" w:fill="B4C6E7" w:themeFill="accent5" w:themeFillTint="66"/>
            <w:noWrap/>
            <w:vAlign w:val="center"/>
          </w:tcPr>
          <w:p w14:paraId="39811FF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shd w:val="clear" w:color="auto" w:fill="B4C6E7" w:themeFill="accent5" w:themeFillTint="66"/>
            <w:noWrap/>
            <w:vAlign w:val="center"/>
          </w:tcPr>
          <w:p w14:paraId="29B472F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B4C6E7" w:themeFill="accent5" w:themeFillTint="66"/>
            <w:noWrap/>
            <w:vAlign w:val="center"/>
          </w:tcPr>
          <w:p w14:paraId="0AAC447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p.Thr261Argfs*34</w:t>
            </w:r>
          </w:p>
        </w:tc>
        <w:tc>
          <w:tcPr>
            <w:tcW w:w="1134" w:type="dxa"/>
            <w:shd w:val="clear" w:color="auto" w:fill="B4C6E7" w:themeFill="accent5" w:themeFillTint="66"/>
            <w:noWrap/>
            <w:vAlign w:val="center"/>
          </w:tcPr>
          <w:p w14:paraId="0DCAE93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26-44y</w:t>
            </w:r>
          </w:p>
        </w:tc>
        <w:tc>
          <w:tcPr>
            <w:tcW w:w="1531" w:type="dxa"/>
            <w:shd w:val="clear" w:color="auto" w:fill="B4C6E7" w:themeFill="accent5" w:themeFillTint="66"/>
            <w:noWrap/>
            <w:vAlign w:val="center"/>
          </w:tcPr>
          <w:p w14:paraId="3C628D7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Mind to moderate</w:t>
            </w:r>
          </w:p>
        </w:tc>
        <w:tc>
          <w:tcPr>
            <w:tcW w:w="1531" w:type="dxa"/>
            <w:shd w:val="clear" w:color="auto" w:fill="B4C6E7" w:themeFill="accent5" w:themeFillTint="66"/>
            <w:noWrap/>
            <w:vAlign w:val="center"/>
          </w:tcPr>
          <w:p w14:paraId="2BDB0DC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shd w:val="clear" w:color="auto" w:fill="B4C6E7" w:themeFill="accent5" w:themeFillTint="66"/>
            <w:noWrap/>
            <w:vAlign w:val="center"/>
          </w:tcPr>
          <w:p w14:paraId="0DACD14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39E4806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F4TpjyVM","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283156C0" w14:textId="77777777">
        <w:trPr>
          <w:trHeight w:val="454"/>
        </w:trPr>
        <w:tc>
          <w:tcPr>
            <w:tcW w:w="1980" w:type="dxa"/>
            <w:noWrap/>
            <w:vAlign w:val="center"/>
          </w:tcPr>
          <w:p w14:paraId="53BBD9D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c.804G &gt; C</w:t>
            </w:r>
          </w:p>
        </w:tc>
        <w:tc>
          <w:tcPr>
            <w:tcW w:w="992" w:type="dxa"/>
            <w:noWrap/>
            <w:vAlign w:val="center"/>
          </w:tcPr>
          <w:p w14:paraId="68A186E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10</w:t>
            </w:r>
          </w:p>
        </w:tc>
        <w:tc>
          <w:tcPr>
            <w:tcW w:w="1276" w:type="dxa"/>
            <w:noWrap/>
            <w:vAlign w:val="center"/>
          </w:tcPr>
          <w:p w14:paraId="17C1AF7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Missence</w:t>
            </w:r>
          </w:p>
        </w:tc>
        <w:tc>
          <w:tcPr>
            <w:tcW w:w="1139" w:type="dxa"/>
            <w:noWrap/>
            <w:vAlign w:val="center"/>
          </w:tcPr>
          <w:p w14:paraId="7C75A77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noWrap/>
            <w:vAlign w:val="center"/>
          </w:tcPr>
          <w:p w14:paraId="48A5AF3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p.Gln268His</w:t>
            </w:r>
          </w:p>
        </w:tc>
        <w:tc>
          <w:tcPr>
            <w:tcW w:w="1134" w:type="dxa"/>
            <w:noWrap/>
            <w:vAlign w:val="center"/>
          </w:tcPr>
          <w:p w14:paraId="17405D2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10</w:t>
            </w:r>
            <w:r>
              <w:rPr>
                <w:rFonts w:ascii="Times New Roman" w:hAnsi="Times New Roman" w:cs="Times New Roman" w:hint="eastAsia"/>
                <w:sz w:val="16"/>
                <w:szCs w:val="16"/>
              </w:rPr>
              <w:t>–</w:t>
            </w:r>
            <w:r>
              <w:rPr>
                <w:rFonts w:ascii="Times New Roman" w:hAnsi="Times New Roman" w:cs="Times New Roman"/>
                <w:sz w:val="16"/>
                <w:szCs w:val="16"/>
              </w:rPr>
              <w:t>40 y</w:t>
            </w:r>
          </w:p>
        </w:tc>
        <w:tc>
          <w:tcPr>
            <w:tcW w:w="1531" w:type="dxa"/>
            <w:noWrap/>
            <w:vAlign w:val="center"/>
          </w:tcPr>
          <w:p w14:paraId="1B42582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noWrap/>
            <w:vAlign w:val="center"/>
          </w:tcPr>
          <w:p w14:paraId="5B3D298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noWrap/>
            <w:vAlign w:val="center"/>
          </w:tcPr>
          <w:p w14:paraId="546F444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Slovak</w:t>
            </w:r>
          </w:p>
        </w:tc>
        <w:tc>
          <w:tcPr>
            <w:tcW w:w="1904" w:type="dxa"/>
            <w:noWrap/>
            <w:vAlign w:val="center"/>
          </w:tcPr>
          <w:p w14:paraId="4B9B845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Varga et al. 2019</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lWW82kkh","properties":{"formattedCitation":"[11]","plainCitation":"[11]","noteIndex":0},"citationItems":[{"id":127,"uris":["http://zotero.org/users/local/y36QHLPz/items/KEP9PJNJ","http://zotero.org/users/13427954/items/KEP9PJNJ"],"itemData":{"id":127,"type":"article-journal","abstract":"Background: Progressive bilateral sensorineural deafness in postlingual period may be linked to many different etiologies including genetic factors. Identification of the exact deafness cause may, therefore, be quite challenging. Here we present a family with late-onset hearing loss as an autosomal dominant trait caused by a novel EYA4 mutation. Case presentation: Forty-four years old female proband clinically investigated for progressive hearing loss and occasional dizziness with positive family history for deafness was subject to molecular-genetic testing. Patient’s DNA sample was analyzed by whole exome sequencing. We identified a novel missense variant c.804G &gt; C located at the last base pair of exon 10 in EYA4. Candidate variant was confirmed by Sanger sequencing in the proband and her family members. In silico prediction tools and co-segregation analysis were used to indicate pathogenicity of the identified variant. To confirm our hypothesis, we performed minigene assay to demonstrate if the transcript of exon 10 in EYA4 is present. We provide evidence that this mutation in vitro compromises donor site functionality and causes exon 10 skipping and frameshift that most likely results in nonsense-mediated mRNA decay. The onset of moderate to severe hearing loss in the family ranged from 10 to 40 years. The normal cardiac phenotype was confirmed by ECG and echocardiography. Conclusions: We identified a novel EYA4 mutation associated with adult-onset autosomal dominant sensorineural hearing loss. This report extends the knowledge of spectrum of EYA4 mutations and demonstrates the pathogenicity of a variant affecting specific position in the gene. A comprehensive review of known EYA4 mutations is also given and their impact on cardiac phenotype is discussed. Our findings highlight the importance of genetic testing and complex clinical assessment in patients with familial progressive hearing loss.","container-title":"BMC Medical Genetics","DOI":"10.1186/s12881-019-0806-y","ISSN":"1471-2350","issue":"1","journalAbbreviation":"BMC Med Genet","language":"en","page":"84","source":"DOI.org (Crossref)","title":"Novel EYA4 variant in Slovak family with late onset autosomal dominant hearing loss: a case report","title-short":"Novel EYA4 variant in Slovak family with late onset autosomal dominant hearing loss","volume":"20","author":[{"family":"Varga","given":"Lukas"},{"family":"Danis","given":"Daniel"},{"family":"Skopkova","given":"Martina"},{"family":"Masindova","given":"Ivica"},{"family":"Slobodova","given":"Zuzana"},{"family":"Demesova","given":"Lucia"},{"family":"Profant","given":"Milan"},{"family":"Gasperikova","given":"Daniela"}],"issued":{"date-parts":[["2019",12]]}}}],"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[11]</w:t>
            </w:r>
            <w:r>
              <w:rPr>
                <w:rFonts w:ascii="Times New Roman" w:hAnsi="Times New Roman" w:cs="Times New Roman"/>
                <w:sz w:val="16"/>
                <w:szCs w:val="16"/>
              </w:rPr>
              <w:fldChar w:fldCharType="end"/>
            </w:r>
          </w:p>
        </w:tc>
      </w:tr>
      <w:tr w:rsidR="00A6485A" w14:paraId="3535FDC6" w14:textId="77777777">
        <w:trPr>
          <w:trHeight w:val="454"/>
        </w:trPr>
        <w:tc>
          <w:tcPr>
            <w:tcW w:w="1980" w:type="dxa"/>
            <w:vMerge w:val="restart"/>
            <w:shd w:val="clear" w:color="auto" w:fill="F4B083" w:themeFill="accent2" w:themeFillTint="99"/>
            <w:noWrap/>
            <w:vAlign w:val="center"/>
          </w:tcPr>
          <w:p w14:paraId="07D9C65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c.863C&gt;A</w:t>
            </w:r>
          </w:p>
        </w:tc>
        <w:tc>
          <w:tcPr>
            <w:tcW w:w="992" w:type="dxa"/>
            <w:vMerge w:val="restart"/>
            <w:shd w:val="clear" w:color="auto" w:fill="F4B083" w:themeFill="accent2" w:themeFillTint="99"/>
            <w:noWrap/>
            <w:vAlign w:val="center"/>
          </w:tcPr>
          <w:p w14:paraId="489BA39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11</w:t>
            </w:r>
          </w:p>
        </w:tc>
        <w:tc>
          <w:tcPr>
            <w:tcW w:w="1276" w:type="dxa"/>
            <w:vMerge w:val="restart"/>
            <w:shd w:val="clear" w:color="auto" w:fill="F4B083" w:themeFill="accent2" w:themeFillTint="99"/>
            <w:noWrap/>
            <w:vAlign w:val="center"/>
          </w:tcPr>
          <w:p w14:paraId="15E0C95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vMerge w:val="restart"/>
            <w:shd w:val="clear" w:color="auto" w:fill="F4B083" w:themeFill="accent2" w:themeFillTint="99"/>
            <w:noWrap/>
            <w:vAlign w:val="center"/>
          </w:tcPr>
          <w:p w14:paraId="6B9868B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vMerge w:val="restart"/>
            <w:shd w:val="clear" w:color="auto" w:fill="F4B083" w:themeFill="accent2" w:themeFillTint="99"/>
            <w:noWrap/>
            <w:vAlign w:val="center"/>
          </w:tcPr>
          <w:p w14:paraId="50F52B9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p.Ser288*</w:t>
            </w:r>
          </w:p>
        </w:tc>
        <w:tc>
          <w:tcPr>
            <w:tcW w:w="1134" w:type="dxa"/>
            <w:vMerge w:val="restart"/>
            <w:shd w:val="clear" w:color="auto" w:fill="F4B083" w:themeFill="accent2" w:themeFillTint="99"/>
            <w:noWrap/>
            <w:vAlign w:val="center"/>
          </w:tcPr>
          <w:p w14:paraId="6895F8E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shd w:val="clear" w:color="auto" w:fill="F4B083" w:themeFill="accent2" w:themeFillTint="99"/>
            <w:noWrap/>
            <w:vAlign w:val="center"/>
          </w:tcPr>
          <w:p w14:paraId="5C798BF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F4B083" w:themeFill="accent2" w:themeFillTint="99"/>
            <w:noWrap/>
            <w:vAlign w:val="center"/>
          </w:tcPr>
          <w:p w14:paraId="3DFBF78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ReverseU-shaped</w:t>
            </w:r>
          </w:p>
        </w:tc>
        <w:tc>
          <w:tcPr>
            <w:tcW w:w="992" w:type="dxa"/>
            <w:shd w:val="clear" w:color="auto" w:fill="F4B083" w:themeFill="accent2" w:themeFillTint="99"/>
            <w:noWrap/>
            <w:vAlign w:val="center"/>
          </w:tcPr>
          <w:p w14:paraId="0653934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Korean</w:t>
            </w:r>
          </w:p>
        </w:tc>
        <w:tc>
          <w:tcPr>
            <w:tcW w:w="1904" w:type="dxa"/>
            <w:shd w:val="clear" w:color="auto" w:fill="F4B083" w:themeFill="accent2" w:themeFillTint="99"/>
            <w:noWrap/>
            <w:vAlign w:val="center"/>
          </w:tcPr>
          <w:p w14:paraId="4F456B6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Baek et al. 2012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{"citationID":"aOCQUkIP","properties":{"formattedCitation":"[23]","plainCitation":"[23]","noteIndex":0},"citationItems":[{"id":225,"uris":["http://zotero.org/users/13427954/items/KKW7RWYV"],"itemData":{"id":225,"type":"article-journal","abstract":"BACKGROUND: Hereditary hearing loss is one of the most common heterogeneous disorders, and genetic variants that can cause hearing loss have been identified in over sixty genes. Most of these hearing loss genes have been detected using classical genetic methods, typically starting with linkage analysis in large families with hereditary hearing loss. However, these classical strategies are not well suited for mutation analysis in smaller families who have insufficient genetic information.\nMETHODS: Eighty known hearing loss genes were selected and simultaneously sequenced by targeted next-generation sequencing (NGS) in 8 Korean families with autosomal dominant non-syndromic sensorineural hearing loss.\nRESULTS: Five mutations in known hearing loss genes, including 1 nonsense and 4 missense mutations, were identified in 5 different genes (ACTG1, MYO1F, DIAPH1, POU4F3 and EYA4), and the genotypes for these mutations were consistent with the autosomal dominant inheritance pattern of hearing loss in each family. No mutational hot-spots were revealed in these Korean families.\nCONCLUSION: Targeted NGS allowed for the detection of pathogenic mutations in affected individuals who were not candidates for classical genetic studies. This report is the first documenting the effective use of an NGS technique to detect pathogenic mutations that underlie hearing loss in an East Asian population. Using this NGS technique to establish a database of common mutations in Korean patients with hearing loss and further data accumulation will contribute to the early diagnosis and fundamental therapies for hereditary hearing loss.","container-title":"Orphanet Journal of Rare Diseases","DOI":"10.1186/1750-1172-7-60","ISSN":"1750-1172","journalAbbreviation":"Orphanet J Rare Dis","language":"eng","note":"PMID: 22938506\nPMCID: PMC3495859","page":"60","source":"PubMed","title":"Targeted massive parallel sequencing: the effective detection of novel causative mutations associated with hearing loss in small families","title-short":"Targeted massive parallel sequencing","volume":"7","author":[{"family":"Baek","given":"Jeong-In"},{"family":"Oh","given":"Se-Kyung"},{"family":"Kim","given":"Dong-Bin"},{"family":"Choi","given":"Soo-Young"},{"family":"Kim","given":"Un-Kyung"},{"family":"Lee","given":"Kyu-Yup"},{"family":"Lee","given":"Sang-Heun"}],"issued":{"date-parts":[["2012",9,3]]}}}],"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[23]</w:t>
            </w:r>
            <w:r>
              <w:rPr>
                <w:rFonts w:ascii="Times New Roman" w:hAnsi="Times New Roman" w:cs="Times New Roman"/>
                <w:sz w:val="16"/>
                <w:szCs w:val="16"/>
              </w:rPr>
              <w:fldChar w:fldCharType="end"/>
            </w:r>
          </w:p>
        </w:tc>
      </w:tr>
      <w:tr w:rsidR="00A6485A" w14:paraId="7B352F86" w14:textId="77777777">
        <w:trPr>
          <w:trHeight w:val="454"/>
        </w:trPr>
        <w:tc>
          <w:tcPr>
            <w:tcW w:w="1980" w:type="dxa"/>
            <w:vMerge/>
            <w:shd w:val="clear" w:color="auto" w:fill="F4B083" w:themeFill="accent2" w:themeFillTint="99"/>
            <w:noWrap/>
            <w:vAlign w:val="center"/>
          </w:tcPr>
          <w:p w14:paraId="735566F9" w14:textId="77777777" w:rsidR="00A6485A" w:rsidRDefault="00A6485A">
            <w:pPr>
              <w:spacing w:line="360" w:lineRule="auto"/>
              <w:rPr>
                <w:rFonts w:ascii="Times New Roman" w:hAnsi="Times New Roman" w:cs="Times New Roman"/>
                <w:sz w:val="16"/>
                <w:szCs w:val="16"/>
              </w:rPr>
            </w:pPr>
          </w:p>
        </w:tc>
        <w:tc>
          <w:tcPr>
            <w:tcW w:w="992" w:type="dxa"/>
            <w:vMerge/>
            <w:shd w:val="clear" w:color="auto" w:fill="F4B083" w:themeFill="accent2" w:themeFillTint="99"/>
            <w:noWrap/>
            <w:vAlign w:val="center"/>
          </w:tcPr>
          <w:p w14:paraId="2E5C5AB1" w14:textId="77777777" w:rsidR="00A6485A" w:rsidRDefault="00A6485A">
            <w:pPr>
              <w:spacing w:line="360" w:lineRule="auto"/>
              <w:rPr>
                <w:rFonts w:ascii="Times New Roman" w:hAnsi="Times New Roman" w:cs="Times New Roman"/>
                <w:sz w:val="16"/>
                <w:szCs w:val="16"/>
              </w:rPr>
            </w:pPr>
          </w:p>
        </w:tc>
        <w:tc>
          <w:tcPr>
            <w:tcW w:w="1276" w:type="dxa"/>
            <w:vMerge/>
            <w:shd w:val="clear" w:color="auto" w:fill="F4B083" w:themeFill="accent2" w:themeFillTint="99"/>
            <w:noWrap/>
            <w:vAlign w:val="center"/>
          </w:tcPr>
          <w:p w14:paraId="280FF213" w14:textId="77777777" w:rsidR="00A6485A" w:rsidRDefault="00A6485A">
            <w:pPr>
              <w:spacing w:line="360" w:lineRule="auto"/>
              <w:rPr>
                <w:rFonts w:ascii="Times New Roman" w:hAnsi="Times New Roman" w:cs="Times New Roman"/>
                <w:sz w:val="16"/>
                <w:szCs w:val="16"/>
              </w:rPr>
            </w:pPr>
          </w:p>
        </w:tc>
        <w:tc>
          <w:tcPr>
            <w:tcW w:w="1139" w:type="dxa"/>
            <w:vMerge/>
            <w:shd w:val="clear" w:color="auto" w:fill="F4B083" w:themeFill="accent2" w:themeFillTint="99"/>
            <w:noWrap/>
            <w:vAlign w:val="center"/>
          </w:tcPr>
          <w:p w14:paraId="06C6781B" w14:textId="77777777" w:rsidR="00A6485A" w:rsidRDefault="00A6485A">
            <w:pPr>
              <w:spacing w:line="360" w:lineRule="auto"/>
              <w:rPr>
                <w:rFonts w:ascii="Times New Roman" w:hAnsi="Times New Roman" w:cs="Times New Roman"/>
                <w:sz w:val="16"/>
                <w:szCs w:val="16"/>
              </w:rPr>
            </w:pPr>
          </w:p>
        </w:tc>
        <w:tc>
          <w:tcPr>
            <w:tcW w:w="1755" w:type="dxa"/>
            <w:vMerge/>
            <w:shd w:val="clear" w:color="auto" w:fill="F4B083" w:themeFill="accent2" w:themeFillTint="99"/>
            <w:noWrap/>
            <w:vAlign w:val="center"/>
          </w:tcPr>
          <w:p w14:paraId="06FA55F0" w14:textId="77777777" w:rsidR="00A6485A" w:rsidRDefault="00A6485A">
            <w:pPr>
              <w:spacing w:line="360" w:lineRule="auto"/>
              <w:rPr>
                <w:rFonts w:ascii="Times New Roman" w:hAnsi="Times New Roman" w:cs="Times New Roman"/>
                <w:sz w:val="16"/>
                <w:szCs w:val="16"/>
              </w:rPr>
            </w:pPr>
          </w:p>
        </w:tc>
        <w:tc>
          <w:tcPr>
            <w:tcW w:w="1134" w:type="dxa"/>
            <w:vMerge/>
            <w:shd w:val="clear" w:color="auto" w:fill="F4B083" w:themeFill="accent2" w:themeFillTint="99"/>
            <w:noWrap/>
            <w:vAlign w:val="center"/>
          </w:tcPr>
          <w:p w14:paraId="4CBF9F85" w14:textId="77777777" w:rsidR="00A6485A" w:rsidRDefault="00A6485A">
            <w:pPr>
              <w:spacing w:line="360" w:lineRule="auto"/>
              <w:rPr>
                <w:rFonts w:ascii="Times New Roman" w:hAnsi="Times New Roman" w:cs="Times New Roman"/>
                <w:sz w:val="16"/>
                <w:szCs w:val="16"/>
              </w:rPr>
            </w:pPr>
          </w:p>
        </w:tc>
        <w:tc>
          <w:tcPr>
            <w:tcW w:w="1531" w:type="dxa"/>
            <w:shd w:val="clear" w:color="auto" w:fill="F4B083" w:themeFill="accent2" w:themeFillTint="99"/>
            <w:noWrap/>
            <w:vAlign w:val="center"/>
          </w:tcPr>
          <w:p w14:paraId="6E57882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severe</w:t>
            </w:r>
          </w:p>
        </w:tc>
        <w:tc>
          <w:tcPr>
            <w:tcW w:w="1531" w:type="dxa"/>
            <w:shd w:val="clear" w:color="auto" w:fill="F4B083" w:themeFill="accent2" w:themeFillTint="99"/>
            <w:noWrap/>
            <w:vAlign w:val="center"/>
          </w:tcPr>
          <w:p w14:paraId="2F0F546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 freq</w:t>
            </w:r>
          </w:p>
        </w:tc>
        <w:tc>
          <w:tcPr>
            <w:tcW w:w="992" w:type="dxa"/>
            <w:shd w:val="clear" w:color="auto" w:fill="F4B083" w:themeFill="accent2" w:themeFillTint="99"/>
            <w:noWrap/>
            <w:vAlign w:val="center"/>
          </w:tcPr>
          <w:p w14:paraId="7A24CBC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Korean</w:t>
            </w:r>
          </w:p>
        </w:tc>
        <w:tc>
          <w:tcPr>
            <w:tcW w:w="1904" w:type="dxa"/>
            <w:shd w:val="clear" w:color="auto" w:fill="F4B083" w:themeFill="accent2" w:themeFillTint="99"/>
            <w:noWrap/>
            <w:vAlign w:val="center"/>
          </w:tcPr>
          <w:p w14:paraId="70AB6B0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Kim et al. 2015</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9UOUTpw8","properties":{"formattedCitation":"[7]","plainCitation":"[7]","noteIndex":0},"citationItems":[{"id":223,"uris":["http://zotero.org/users/local/y36QHLPz/items/G9Y7UY8C","http://zotero.org/users/13427954/items/G9Y7UY8C"],"itemData":{"id":223,"type":"article-journal","container-title":"PLOS ONE","DOI":"10.1371/journal.pone.0119443","ISSN":"1932-6203","issue":"3","journalAbbreviation":"PLoS ONE","language":"en","page":"e0119443","source":"DOI.org (Crossref)","title":"Evaluation of the Contribution of the EYA4 and GRHL2 Genes in Korean Patients with Autosomal Dominant Non-Syndromic Hearing Loss","volume":"10","author":[{"family":"Kim","given":"Ye-Ri"},{"family":"Kim","given":"Min-A"},{"family":"Sagong","given":"Borum"},{"family":"Bae","given":"Seung-Hyun"},{"family":"Lee","given":"Hyo-Jeong"},{"family":"Kim","given":"Hyung-Jong"},{"family":"Choi","given":"Jae Young"},{"family":"Lee","given":"Kyu-Yup"},{"family":"Kim","given":"Un-Kyung"}],"editor":[{"family":"Hejtmancik","given":"J. Fielding"}],"issued":{"date-parts":[["2015",3,17]]}}}],"schema":"https://github.com/citation-style-language/schema/raw/master/csl-citation.json"}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[7]</w:t>
            </w:r>
            <w:r>
              <w:rPr>
                <w:rFonts w:ascii="Times New Roman" w:hAnsi="Times New Roman" w:cs="Times New Roman"/>
                <w:sz w:val="16"/>
                <w:szCs w:val="16"/>
              </w:rPr>
              <w:fldChar w:fldCharType="end"/>
            </w:r>
          </w:p>
        </w:tc>
      </w:tr>
      <w:tr w:rsidR="00A6485A" w14:paraId="17E3B54F" w14:textId="77777777">
        <w:trPr>
          <w:trHeight w:val="454"/>
        </w:trPr>
        <w:tc>
          <w:tcPr>
            <w:tcW w:w="1980" w:type="dxa"/>
            <w:shd w:val="clear" w:color="auto" w:fill="C5E0B3" w:themeFill="accent6" w:themeFillTint="66"/>
            <w:noWrap/>
            <w:vAlign w:val="center"/>
          </w:tcPr>
          <w:p w14:paraId="426D150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c.910del</w:t>
            </w:r>
          </w:p>
        </w:tc>
        <w:tc>
          <w:tcPr>
            <w:tcW w:w="992" w:type="dxa"/>
            <w:shd w:val="clear" w:color="auto" w:fill="C5E0B3" w:themeFill="accent6" w:themeFillTint="66"/>
            <w:noWrap/>
            <w:vAlign w:val="center"/>
          </w:tcPr>
          <w:p w14:paraId="6DCB7B7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11</w:t>
            </w:r>
          </w:p>
        </w:tc>
        <w:tc>
          <w:tcPr>
            <w:tcW w:w="1276" w:type="dxa"/>
            <w:shd w:val="clear" w:color="auto" w:fill="C5E0B3" w:themeFill="accent6" w:themeFillTint="66"/>
            <w:noWrap/>
            <w:vAlign w:val="center"/>
          </w:tcPr>
          <w:p w14:paraId="324B5AB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shd w:val="clear" w:color="auto" w:fill="C5E0B3" w:themeFill="accent6" w:themeFillTint="66"/>
            <w:noWrap/>
            <w:vAlign w:val="center"/>
          </w:tcPr>
          <w:p w14:paraId="0FE509F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60BBDB2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p.Ser305Leufs*15</w:t>
            </w:r>
          </w:p>
        </w:tc>
        <w:tc>
          <w:tcPr>
            <w:tcW w:w="1134" w:type="dxa"/>
            <w:shd w:val="clear" w:color="auto" w:fill="C5E0B3" w:themeFill="accent6" w:themeFillTint="66"/>
            <w:noWrap/>
            <w:vAlign w:val="center"/>
          </w:tcPr>
          <w:p w14:paraId="21D3A7F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30</w:t>
            </w:r>
          </w:p>
        </w:tc>
        <w:tc>
          <w:tcPr>
            <w:tcW w:w="1531" w:type="dxa"/>
            <w:shd w:val="clear" w:color="auto" w:fill="C5E0B3" w:themeFill="accent6" w:themeFillTint="66"/>
            <w:noWrap/>
            <w:vAlign w:val="center"/>
          </w:tcPr>
          <w:p w14:paraId="4FDF49B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Severe</w:t>
            </w:r>
          </w:p>
        </w:tc>
        <w:tc>
          <w:tcPr>
            <w:tcW w:w="1531" w:type="dxa"/>
            <w:shd w:val="clear" w:color="auto" w:fill="C5E0B3" w:themeFill="accent6" w:themeFillTint="66"/>
            <w:noWrap/>
            <w:vAlign w:val="center"/>
          </w:tcPr>
          <w:p w14:paraId="441B673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6A53873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21781C5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ermYxIno","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18E44C05" w14:textId="77777777">
        <w:trPr>
          <w:trHeight w:val="454"/>
        </w:trPr>
        <w:tc>
          <w:tcPr>
            <w:tcW w:w="1980" w:type="dxa"/>
            <w:shd w:val="clear" w:color="auto" w:fill="F4B083" w:themeFill="accent2" w:themeFillTint="99"/>
            <w:noWrap/>
            <w:vAlign w:val="center"/>
          </w:tcPr>
          <w:p w14:paraId="15AF55A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lastRenderedPageBreak/>
              <w:t>c.978C&gt;G</w:t>
            </w:r>
          </w:p>
        </w:tc>
        <w:tc>
          <w:tcPr>
            <w:tcW w:w="992" w:type="dxa"/>
            <w:shd w:val="clear" w:color="auto" w:fill="F4B083" w:themeFill="accent2" w:themeFillTint="99"/>
            <w:noWrap/>
            <w:vAlign w:val="center"/>
          </w:tcPr>
          <w:p w14:paraId="02763CE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12</w:t>
            </w:r>
          </w:p>
        </w:tc>
        <w:tc>
          <w:tcPr>
            <w:tcW w:w="1276" w:type="dxa"/>
            <w:shd w:val="clear" w:color="auto" w:fill="F4B083" w:themeFill="accent2" w:themeFillTint="99"/>
            <w:noWrap/>
            <w:vAlign w:val="center"/>
          </w:tcPr>
          <w:p w14:paraId="0D0BB4E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F4B083" w:themeFill="accent2" w:themeFillTint="99"/>
            <w:noWrap/>
            <w:vAlign w:val="center"/>
          </w:tcPr>
          <w:p w14:paraId="1527B7D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F4B083" w:themeFill="accent2" w:themeFillTint="99"/>
            <w:noWrap/>
            <w:vAlign w:val="center"/>
          </w:tcPr>
          <w:p w14:paraId="2FC5A81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p.Phe326Leu</w:t>
            </w:r>
          </w:p>
        </w:tc>
        <w:tc>
          <w:tcPr>
            <w:tcW w:w="1134" w:type="dxa"/>
            <w:shd w:val="clear" w:color="auto" w:fill="F4B083" w:themeFill="accent2" w:themeFillTint="99"/>
            <w:noWrap/>
            <w:vAlign w:val="center"/>
          </w:tcPr>
          <w:p w14:paraId="4CCE4CE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shd w:val="clear" w:color="auto" w:fill="F4B083" w:themeFill="accent2" w:themeFillTint="99"/>
            <w:noWrap/>
            <w:vAlign w:val="center"/>
          </w:tcPr>
          <w:p w14:paraId="2168907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F4B083" w:themeFill="accent2" w:themeFillTint="99"/>
            <w:noWrap/>
            <w:vAlign w:val="center"/>
          </w:tcPr>
          <w:p w14:paraId="437A3DD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Down sloping</w:t>
            </w:r>
          </w:p>
        </w:tc>
        <w:tc>
          <w:tcPr>
            <w:tcW w:w="992" w:type="dxa"/>
            <w:shd w:val="clear" w:color="auto" w:fill="F4B083" w:themeFill="accent2" w:themeFillTint="99"/>
            <w:noWrap/>
            <w:vAlign w:val="center"/>
          </w:tcPr>
          <w:p w14:paraId="43A2D4B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Korean</w:t>
            </w:r>
          </w:p>
        </w:tc>
        <w:tc>
          <w:tcPr>
            <w:tcW w:w="1904" w:type="dxa"/>
            <w:shd w:val="clear" w:color="auto" w:fill="F4B083" w:themeFill="accent2" w:themeFillTint="99"/>
            <w:noWrap/>
            <w:vAlign w:val="center"/>
          </w:tcPr>
          <w:p w14:paraId="58C857F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Choi et al. 2013</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{"citationID":"HYYuWIxl","properties":{"formattedCitation":"[24]","plainCitation":"[24]","noteIndex":0},"citationItems":[{"id":207,"uris":["http://zotero.org/users/13427954/items/CVG54PVJ"],"itemData":{"id":207,"type":"article-journal","abstract":"Identification of causative genes for hereditary nonsyndromic hearing loss (NSHL) is important to decide treatment modalities and to counsel the patients. Due to the genetic heterogeneity in sensorineural genetic disorders, the high-throughput method can be adapted for the efficient diagnosis. To this end, we designed a new diagnostic pipeline to screen all the reported candidate genes for NSHL. For validation of the diagnostic pipeline, we focused upon familial NSHL cases that are most likely to be genetic, rather than to be infectious or environmental. Among the 32 familial NSHL cases, we were able to make a molecular genetic diagnosis from 12 probands (37.5%) in the first stage by their clinical features, characteristic inheritance pattern and further candidate gene sequencing of GJB2, SLC26A4, POU3F4 or mitochondrial DNA. Next we applied targeted resequencing on 80 NSHL genes in the remaining 20 probands. Each proband carried 4.8 variants that were not synonymous and had the occurring frequency of less than three among the 20 probands. These variants were then filtered out with the inheritance pattern of the family, allele frequency in normal hearing 80 control subjects, clinical features. Finally NSHL-causing candidate mutations were identified in 13(65%) of the 20 probands of multiplex families, bringing the total solve rate (or detection rate) in our familial cases to be 78.1% (25/32) Damaging mutations discovered by the targeted resequencing were distributed in nine genes such as WFS1, COCH, EYA4, MYO6, GJB3, COL11A2, OTOF, STRC and MYO3A, most of which were private. Despite the advent of whole genome and whole exome sequencing, we propose targeted resequencing and filtering strategy as a screening and diagnostic tool at least for familial NSHL to find mutations based upon its efficacy and cost-effectiveness.","container-title":"PloS One","DOI":"10.1371/journal.pone.0068692","ISSN":"1932-6203","issue":"8","journalAbbreviation":"PLoS One","language":"eng","note":"PMID: 23990876\nPMCID: PMC3750053","page":"e68692","source":"PubMed","title":"Diagnostic application of targeted resequencing for familial nonsyndromic hearing loss","volume":"8","author":[{"family":"Choi","given":"Byung Yoon"},{"family":"Park","given":"Gibeom"},{"family":"Gim","given":"Jungsoo"},{"family":"Kim","given":"Ah Reum"},{"family":"Kim","given":"Bong-Jik"},{"family":"Kim","given":"Hyo-Sang"},{"family":"Park","given":"Joo Hyun"},{"family":"Park","given":"Taesung"},{"family":"Oh","given":"Seung-Ha"},{"family":"Han","given":"Kyu-Hee"},{"family":"Park","given":"Woong-Yang"}],"issued":{"date-parts":[["2013"]]}}}],"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[24]</w:t>
            </w:r>
            <w:r>
              <w:rPr>
                <w:rFonts w:ascii="Times New Roman" w:hAnsi="Times New Roman" w:cs="Times New Roman"/>
                <w:sz w:val="16"/>
                <w:szCs w:val="16"/>
              </w:rPr>
              <w:fldChar w:fldCharType="end"/>
            </w:r>
          </w:p>
        </w:tc>
      </w:tr>
      <w:tr w:rsidR="00A6485A" w14:paraId="76B8DBC8" w14:textId="77777777">
        <w:trPr>
          <w:trHeight w:val="454"/>
        </w:trPr>
        <w:tc>
          <w:tcPr>
            <w:tcW w:w="1980" w:type="dxa"/>
            <w:shd w:val="clear" w:color="auto" w:fill="C5E0B3" w:themeFill="accent6" w:themeFillTint="66"/>
            <w:noWrap/>
            <w:vAlign w:val="center"/>
          </w:tcPr>
          <w:p w14:paraId="09451DC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c.988C &gt; T</w:t>
            </w:r>
          </w:p>
        </w:tc>
        <w:tc>
          <w:tcPr>
            <w:tcW w:w="992" w:type="dxa"/>
            <w:shd w:val="clear" w:color="auto" w:fill="C5E0B3" w:themeFill="accent6" w:themeFillTint="66"/>
            <w:noWrap/>
            <w:vAlign w:val="center"/>
          </w:tcPr>
          <w:p w14:paraId="3B9348F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12</w:t>
            </w:r>
          </w:p>
        </w:tc>
        <w:tc>
          <w:tcPr>
            <w:tcW w:w="1276" w:type="dxa"/>
            <w:shd w:val="clear" w:color="auto" w:fill="C5E0B3" w:themeFill="accent6" w:themeFillTint="66"/>
            <w:noWrap/>
            <w:vAlign w:val="center"/>
          </w:tcPr>
          <w:p w14:paraId="1C62C2A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shd w:val="clear" w:color="auto" w:fill="C5E0B3" w:themeFill="accent6" w:themeFillTint="66"/>
            <w:noWrap/>
            <w:vAlign w:val="center"/>
          </w:tcPr>
          <w:p w14:paraId="13D2973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10FF562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p.Gln330*</w:t>
            </w:r>
          </w:p>
        </w:tc>
        <w:tc>
          <w:tcPr>
            <w:tcW w:w="1134" w:type="dxa"/>
            <w:shd w:val="clear" w:color="auto" w:fill="C5E0B3" w:themeFill="accent6" w:themeFillTint="66"/>
            <w:noWrap/>
            <w:vAlign w:val="center"/>
          </w:tcPr>
          <w:p w14:paraId="2E98A26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16 y</w:t>
            </w:r>
          </w:p>
        </w:tc>
        <w:tc>
          <w:tcPr>
            <w:tcW w:w="1531" w:type="dxa"/>
            <w:shd w:val="clear" w:color="auto" w:fill="C5E0B3" w:themeFill="accent6" w:themeFillTint="66"/>
            <w:noWrap/>
            <w:vAlign w:val="center"/>
          </w:tcPr>
          <w:p w14:paraId="309A546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2BA3F1B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4B7CE99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12197C0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04yhzCNN","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0A8FDCCE" w14:textId="77777777">
        <w:trPr>
          <w:trHeight w:val="454"/>
        </w:trPr>
        <w:tc>
          <w:tcPr>
            <w:tcW w:w="1980" w:type="dxa"/>
            <w:noWrap/>
            <w:vAlign w:val="center"/>
          </w:tcPr>
          <w:p w14:paraId="2CD4786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c.1026_1027dup</w:t>
            </w:r>
          </w:p>
        </w:tc>
        <w:tc>
          <w:tcPr>
            <w:tcW w:w="992" w:type="dxa"/>
            <w:noWrap/>
            <w:vAlign w:val="center"/>
          </w:tcPr>
          <w:p w14:paraId="6E1CAF4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12</w:t>
            </w:r>
          </w:p>
        </w:tc>
        <w:tc>
          <w:tcPr>
            <w:tcW w:w="1276" w:type="dxa"/>
            <w:noWrap/>
            <w:vAlign w:val="center"/>
          </w:tcPr>
          <w:p w14:paraId="5D7E4F0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noWrap/>
            <w:vAlign w:val="center"/>
          </w:tcPr>
          <w:p w14:paraId="51A9A30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noWrap/>
            <w:vAlign w:val="center"/>
          </w:tcPr>
          <w:p w14:paraId="73DFBF7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p.Thr343Lysfs*62</w:t>
            </w:r>
          </w:p>
        </w:tc>
        <w:tc>
          <w:tcPr>
            <w:tcW w:w="1134" w:type="dxa"/>
            <w:noWrap/>
            <w:vAlign w:val="center"/>
          </w:tcPr>
          <w:p w14:paraId="69C24C5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1st, 3rd decade</w:t>
            </w:r>
          </w:p>
        </w:tc>
        <w:tc>
          <w:tcPr>
            <w:tcW w:w="1531" w:type="dxa"/>
            <w:noWrap/>
            <w:vAlign w:val="center"/>
          </w:tcPr>
          <w:p w14:paraId="5DF6AFE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profound</w:t>
            </w:r>
          </w:p>
        </w:tc>
        <w:tc>
          <w:tcPr>
            <w:tcW w:w="1531" w:type="dxa"/>
            <w:noWrap/>
            <w:vAlign w:val="center"/>
          </w:tcPr>
          <w:p w14:paraId="5BC6B05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Flat/Gently sloping</w:t>
            </w:r>
          </w:p>
        </w:tc>
        <w:tc>
          <w:tcPr>
            <w:tcW w:w="992" w:type="dxa"/>
            <w:noWrap/>
            <w:vAlign w:val="center"/>
          </w:tcPr>
          <w:p w14:paraId="7067023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 American</w:t>
            </w:r>
          </w:p>
        </w:tc>
        <w:tc>
          <w:tcPr>
            <w:tcW w:w="1904" w:type="dxa"/>
            <w:noWrap/>
            <w:vAlign w:val="center"/>
          </w:tcPr>
          <w:p w14:paraId="3ACDF72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Wayne et al. 2001</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AbuZEQ9v","properties":{"formattedCitation":"[3]","plainCitation":"[3]","noteIndex":0},"citationItems":[{"id":139,"uris":["http://zotero.org/users/local/y36QHLPz/items/64EBVW3G","http://zotero.org/users/13427954/items/64EBVW3G"],"itemData":{"id":139,"type":"article-journal","abstract":"We identified Eyes absent 4 (EYA4), a member of the vertebrate Eya family of transcriptional activators, as the causative gene of postlingual, progressive, autosomal dominant hearing loss at the DFNA10 locus. In two unrelated families from Belgium and the USA segregating for deafness at this locus, we found different mutations in EYA4, both of which create premature stop codons. Although EYA proteins interact with members of the SIX and DACH protein families in a conserved network that regulates early embryonic development, this finding shows that EYA4 is also important post-developmentally for continued function of the mature organ of Corti.","container-title":"Human Molecular Genetics","DOI":"10.1093/hmg/10.3.195","ISSN":"0964-6906","issue":"3","journalAbbreviation":"Hum Mol Genet","language":"eng","note":"PMID: 11159937","page":"195-200","source":"PubMed","title":"Mutations in the transcriptional activator EYA4 cause late-onset deafness at the DFNA10 locus","volume":"10","author":[{"family":"Wayne","given":"S."},{"family":"Robertson","given":"N. G."},{"family":"DeClau","given":"F."},{"family":"Chen","given":"N."},{"family":"Verhoeven","given":"K."},{"family":"Prasad","given":"S."},{"family":"Tranebjärg","given":"L."},{"family":"Morton","given":"C. C."},{"family":"Ryan","given":"A. F."},{"family":"Van Camp","given":"G."},{"family":"Smith","given":"R. J."}],"issued":{"date-parts":[["2001",2,1]]}}}],"schema":"https://github.com/citation-style-language/schema/raw/master/csl-citation.json"}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w:t>
            </w:r>
            <w:r>
              <w:rPr>
                <w:rFonts w:ascii="Times New Roman" w:hAnsi="Times New Roman" w:cs="Times New Roman"/>
                <w:sz w:val="16"/>
                <w:szCs w:val="16"/>
              </w:rPr>
              <w:fldChar w:fldCharType="end"/>
            </w:r>
          </w:p>
        </w:tc>
      </w:tr>
      <w:tr w:rsidR="00A6485A" w14:paraId="07338802" w14:textId="77777777">
        <w:trPr>
          <w:trHeight w:val="454"/>
        </w:trPr>
        <w:tc>
          <w:tcPr>
            <w:tcW w:w="1980" w:type="dxa"/>
            <w:noWrap/>
            <w:vAlign w:val="center"/>
          </w:tcPr>
          <w:p w14:paraId="4C16767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c.1048_1049dup</w:t>
            </w:r>
          </w:p>
        </w:tc>
        <w:tc>
          <w:tcPr>
            <w:tcW w:w="992" w:type="dxa"/>
            <w:noWrap/>
            <w:vAlign w:val="center"/>
          </w:tcPr>
          <w:p w14:paraId="14CAC25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12</w:t>
            </w:r>
          </w:p>
        </w:tc>
        <w:tc>
          <w:tcPr>
            <w:tcW w:w="1276" w:type="dxa"/>
            <w:noWrap/>
            <w:vAlign w:val="center"/>
          </w:tcPr>
          <w:p w14:paraId="418D5B2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noWrap/>
            <w:vAlign w:val="center"/>
          </w:tcPr>
          <w:p w14:paraId="66EF4DD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noWrap/>
            <w:vAlign w:val="center"/>
          </w:tcPr>
          <w:p w14:paraId="058B484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p.Arg352Profs*53</w:t>
            </w:r>
          </w:p>
        </w:tc>
        <w:tc>
          <w:tcPr>
            <w:tcW w:w="1134" w:type="dxa"/>
            <w:noWrap/>
            <w:vAlign w:val="center"/>
          </w:tcPr>
          <w:p w14:paraId="4B6033E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2nd-4th decade</w:t>
            </w:r>
          </w:p>
        </w:tc>
        <w:tc>
          <w:tcPr>
            <w:tcW w:w="1531" w:type="dxa"/>
            <w:noWrap/>
            <w:vAlign w:val="center"/>
          </w:tcPr>
          <w:p w14:paraId="44B38DD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severe</w:t>
            </w:r>
          </w:p>
        </w:tc>
        <w:tc>
          <w:tcPr>
            <w:tcW w:w="1531" w:type="dxa"/>
            <w:noWrap/>
            <w:vAlign w:val="center"/>
          </w:tcPr>
          <w:p w14:paraId="37554D0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 to high freq</w:t>
            </w:r>
          </w:p>
        </w:tc>
        <w:tc>
          <w:tcPr>
            <w:tcW w:w="992" w:type="dxa"/>
            <w:noWrap/>
            <w:vAlign w:val="center"/>
          </w:tcPr>
          <w:p w14:paraId="5E7973F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 American</w:t>
            </w:r>
          </w:p>
        </w:tc>
        <w:tc>
          <w:tcPr>
            <w:tcW w:w="1904" w:type="dxa"/>
            <w:noWrap/>
            <w:vAlign w:val="center"/>
          </w:tcPr>
          <w:p w14:paraId="7462A3D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Makishima et al. 2007</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{"citationID":"XnIAg2q5","properties":{"formattedCitation":"[12]","plainCitation":"[12]","noteIndex":0},"citationItems":[{"id":145,"uris":["http://zotero.org/users/13427954/items/UV9UEPAC"],"itemData":{"id":145,"type":"article-journal","abstract":"Dominant, truncating mutations of eyes absent 4 (EYA4) on chromosome 6q23 can cause either nonsyndromic hearing loss DFNA10 or hearing loss with dilated cardiomyopathy (DCM). It has been proposed that truncations of the C-terminal Eya domain cause DFNA10 whereas upstream truncations of the N-terminal variable region cause hearing loss with DCM. Here we report an extended family co-segregating autosomal dominant, postlingual-onset, progressive, sensorineural hearing loss (SNHL) with a novel frameshift mutation, 1,490insAA, of EYA4. The 1,490insAA allele is predicted to encode a truncated protein with an intact N-terminal variable region, but lacking the entire C-terminal Eya domain. Clinical studies including electrocardiography, echocardiography, and magnetic resonance imaging (MRI) of the heart in nine affected family members revealed no DCM or associated abnormalities and confirmed their nonsyndromic phenotype. These are the first definitive cardiac evaluations of DFNA10 hearing loss to support a correlation of EYA4 mutation position with the presence or absence of DCM. These results will facilitate the counseling of patients with these phenotypes and EYA4 mutations.","container-title":"American Journal of Medical Genetics. Part A","DOI":"10.1002/ajmg.a.31793","ISSN":"1552-4825","issue":"14","journalAbbreviation":"Am J Med Genet A","language":"eng","note":"PMID: 17567890","page":"1592-1598","source":"PubMed","title":"Nonsyndromic hearing loss DFNA10 and a novel mutation of EYA4: evidence for correlation of normal cardiac phenotype with truncating mutations of the Eya domain","title-short":"Nonsyndromic hearing loss DFNA10 and a novel mutation of EYA4","volume":"143A","author":[{"family":"Makishima","given":"Tomoko"},{"family":"Madeo","given":"Anne C."},{"family":"Brewer","given":"Carmen C."},{"family":"Zalewski","given":"Christopher K."},{"family":"Butman","given":"John A."},{"family":"Sachdev","given":"Vandana"},{"family":"Arai","given":"Andrew E."},{"family":"Holbrook","given":"Brenda M."},{"family":"Rosing","given":"Douglas R."},{"family":"Griffith","given":"Andrew J."}],"issued":{"date-parts":[["2007",7,15]]}}}],"schema":"https://github.com/citation-style-language/schema/raw/master/csl-citation.json"}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[12]</w:t>
            </w:r>
            <w:r>
              <w:rPr>
                <w:rFonts w:ascii="Times New Roman" w:hAnsi="Times New Roman" w:cs="Times New Roman"/>
                <w:sz w:val="16"/>
                <w:szCs w:val="16"/>
              </w:rPr>
              <w:fldChar w:fldCharType="end"/>
            </w:r>
          </w:p>
        </w:tc>
      </w:tr>
      <w:tr w:rsidR="00A6485A" w14:paraId="327F845D" w14:textId="77777777">
        <w:trPr>
          <w:trHeight w:val="454"/>
        </w:trPr>
        <w:tc>
          <w:tcPr>
            <w:tcW w:w="1980" w:type="dxa"/>
            <w:shd w:val="clear" w:color="auto" w:fill="B4C6E7" w:themeFill="accent5" w:themeFillTint="66"/>
            <w:noWrap/>
            <w:vAlign w:val="center"/>
          </w:tcPr>
          <w:p w14:paraId="5EF56A9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c.1078C &gt; A</w:t>
            </w:r>
          </w:p>
        </w:tc>
        <w:tc>
          <w:tcPr>
            <w:tcW w:w="992" w:type="dxa"/>
            <w:shd w:val="clear" w:color="auto" w:fill="B4C6E7" w:themeFill="accent5" w:themeFillTint="66"/>
            <w:noWrap/>
            <w:vAlign w:val="center"/>
          </w:tcPr>
          <w:p w14:paraId="0807606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12</w:t>
            </w:r>
          </w:p>
        </w:tc>
        <w:tc>
          <w:tcPr>
            <w:tcW w:w="1276" w:type="dxa"/>
            <w:shd w:val="clear" w:color="auto" w:fill="B4C6E7" w:themeFill="accent5" w:themeFillTint="66"/>
            <w:noWrap/>
            <w:vAlign w:val="center"/>
          </w:tcPr>
          <w:p w14:paraId="1E0AFE3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B4C6E7" w:themeFill="accent5" w:themeFillTint="66"/>
            <w:noWrap/>
            <w:vAlign w:val="center"/>
          </w:tcPr>
          <w:p w14:paraId="26C6EB1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B4C6E7" w:themeFill="accent5" w:themeFillTint="66"/>
            <w:noWrap/>
            <w:vAlign w:val="center"/>
          </w:tcPr>
          <w:p w14:paraId="383638F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p.Pro360Thr</w:t>
            </w:r>
          </w:p>
        </w:tc>
        <w:tc>
          <w:tcPr>
            <w:tcW w:w="1134" w:type="dxa"/>
            <w:shd w:val="clear" w:color="auto" w:fill="B4C6E7" w:themeFill="accent5" w:themeFillTint="66"/>
            <w:noWrap/>
            <w:vAlign w:val="center"/>
          </w:tcPr>
          <w:p w14:paraId="1333FA2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44 y</w:t>
            </w:r>
          </w:p>
        </w:tc>
        <w:tc>
          <w:tcPr>
            <w:tcW w:w="1531" w:type="dxa"/>
            <w:shd w:val="clear" w:color="auto" w:fill="B4C6E7" w:themeFill="accent5" w:themeFillTint="66"/>
            <w:noWrap/>
            <w:vAlign w:val="center"/>
          </w:tcPr>
          <w:p w14:paraId="4C107A4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moderate</w:t>
            </w:r>
          </w:p>
        </w:tc>
        <w:tc>
          <w:tcPr>
            <w:tcW w:w="1531" w:type="dxa"/>
            <w:shd w:val="clear" w:color="auto" w:fill="B4C6E7" w:themeFill="accent5" w:themeFillTint="66"/>
            <w:noWrap/>
            <w:vAlign w:val="center"/>
          </w:tcPr>
          <w:p w14:paraId="2F2F633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shd w:val="clear" w:color="auto" w:fill="B4C6E7" w:themeFill="accent5" w:themeFillTint="66"/>
            <w:noWrap/>
            <w:vAlign w:val="center"/>
          </w:tcPr>
          <w:p w14:paraId="47FDE6A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7286A54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dXpsQAQm","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656DF0AF" w14:textId="77777777">
        <w:trPr>
          <w:trHeight w:val="454"/>
        </w:trPr>
        <w:tc>
          <w:tcPr>
            <w:tcW w:w="1980" w:type="dxa"/>
            <w:shd w:val="clear" w:color="auto" w:fill="B4C6E7" w:themeFill="accent5" w:themeFillTint="66"/>
            <w:noWrap/>
            <w:vAlign w:val="center"/>
          </w:tcPr>
          <w:p w14:paraId="6105A91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c.1107G &gt; T</w:t>
            </w:r>
          </w:p>
        </w:tc>
        <w:tc>
          <w:tcPr>
            <w:tcW w:w="992" w:type="dxa"/>
            <w:shd w:val="clear" w:color="auto" w:fill="B4C6E7" w:themeFill="accent5" w:themeFillTint="66"/>
            <w:noWrap/>
            <w:vAlign w:val="center"/>
          </w:tcPr>
          <w:p w14:paraId="3134D83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12</w:t>
            </w:r>
          </w:p>
        </w:tc>
        <w:tc>
          <w:tcPr>
            <w:tcW w:w="1276" w:type="dxa"/>
            <w:shd w:val="clear" w:color="auto" w:fill="B4C6E7" w:themeFill="accent5" w:themeFillTint="66"/>
            <w:noWrap/>
            <w:vAlign w:val="center"/>
          </w:tcPr>
          <w:p w14:paraId="5358397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B4C6E7" w:themeFill="accent5" w:themeFillTint="66"/>
            <w:noWrap/>
            <w:vAlign w:val="center"/>
          </w:tcPr>
          <w:p w14:paraId="7AA1182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B4C6E7" w:themeFill="accent5" w:themeFillTint="66"/>
            <w:noWrap/>
            <w:vAlign w:val="center"/>
          </w:tcPr>
          <w:p w14:paraId="1128FB3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p.Glu369Asp</w:t>
            </w:r>
          </w:p>
        </w:tc>
        <w:tc>
          <w:tcPr>
            <w:tcW w:w="1134" w:type="dxa"/>
            <w:shd w:val="clear" w:color="auto" w:fill="B4C6E7" w:themeFill="accent5" w:themeFillTint="66"/>
            <w:noWrap/>
            <w:vAlign w:val="center"/>
          </w:tcPr>
          <w:p w14:paraId="6C3A65D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10</w:t>
            </w:r>
            <w:r>
              <w:rPr>
                <w:rFonts w:ascii="Times New Roman" w:hAnsi="Times New Roman" w:cs="Times New Roman" w:hint="eastAsia"/>
                <w:sz w:val="16"/>
                <w:szCs w:val="16"/>
              </w:rPr>
              <w:t>–</w:t>
            </w:r>
            <w:r>
              <w:rPr>
                <w:rFonts w:ascii="Times New Roman" w:hAnsi="Times New Roman" w:cs="Times New Roman"/>
                <w:sz w:val="16"/>
                <w:szCs w:val="16"/>
              </w:rPr>
              <w:t>11 y</w:t>
            </w:r>
          </w:p>
        </w:tc>
        <w:tc>
          <w:tcPr>
            <w:tcW w:w="1531" w:type="dxa"/>
            <w:shd w:val="clear" w:color="auto" w:fill="B4C6E7" w:themeFill="accent5" w:themeFillTint="66"/>
            <w:noWrap/>
            <w:vAlign w:val="center"/>
          </w:tcPr>
          <w:p w14:paraId="1761C26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severe</w:t>
            </w:r>
          </w:p>
        </w:tc>
        <w:tc>
          <w:tcPr>
            <w:tcW w:w="1531" w:type="dxa"/>
            <w:shd w:val="clear" w:color="auto" w:fill="B4C6E7" w:themeFill="accent5" w:themeFillTint="66"/>
            <w:noWrap/>
            <w:vAlign w:val="center"/>
          </w:tcPr>
          <w:p w14:paraId="1C6C707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shd w:val="clear" w:color="auto" w:fill="B4C6E7" w:themeFill="accent5" w:themeFillTint="66"/>
            <w:noWrap/>
            <w:vAlign w:val="center"/>
          </w:tcPr>
          <w:p w14:paraId="072461A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19C2E8E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M9IyJqm5","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653936A8" w14:textId="77777777">
        <w:trPr>
          <w:trHeight w:val="454"/>
        </w:trPr>
        <w:tc>
          <w:tcPr>
            <w:tcW w:w="1980" w:type="dxa"/>
            <w:shd w:val="clear" w:color="auto" w:fill="C5E0B3" w:themeFill="accent6" w:themeFillTint="66"/>
            <w:noWrap/>
            <w:vAlign w:val="center"/>
          </w:tcPr>
          <w:p w14:paraId="45B752B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c.1109G &gt; C</w:t>
            </w:r>
          </w:p>
        </w:tc>
        <w:tc>
          <w:tcPr>
            <w:tcW w:w="992" w:type="dxa"/>
            <w:shd w:val="clear" w:color="auto" w:fill="C5E0B3" w:themeFill="accent6" w:themeFillTint="66"/>
            <w:noWrap/>
            <w:vAlign w:val="center"/>
          </w:tcPr>
          <w:p w14:paraId="24EC70C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13</w:t>
            </w:r>
          </w:p>
        </w:tc>
        <w:tc>
          <w:tcPr>
            <w:tcW w:w="1276" w:type="dxa"/>
            <w:shd w:val="clear" w:color="auto" w:fill="C5E0B3" w:themeFill="accent6" w:themeFillTint="66"/>
            <w:noWrap/>
            <w:vAlign w:val="center"/>
          </w:tcPr>
          <w:p w14:paraId="1DB01EC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C5E0B3" w:themeFill="accent6" w:themeFillTint="66"/>
            <w:noWrap/>
            <w:vAlign w:val="center"/>
          </w:tcPr>
          <w:p w14:paraId="089A460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shd w:val="clear" w:color="auto" w:fill="C5E0B3" w:themeFill="accent6" w:themeFillTint="66"/>
            <w:noWrap/>
            <w:vAlign w:val="center"/>
          </w:tcPr>
          <w:p w14:paraId="217D9D8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p.Arg370Pro</w:t>
            </w:r>
          </w:p>
        </w:tc>
        <w:tc>
          <w:tcPr>
            <w:tcW w:w="1134" w:type="dxa"/>
            <w:shd w:val="clear" w:color="auto" w:fill="C5E0B3" w:themeFill="accent6" w:themeFillTint="66"/>
            <w:noWrap/>
            <w:vAlign w:val="center"/>
          </w:tcPr>
          <w:p w14:paraId="6B10870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30 y</w:t>
            </w:r>
          </w:p>
        </w:tc>
        <w:tc>
          <w:tcPr>
            <w:tcW w:w="1531" w:type="dxa"/>
            <w:shd w:val="clear" w:color="auto" w:fill="C5E0B3" w:themeFill="accent6" w:themeFillTint="66"/>
            <w:noWrap/>
            <w:vAlign w:val="center"/>
          </w:tcPr>
          <w:p w14:paraId="7419DD1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moderate</w:t>
            </w:r>
          </w:p>
        </w:tc>
        <w:tc>
          <w:tcPr>
            <w:tcW w:w="1531" w:type="dxa"/>
            <w:shd w:val="clear" w:color="auto" w:fill="C5E0B3" w:themeFill="accent6" w:themeFillTint="66"/>
            <w:noWrap/>
            <w:vAlign w:val="center"/>
          </w:tcPr>
          <w:p w14:paraId="1F44377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 freq.</w:t>
            </w:r>
          </w:p>
        </w:tc>
        <w:tc>
          <w:tcPr>
            <w:tcW w:w="992" w:type="dxa"/>
            <w:shd w:val="clear" w:color="auto" w:fill="C5E0B3" w:themeFill="accent6" w:themeFillTint="66"/>
            <w:noWrap/>
            <w:vAlign w:val="center"/>
          </w:tcPr>
          <w:p w14:paraId="171198C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191F6A2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yUL3WhD","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6816F131" w14:textId="77777777">
        <w:trPr>
          <w:trHeight w:val="454"/>
        </w:trPr>
        <w:tc>
          <w:tcPr>
            <w:tcW w:w="1980" w:type="dxa"/>
            <w:noWrap/>
            <w:vAlign w:val="center"/>
          </w:tcPr>
          <w:p w14:paraId="5EF2C3F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c.1109G &gt; A</w:t>
            </w:r>
          </w:p>
        </w:tc>
        <w:tc>
          <w:tcPr>
            <w:tcW w:w="992" w:type="dxa"/>
            <w:noWrap/>
            <w:vAlign w:val="center"/>
          </w:tcPr>
          <w:p w14:paraId="2254BB0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13</w:t>
            </w:r>
          </w:p>
        </w:tc>
        <w:tc>
          <w:tcPr>
            <w:tcW w:w="1276" w:type="dxa"/>
            <w:noWrap/>
            <w:vAlign w:val="center"/>
          </w:tcPr>
          <w:p w14:paraId="27974B9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noWrap/>
            <w:vAlign w:val="center"/>
          </w:tcPr>
          <w:p w14:paraId="723BB01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eyaVR</w:t>
            </w:r>
          </w:p>
        </w:tc>
        <w:tc>
          <w:tcPr>
            <w:tcW w:w="1755" w:type="dxa"/>
            <w:noWrap/>
            <w:vAlign w:val="center"/>
          </w:tcPr>
          <w:p w14:paraId="76DFC3E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p.Arg370His</w:t>
            </w:r>
          </w:p>
        </w:tc>
        <w:tc>
          <w:tcPr>
            <w:tcW w:w="1134" w:type="dxa"/>
            <w:noWrap/>
            <w:vAlign w:val="center"/>
          </w:tcPr>
          <w:p w14:paraId="016AD1C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noWrap/>
            <w:vAlign w:val="center"/>
          </w:tcPr>
          <w:p w14:paraId="79FE91F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noWrap/>
            <w:vAlign w:val="center"/>
          </w:tcPr>
          <w:p w14:paraId="36318B7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992" w:type="dxa"/>
            <w:noWrap/>
            <w:vAlign w:val="center"/>
          </w:tcPr>
          <w:p w14:paraId="25BF389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Philippines</w:t>
            </w:r>
          </w:p>
        </w:tc>
        <w:tc>
          <w:tcPr>
            <w:tcW w:w="1904" w:type="dxa"/>
            <w:noWrap/>
            <w:vAlign w:val="center"/>
          </w:tcPr>
          <w:p w14:paraId="33EB61E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Truong et al. 2019</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{"citationID":"i4uhbvYx","properties":{"formattedCitation":"[25]","plainCitation":"[25]","noteIndex":0},"citationItems":[{"id":123,"uris":["http://zotero.org/users/13427954/items/UG4Y79T5"],"itemData":{"id":123,"type":"article-journal","container-title":"Clinical Genetics","DOI":"10.1111/cge.13515","ISSN":"0009-9163, 1399-0004","issue":"5","journalAbbreviation":"Clinical Genetics","language":"en","page":"634-636","source":"DOI.org (Crossref)","title":"Exome sequencing reveals novel variants and unique allelic spectrum for hearing impairment in Filipino cochlear implantees","volume":"95","author":[{"family":"Truong","given":"Brittany T."},{"family":"Yarza","given":"Talitha K.L."},{"family":"Bootpetch Roberts","given":"Tori"}</w:instrText>
            </w:r>
            <w:r>
              <w:rPr>
                <w:rFonts w:ascii="Times New Roman" w:hAnsi="Times New Roman" w:cs="Times New Roman" w:hint="eastAsia"/>
                <w:sz w:val="16"/>
                <w:szCs w:val="16"/>
              </w:rPr>
              <w:instrText>,{"family":"Roberts","given":"Susannah"},{"family":"Xu","given":"Jonathan"},{"family":"Steritz","given":"Matthew J."},{"family":"Tobias</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Grasso","given":"Celina A.M."},{"family":"Azamian","given":"Mahshid"},{"family":"Lalani","given":"Seema R."},{"family":"Mohlke","given":"Karen L."},{"family":"Lee","given":"Nanette R."},{"family":"Cutiongco</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de La Paz","given":"Eva Maria"},{"family":"Reyes</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Quintos","given":"Maria Rina T."},{"family":"Santos</w:instrText>
            </w:r>
            <w:r>
              <w:rPr>
                <w:rFonts w:ascii="Times New Roman" w:hAnsi="Times New Roman" w:cs="Times New Roman" w:hint="eastAsia"/>
                <w:sz w:val="16"/>
                <w:szCs w:val="16"/>
              </w:rPr>
              <w:instrText>‐</w:instrText>
            </w:r>
            <w:r>
              <w:rPr>
                <w:rFonts w:ascii="Times New Roman" w:hAnsi="Times New Roman" w:cs="Times New Roman" w:hint="eastAsia"/>
                <w:sz w:val="16"/>
                <w:szCs w:val="16"/>
              </w:rPr>
              <w:instrText>Cortez","given":"Regie Lyn P."},{"family":"Chiong","given":"Charlo</w:instrText>
            </w:r>
            <w:r>
              <w:rPr>
                <w:rFonts w:ascii="Times New Roman" w:hAnsi="Times New Roman" w:cs="Times New Roman"/>
                <w:sz w:val="16"/>
                <w:szCs w:val="16"/>
              </w:rPr>
              <w:instrText xml:space="preserve">tte M."}],"issued":{"date-parts":[["2019",5]]}}}],"schema":"https://github.com/citation-style-language/schema/raw/master/csl-citation.json"}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[25]</w:t>
            </w:r>
            <w:r>
              <w:rPr>
                <w:rFonts w:ascii="Times New Roman" w:hAnsi="Times New Roman" w:cs="Times New Roman"/>
                <w:sz w:val="16"/>
                <w:szCs w:val="16"/>
              </w:rPr>
              <w:fldChar w:fldCharType="end"/>
            </w:r>
          </w:p>
        </w:tc>
      </w:tr>
      <w:tr w:rsidR="00A6485A" w14:paraId="1816052B" w14:textId="77777777">
        <w:trPr>
          <w:trHeight w:val="454"/>
        </w:trPr>
        <w:tc>
          <w:tcPr>
            <w:tcW w:w="1980" w:type="dxa"/>
            <w:noWrap/>
            <w:vAlign w:val="center"/>
          </w:tcPr>
          <w:p w14:paraId="532FD9B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c.1115_1118dup</w:t>
            </w:r>
          </w:p>
        </w:tc>
        <w:tc>
          <w:tcPr>
            <w:tcW w:w="992" w:type="dxa"/>
            <w:noWrap/>
            <w:vAlign w:val="center"/>
          </w:tcPr>
          <w:p w14:paraId="6DBF1C9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13</w:t>
            </w:r>
          </w:p>
        </w:tc>
        <w:tc>
          <w:tcPr>
            <w:tcW w:w="1276" w:type="dxa"/>
            <w:noWrap/>
            <w:vAlign w:val="center"/>
          </w:tcPr>
          <w:p w14:paraId="57B7A22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noWrap/>
            <w:vAlign w:val="center"/>
          </w:tcPr>
          <w:p w14:paraId="3AD52E2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1F58628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p.Trp374Cysfs*6</w:t>
            </w:r>
          </w:p>
        </w:tc>
        <w:tc>
          <w:tcPr>
            <w:tcW w:w="1134" w:type="dxa"/>
            <w:noWrap/>
            <w:vAlign w:val="center"/>
          </w:tcPr>
          <w:p w14:paraId="1CC90FD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Postlingual</w:t>
            </w:r>
          </w:p>
        </w:tc>
        <w:tc>
          <w:tcPr>
            <w:tcW w:w="1531" w:type="dxa"/>
            <w:noWrap/>
            <w:vAlign w:val="center"/>
          </w:tcPr>
          <w:p w14:paraId="68717E6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Profound</w:t>
            </w:r>
          </w:p>
        </w:tc>
        <w:tc>
          <w:tcPr>
            <w:tcW w:w="1531" w:type="dxa"/>
            <w:noWrap/>
            <w:vAlign w:val="center"/>
          </w:tcPr>
          <w:p w14:paraId="650BF4D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Variable</w:t>
            </w:r>
          </w:p>
        </w:tc>
        <w:tc>
          <w:tcPr>
            <w:tcW w:w="992" w:type="dxa"/>
            <w:noWrap/>
            <w:vAlign w:val="center"/>
          </w:tcPr>
          <w:p w14:paraId="16BC9C6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Hungarian</w:t>
            </w:r>
          </w:p>
        </w:tc>
        <w:tc>
          <w:tcPr>
            <w:tcW w:w="1904" w:type="dxa"/>
            <w:shd w:val="clear" w:color="auto" w:fill="auto"/>
            <w:noWrap/>
            <w:vAlign w:val="center"/>
          </w:tcPr>
          <w:p w14:paraId="5CC8A2A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Pfister et al. 2002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{"citationID":"4IMdFOmP","properties":{"formattedCitation":"[26]","plainCitation":"[26]","noteIndex":0},"citationItems":[{"id":251,"uris":["http://zotero.org/users/13427954/items/I43XIAFD"],"itemData":{"id":251,"type":"article-journal","abstract":"BACKGROUND: Hereditary hearing impairment (HHI) is a heterogeneous class of disorders that shows various patterns of inheritance and involves a multitude of different genes. Mutations in the EYA4 gene are responsible for postlingual, progressive, autosomal dominant hearing loss at the DFNA10 locus. EYA4 is orthologous to the Drosophila gene eya (\"eyes absent\"), a key regulator of eye formation. EYA4 plays an important role in several developmental processes.\nMATERIAL AND METHODS: Here we report a Hungarian family displaying sensorineural, progressive hearing impairment. The family comprising four generations with 11 affected and 8 unaffected members was subjected to genome-wide linkage analysis and candidate gene sequencing.\nRESULTS: By linkage analysis, the chromosomal region 6q22.3 was shown to segregate with the disease. Mutation analysis of the EYA4 gene, which maps to 6q22.3, revealed an insertion of 4 bp (1558insTTTG) in all affected family members. This insertion creates a frameshift and results in a stop codon at position 379. Hence, nearly the complete \"eya homologous region\" (eyaHR), which is essential for the protein function, would be deleted in the mutant EYA4 protein if the transcription were found to be stable.\nCONCLUSIONS: This family is the third one linked to DFNA10 and revealing a mutation in the EYA4 gene. In all three families, the mutations are localized in different regions of the eyaHR, suggesting that this protein contains several functional subregions with different tissue-specific importance.","container-title":"Molecular Medicine (Cambridge, Mass.)","ISSN":"1076-1551","issue":"10","journalAbbreviation":"Mol Med","language":"eng","note":"PMID: 12477971\nPMCID: PMC2039947","page":"607-611","source":"PubMed","title":"A 4-bp insertion in the eya-homologous region (eyaHR) of EYA4 causes hearing impairment in a Hungarian family linked to DFNA10","volume":"8","author":[{"family":"Pfister","given":"Markus"},{"family":"Tóth","given":"Tímea"},{"family":"Thiele","given":"Holger"},{"family":"Haack","given":"Birgit"},{"family":"Blin","given":"Nikolaus"},{"family":"Zenner","given":"Hans-Peter"},{"family":"Sziklai","given":"István"},{"family":"Nürnberg","given":"Peter"},{"family":"Kupka","given":"Susan"}],"issued":{"date-parts":[["2002",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[26]</w:t>
            </w:r>
            <w:r>
              <w:rPr>
                <w:rFonts w:ascii="Times New Roman" w:hAnsi="Times New Roman" w:cs="Times New Roman"/>
                <w:sz w:val="16"/>
                <w:szCs w:val="16"/>
              </w:rPr>
              <w:fldChar w:fldCharType="end"/>
            </w:r>
          </w:p>
        </w:tc>
      </w:tr>
      <w:tr w:rsidR="00A6485A" w14:paraId="0A7F5340" w14:textId="77777777">
        <w:trPr>
          <w:trHeight w:val="454"/>
        </w:trPr>
        <w:tc>
          <w:tcPr>
            <w:tcW w:w="1980" w:type="dxa"/>
            <w:noWrap/>
            <w:vAlign w:val="center"/>
          </w:tcPr>
          <w:p w14:paraId="1FD1043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c.1122G &gt; T</w:t>
            </w:r>
          </w:p>
        </w:tc>
        <w:tc>
          <w:tcPr>
            <w:tcW w:w="992" w:type="dxa"/>
            <w:noWrap/>
            <w:vAlign w:val="center"/>
          </w:tcPr>
          <w:p w14:paraId="309A567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13</w:t>
            </w:r>
          </w:p>
        </w:tc>
        <w:tc>
          <w:tcPr>
            <w:tcW w:w="1276" w:type="dxa"/>
            <w:noWrap/>
            <w:vAlign w:val="center"/>
          </w:tcPr>
          <w:p w14:paraId="2BF2FEF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noWrap/>
            <w:vAlign w:val="center"/>
          </w:tcPr>
          <w:p w14:paraId="242B783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32AF717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p.Trp374Cys</w:t>
            </w:r>
          </w:p>
        </w:tc>
        <w:tc>
          <w:tcPr>
            <w:tcW w:w="1134" w:type="dxa"/>
            <w:noWrap/>
            <w:vAlign w:val="center"/>
          </w:tcPr>
          <w:p w14:paraId="0FA1489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10</w:t>
            </w:r>
            <w:r>
              <w:rPr>
                <w:rFonts w:ascii="Times New Roman" w:hAnsi="Times New Roman" w:cs="Times New Roman" w:hint="eastAsia"/>
                <w:sz w:val="16"/>
                <w:szCs w:val="16"/>
              </w:rPr>
              <w:t>–</w:t>
            </w:r>
            <w:r>
              <w:rPr>
                <w:rFonts w:ascii="Times New Roman" w:hAnsi="Times New Roman" w:cs="Times New Roman"/>
                <w:sz w:val="16"/>
                <w:szCs w:val="16"/>
              </w:rPr>
              <w:t>25 y</w:t>
            </w:r>
          </w:p>
        </w:tc>
        <w:tc>
          <w:tcPr>
            <w:tcW w:w="1531" w:type="dxa"/>
            <w:noWrap/>
            <w:vAlign w:val="center"/>
          </w:tcPr>
          <w:p w14:paraId="39697DB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severe</w:t>
            </w:r>
          </w:p>
        </w:tc>
        <w:tc>
          <w:tcPr>
            <w:tcW w:w="1531" w:type="dxa"/>
            <w:noWrap/>
            <w:vAlign w:val="center"/>
          </w:tcPr>
          <w:p w14:paraId="1F09120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noWrap/>
            <w:vAlign w:val="center"/>
          </w:tcPr>
          <w:p w14:paraId="3A04642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Australian</w:t>
            </w:r>
          </w:p>
        </w:tc>
        <w:tc>
          <w:tcPr>
            <w:tcW w:w="1904" w:type="dxa"/>
            <w:noWrap/>
            <w:vAlign w:val="center"/>
          </w:tcPr>
          <w:p w14:paraId="5582804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bshr3T2Z","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1F359F76" w14:textId="77777777">
        <w:trPr>
          <w:trHeight w:val="454"/>
        </w:trPr>
        <w:tc>
          <w:tcPr>
            <w:tcW w:w="1980" w:type="dxa"/>
            <w:noWrap/>
            <w:vAlign w:val="center"/>
          </w:tcPr>
          <w:p w14:paraId="51A9679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c.1154C &gt; T</w:t>
            </w:r>
          </w:p>
        </w:tc>
        <w:tc>
          <w:tcPr>
            <w:tcW w:w="992" w:type="dxa"/>
            <w:noWrap/>
            <w:vAlign w:val="center"/>
          </w:tcPr>
          <w:p w14:paraId="6AF8AFB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13</w:t>
            </w:r>
          </w:p>
        </w:tc>
        <w:tc>
          <w:tcPr>
            <w:tcW w:w="1276" w:type="dxa"/>
            <w:noWrap/>
            <w:vAlign w:val="center"/>
          </w:tcPr>
          <w:p w14:paraId="617952A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noWrap/>
            <w:vAlign w:val="center"/>
          </w:tcPr>
          <w:p w14:paraId="0665790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7DE02A7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p.Ser385Leu</w:t>
            </w:r>
          </w:p>
        </w:tc>
        <w:tc>
          <w:tcPr>
            <w:tcW w:w="1134" w:type="dxa"/>
            <w:noWrap/>
            <w:vAlign w:val="center"/>
          </w:tcPr>
          <w:p w14:paraId="1BCA619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Postlingual</w:t>
            </w:r>
          </w:p>
        </w:tc>
        <w:tc>
          <w:tcPr>
            <w:tcW w:w="1531" w:type="dxa"/>
            <w:noWrap/>
            <w:vAlign w:val="center"/>
          </w:tcPr>
          <w:p w14:paraId="3E0F8F0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profound</w:t>
            </w:r>
          </w:p>
        </w:tc>
        <w:tc>
          <w:tcPr>
            <w:tcW w:w="1531" w:type="dxa"/>
            <w:noWrap/>
            <w:vAlign w:val="center"/>
          </w:tcPr>
          <w:p w14:paraId="75EF45A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Mid-freq.</w:t>
            </w:r>
          </w:p>
        </w:tc>
        <w:tc>
          <w:tcPr>
            <w:tcW w:w="992" w:type="dxa"/>
            <w:noWrap/>
            <w:vAlign w:val="center"/>
          </w:tcPr>
          <w:p w14:paraId="774FFB6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Italian</w:t>
            </w:r>
          </w:p>
        </w:tc>
        <w:tc>
          <w:tcPr>
            <w:tcW w:w="1904" w:type="dxa"/>
            <w:noWrap/>
            <w:vAlign w:val="center"/>
          </w:tcPr>
          <w:p w14:paraId="526C48E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Cesca et al. 2018</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{"citationID":"HzHlVhXc","properties":{"formattedCitation":"[27]","plainCitation":"[27]","noteIndex":0},"citationItems":[{"id":253,"uris":["http://zotero.org/users/13427954/items/BQZPZFGP"],"itemData":{"id":253,"type":"article-journal","abstract":"OBJECTIVES: This work was aimed at establishing the molecular etiology of hearing loss in a 9-year old girl with post-lingual non-syndromic mild sensorineural hearing loss with a complex family history of clinically heterogeneous deafness.\nMETHODS: The proband's DNA was subjected to NGS analysis of a 59-targeted gene panel, with the use of the Ion Torrent PGM platform. Conventional Sanger sequencing was used for segregation analysis in all the affected relatives. The proband and all the other hearing impaired members of the family underwent a thorough clinical and audiological evaluation.\nRESULTS: A new likely pathogenic mutation in the EYA4 gene (c.1154C &gt; T; p.Ser385Leu) was identified in the proband and in her 42-year-old father with post-lingual non-syndromic profound sensorineural hearing loss. The EYA4 mutation was also found in the proband's grandfather and uncle, both showing clinical features of Waardenburg syndrome type 1. A novel pathogenic splice-site mutation (c.321+1G &gt; A) of the PAX3 gene was found to co-segregate with the EYA4 mutation in these two subjects.\nCONCLUSION: The identified novel EYA4 mutation can be considered responsible of the hearing loss observed in the proband and her father, while a dual molecular diagnosis was reached in the relatives co-segregating the EYA4 and the PAX3 mutations. In these two subjects the DFNA10 phenotype was masked by Waardenburg syndrome. The use of NGS targeted gene-panel, in combination with an extensive clinical and audiological examination led us to identify the genetic cause of the hearing loss in members of a family in which different forms of autosomal dominant deafness segregate. These results provide precise and especially important prognostic and follow-up information for the future audiologic management in the youngest affected member.","container-title":"International Journal of Pediatric Otorhinolaryngology","DOI":"10.1016/j.ijporl.2017.10.042","ISSN":"1872-8464","journalAbbreviation":"Int J Pediatr Otorhinolaryngol","language":"eng","note":"PMID: 29287889","page":"88-93","source":"PubMed","title":"A novel mutation of the EYA4 gene associated with post-lingual hearing loss in a proband is co-segregating with a novel PAX3 mutation in two congenitally deaf family members","volume":"104","author":[{"family":"Cesca","given":"Federica"},{"family":"Bettella","given":"Elisa"},{"family":"Polli","given":"Roberta"},{"family":"Cama","given":"Elona"},{"family":"Scimemi","given":"Pietro"},{"family":"Santarelli","given":"Rosamaria"},{"family":"Murgia","given":"Alessandra"}],"issued":{"date-parts":[["2018",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[27]</w:t>
            </w:r>
            <w:r>
              <w:rPr>
                <w:rFonts w:ascii="Times New Roman" w:hAnsi="Times New Roman" w:cs="Times New Roman"/>
                <w:sz w:val="16"/>
                <w:szCs w:val="16"/>
              </w:rPr>
              <w:fldChar w:fldCharType="end"/>
            </w:r>
          </w:p>
        </w:tc>
      </w:tr>
      <w:tr w:rsidR="00A6485A" w14:paraId="108DAADE" w14:textId="77777777">
        <w:trPr>
          <w:trHeight w:val="454"/>
        </w:trPr>
        <w:tc>
          <w:tcPr>
            <w:tcW w:w="1980" w:type="dxa"/>
            <w:vMerge w:val="restart"/>
            <w:shd w:val="clear" w:color="auto" w:fill="C5E0B3" w:themeFill="accent6" w:themeFillTint="66"/>
            <w:noWrap/>
            <w:vAlign w:val="center"/>
          </w:tcPr>
          <w:p w14:paraId="673327A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c.1177C &gt; T</w:t>
            </w:r>
          </w:p>
        </w:tc>
        <w:tc>
          <w:tcPr>
            <w:tcW w:w="992" w:type="dxa"/>
            <w:vMerge w:val="restart"/>
            <w:shd w:val="clear" w:color="auto" w:fill="C5E0B3" w:themeFill="accent6" w:themeFillTint="66"/>
            <w:noWrap/>
            <w:vAlign w:val="center"/>
          </w:tcPr>
          <w:p w14:paraId="30858EA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13</w:t>
            </w:r>
          </w:p>
        </w:tc>
        <w:tc>
          <w:tcPr>
            <w:tcW w:w="1276" w:type="dxa"/>
            <w:vMerge w:val="restart"/>
            <w:shd w:val="clear" w:color="auto" w:fill="C5E0B3" w:themeFill="accent6" w:themeFillTint="66"/>
            <w:noWrap/>
            <w:vAlign w:val="center"/>
          </w:tcPr>
          <w:p w14:paraId="0EBDA99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vMerge w:val="restart"/>
            <w:shd w:val="clear" w:color="auto" w:fill="C5E0B3" w:themeFill="accent6" w:themeFillTint="66"/>
            <w:noWrap/>
            <w:vAlign w:val="center"/>
          </w:tcPr>
          <w:p w14:paraId="1D1F6C9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F4B083" w:themeFill="accent2" w:themeFillTint="99"/>
            <w:noWrap/>
            <w:vAlign w:val="center"/>
          </w:tcPr>
          <w:p w14:paraId="599647F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p.Gln393*</w:t>
            </w:r>
          </w:p>
        </w:tc>
        <w:tc>
          <w:tcPr>
            <w:tcW w:w="1134" w:type="dxa"/>
            <w:shd w:val="clear" w:color="auto" w:fill="F4B083" w:themeFill="accent2" w:themeFillTint="99"/>
            <w:noWrap/>
            <w:vAlign w:val="center"/>
          </w:tcPr>
          <w:p w14:paraId="7554419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shd w:val="clear" w:color="auto" w:fill="F4B083" w:themeFill="accent2" w:themeFillTint="99"/>
            <w:noWrap/>
            <w:vAlign w:val="center"/>
          </w:tcPr>
          <w:p w14:paraId="3C6472A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profound</w:t>
            </w:r>
          </w:p>
        </w:tc>
        <w:tc>
          <w:tcPr>
            <w:tcW w:w="1531" w:type="dxa"/>
            <w:shd w:val="clear" w:color="auto" w:fill="F4B083" w:themeFill="accent2" w:themeFillTint="99"/>
            <w:noWrap/>
            <w:vAlign w:val="center"/>
          </w:tcPr>
          <w:p w14:paraId="748E563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Mid/High freq.</w:t>
            </w:r>
          </w:p>
        </w:tc>
        <w:tc>
          <w:tcPr>
            <w:tcW w:w="992" w:type="dxa"/>
            <w:shd w:val="clear" w:color="auto" w:fill="F4B083" w:themeFill="accent2" w:themeFillTint="99"/>
            <w:noWrap/>
            <w:vAlign w:val="center"/>
          </w:tcPr>
          <w:p w14:paraId="138F548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Korean</w:t>
            </w:r>
          </w:p>
        </w:tc>
        <w:tc>
          <w:tcPr>
            <w:tcW w:w="1904" w:type="dxa"/>
            <w:shd w:val="clear" w:color="auto" w:fill="F4B083" w:themeFill="accent2" w:themeFillTint="99"/>
            <w:noWrap/>
            <w:vAlign w:val="center"/>
          </w:tcPr>
          <w:p w14:paraId="7CA9938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Kim et al. 2015</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4v0EelUC","properties":{"formattedCitation":"[7]","plainCitation":"[7]","noteIndex":0},"citationItems":[{"id":223,"uris":["http://zotero.org/users/local/y36QHLPz/items/G9Y7UY8C","http://zotero.org/users/13427954/items/G9Y7UY8C"],"itemData":{"id":223,"type":"article-journal","container-title":"PLOS ONE","DOI":"10.1371/journal.pone.0119443","ISSN":"1932-6203","issue":"3","journalAbbreviation":"PLoS ONE","language":"en","page":"e0119443","source":"DOI.org (Crossref)","title":"Evaluation of the Contribution of the EYA4 and GRHL2 Genes in Korean Patients with Autosomal Dominant Non-Syndromic Hearing Loss","volume":"10","author":[{"family":"Kim","given":"Ye-Ri"},{"family":"Kim","given":"Min-A"},{"family":"Sagong","given":"Borum"},{"family":"Bae","given":"Seung-Hyun"},{"family":"Lee","given":"Hyo-Jeong"},{"family":"Kim","given":"Hyung-Jong"},{"family":"Choi","given":"Jae Young"},{"family":"Lee","given":"Kyu-Yup"},{"family":"Kim","given":"Un-Kyung"}],"editor":[{"family":"Hejtmancik","given":"J. Fielding"}],"issued":{"date-parts":[["2015",3,17]]}}}],"schema":"https://github.com/citation-style-language/schema/raw/master/csl-citation.json"}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[7]</w:t>
            </w:r>
            <w:r>
              <w:rPr>
                <w:rFonts w:ascii="Times New Roman" w:hAnsi="Times New Roman" w:cs="Times New Roman"/>
                <w:sz w:val="16"/>
                <w:szCs w:val="16"/>
              </w:rPr>
              <w:fldChar w:fldCharType="end"/>
            </w:r>
          </w:p>
        </w:tc>
      </w:tr>
      <w:tr w:rsidR="00A6485A" w14:paraId="44FD3FDC" w14:textId="77777777">
        <w:trPr>
          <w:trHeight w:val="454"/>
        </w:trPr>
        <w:tc>
          <w:tcPr>
            <w:tcW w:w="1980" w:type="dxa"/>
            <w:vMerge/>
            <w:shd w:val="clear" w:color="auto" w:fill="C5E0B3" w:themeFill="accent6" w:themeFillTint="66"/>
            <w:noWrap/>
            <w:vAlign w:val="center"/>
          </w:tcPr>
          <w:p w14:paraId="25E0ADD6" w14:textId="77777777" w:rsidR="00A6485A" w:rsidRDefault="00A6485A">
            <w:pPr>
              <w:spacing w:line="360" w:lineRule="auto"/>
              <w:rPr>
                <w:rFonts w:ascii="Times New Roman" w:hAnsi="Times New Roman" w:cs="Times New Roman"/>
                <w:sz w:val="16"/>
                <w:szCs w:val="16"/>
              </w:rPr>
            </w:pPr>
          </w:p>
        </w:tc>
        <w:tc>
          <w:tcPr>
            <w:tcW w:w="992" w:type="dxa"/>
            <w:vMerge/>
            <w:shd w:val="clear" w:color="auto" w:fill="C5E0B3" w:themeFill="accent6" w:themeFillTint="66"/>
            <w:noWrap/>
            <w:vAlign w:val="center"/>
          </w:tcPr>
          <w:p w14:paraId="3779C482" w14:textId="77777777" w:rsidR="00A6485A" w:rsidRDefault="00A6485A">
            <w:pPr>
              <w:spacing w:line="360" w:lineRule="auto"/>
              <w:rPr>
                <w:rFonts w:ascii="Times New Roman" w:hAnsi="Times New Roman" w:cs="Times New Roman"/>
                <w:sz w:val="16"/>
                <w:szCs w:val="16"/>
              </w:rPr>
            </w:pPr>
          </w:p>
        </w:tc>
        <w:tc>
          <w:tcPr>
            <w:tcW w:w="1276" w:type="dxa"/>
            <w:vMerge/>
            <w:shd w:val="clear" w:color="auto" w:fill="C5E0B3" w:themeFill="accent6" w:themeFillTint="66"/>
            <w:noWrap/>
            <w:vAlign w:val="center"/>
          </w:tcPr>
          <w:p w14:paraId="557479EE" w14:textId="77777777" w:rsidR="00A6485A" w:rsidRDefault="00A6485A">
            <w:pPr>
              <w:spacing w:line="360" w:lineRule="auto"/>
              <w:rPr>
                <w:rFonts w:ascii="Times New Roman" w:hAnsi="Times New Roman" w:cs="Times New Roman"/>
                <w:sz w:val="16"/>
                <w:szCs w:val="16"/>
              </w:rPr>
            </w:pPr>
          </w:p>
        </w:tc>
        <w:tc>
          <w:tcPr>
            <w:tcW w:w="1139" w:type="dxa"/>
            <w:vMerge/>
            <w:shd w:val="clear" w:color="auto" w:fill="C5E0B3" w:themeFill="accent6" w:themeFillTint="66"/>
            <w:noWrap/>
            <w:vAlign w:val="center"/>
          </w:tcPr>
          <w:p w14:paraId="70767CF8" w14:textId="77777777" w:rsidR="00A6485A" w:rsidRDefault="00A6485A">
            <w:pPr>
              <w:spacing w:line="360" w:lineRule="auto"/>
              <w:rPr>
                <w:rFonts w:ascii="Times New Roman" w:hAnsi="Times New Roman" w:cs="Times New Roman"/>
                <w:sz w:val="16"/>
                <w:szCs w:val="16"/>
              </w:rPr>
            </w:pPr>
          </w:p>
        </w:tc>
        <w:tc>
          <w:tcPr>
            <w:tcW w:w="1755" w:type="dxa"/>
            <w:shd w:val="clear" w:color="auto" w:fill="C5E0B3" w:themeFill="accent6" w:themeFillTint="66"/>
            <w:noWrap/>
            <w:vAlign w:val="center"/>
          </w:tcPr>
          <w:p w14:paraId="0CA52A5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SNHL + minor DCM</w:t>
            </w:r>
          </w:p>
        </w:tc>
        <w:tc>
          <w:tcPr>
            <w:tcW w:w="1134" w:type="dxa"/>
            <w:shd w:val="clear" w:color="auto" w:fill="C5E0B3" w:themeFill="accent6" w:themeFillTint="66"/>
            <w:noWrap/>
            <w:vAlign w:val="center"/>
          </w:tcPr>
          <w:p w14:paraId="3754E80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26 y</w:t>
            </w:r>
          </w:p>
        </w:tc>
        <w:tc>
          <w:tcPr>
            <w:tcW w:w="1531" w:type="dxa"/>
            <w:shd w:val="clear" w:color="auto" w:fill="C5E0B3" w:themeFill="accent6" w:themeFillTint="66"/>
            <w:noWrap/>
            <w:vAlign w:val="center"/>
          </w:tcPr>
          <w:p w14:paraId="4F56FBE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570AF48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Mid/flat freq.</w:t>
            </w:r>
          </w:p>
        </w:tc>
        <w:tc>
          <w:tcPr>
            <w:tcW w:w="992" w:type="dxa"/>
            <w:shd w:val="clear" w:color="auto" w:fill="C5E0B3" w:themeFill="accent6" w:themeFillTint="66"/>
            <w:noWrap/>
            <w:vAlign w:val="center"/>
          </w:tcPr>
          <w:p w14:paraId="5A53EBE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608E0FB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Abe et al. 2018</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{"citationID":"ujdaRLp7","properties":{"formattedCitation":"[28]","plainCitation":"[28]","noteIndex":0},"citationItems":[{"id":304,"uris":["http://zotero.org/users/13427954/items/RLFZJRVY"],"itemData":{"id":304,"type":"article-journal","abstract":"EYA4 is a member of the vertebrate eya gene family of transcriptional activators and plays several roles in both embryonic and inner ear development. The majority of EYA4 gene mutations are associated with autosomal dominant non-syndromic hearing loss (DFNA10). In addition, some mutations in this gene cause autosomal dominant syndromic hearing loss with dilated cardiomyopathy. EYA4 is a rare cause of sensorineural hearing loss, and only a limited number of papers regarding mutations in this gene have been published. Thus, detailed clinical features remain unclear. We conducted next-generation sequencing of a Japanese individual with progressive sensorineural hearing loss and identified an EYA4 pathogenic variant. Pure-tone audiometry revealed bilateral, nearly symmetric, moderate sensorineural hearing loss in the low and middle frequencies. Minor abnormalities were observed on the patient's electrocardiogram and echocardiography without any apparent symptoms. Next-generation sequencing is effective in elucidating the etiology of hearing loss, and the present findings suggested the possible phenotypic expansion of deafness caused by EYA4 gene mutations.","container-title":"Human Genome Variation","DOI":"10.1038/s41439-018-0023-9","ISSN":"2054-345X","journalAbbreviation":"Hum Genome Var","language":"eng","note":"PMID: 30155266\nPMCID: PMC6105593","page":"23","source":"PubMed","title":"Sensorineural hearing loss and mild cardiac phenotype caused by an EYA4 mutation","volume":"5","author":[{"family":"Abe","given":"Satoko"},{"family":"Takeda","given":"Hidehiko"},{"family":"Nishio","given":"Shin-Ya"},{"family":"Usami","given":"Shin-Ichi"}],"issued":{"date-parts":[["2018"]]}}}],"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[28]</w:t>
            </w:r>
            <w:r>
              <w:rPr>
                <w:rFonts w:ascii="Times New Roman" w:hAnsi="Times New Roman" w:cs="Times New Roman"/>
                <w:sz w:val="16"/>
                <w:szCs w:val="16"/>
              </w:rPr>
              <w:fldChar w:fldCharType="end"/>
            </w:r>
          </w:p>
        </w:tc>
      </w:tr>
      <w:tr w:rsidR="00A6485A" w14:paraId="3C6D17E9" w14:textId="77777777">
        <w:trPr>
          <w:trHeight w:val="454"/>
        </w:trPr>
        <w:tc>
          <w:tcPr>
            <w:tcW w:w="1980" w:type="dxa"/>
            <w:vMerge/>
            <w:shd w:val="clear" w:color="auto" w:fill="C5E0B3" w:themeFill="accent6" w:themeFillTint="66"/>
            <w:noWrap/>
            <w:vAlign w:val="center"/>
          </w:tcPr>
          <w:p w14:paraId="4287C219" w14:textId="77777777" w:rsidR="00A6485A" w:rsidRDefault="00A6485A">
            <w:pPr>
              <w:spacing w:line="360" w:lineRule="auto"/>
              <w:rPr>
                <w:rFonts w:ascii="Times New Roman" w:hAnsi="Times New Roman" w:cs="Times New Roman"/>
                <w:sz w:val="16"/>
                <w:szCs w:val="16"/>
              </w:rPr>
            </w:pPr>
          </w:p>
        </w:tc>
        <w:tc>
          <w:tcPr>
            <w:tcW w:w="992" w:type="dxa"/>
            <w:vMerge/>
            <w:shd w:val="clear" w:color="auto" w:fill="C5E0B3" w:themeFill="accent6" w:themeFillTint="66"/>
            <w:noWrap/>
            <w:vAlign w:val="center"/>
          </w:tcPr>
          <w:p w14:paraId="6D2E177D" w14:textId="77777777" w:rsidR="00A6485A" w:rsidRDefault="00A6485A">
            <w:pPr>
              <w:spacing w:line="360" w:lineRule="auto"/>
              <w:rPr>
                <w:rFonts w:ascii="Times New Roman" w:hAnsi="Times New Roman" w:cs="Times New Roman"/>
                <w:sz w:val="16"/>
                <w:szCs w:val="16"/>
              </w:rPr>
            </w:pPr>
          </w:p>
        </w:tc>
        <w:tc>
          <w:tcPr>
            <w:tcW w:w="1276" w:type="dxa"/>
            <w:vMerge/>
            <w:shd w:val="clear" w:color="auto" w:fill="C5E0B3" w:themeFill="accent6" w:themeFillTint="66"/>
            <w:noWrap/>
            <w:vAlign w:val="center"/>
          </w:tcPr>
          <w:p w14:paraId="1C481185" w14:textId="77777777" w:rsidR="00A6485A" w:rsidRDefault="00A6485A">
            <w:pPr>
              <w:spacing w:line="360" w:lineRule="auto"/>
              <w:rPr>
                <w:rFonts w:ascii="Times New Roman" w:hAnsi="Times New Roman" w:cs="Times New Roman"/>
                <w:sz w:val="16"/>
                <w:szCs w:val="16"/>
              </w:rPr>
            </w:pPr>
          </w:p>
        </w:tc>
        <w:tc>
          <w:tcPr>
            <w:tcW w:w="1139" w:type="dxa"/>
            <w:vMerge/>
            <w:shd w:val="clear" w:color="auto" w:fill="C5E0B3" w:themeFill="accent6" w:themeFillTint="66"/>
            <w:noWrap/>
            <w:vAlign w:val="center"/>
          </w:tcPr>
          <w:p w14:paraId="13D4DF94" w14:textId="77777777" w:rsidR="00A6485A" w:rsidRDefault="00A6485A">
            <w:pPr>
              <w:spacing w:line="360" w:lineRule="auto"/>
              <w:rPr>
                <w:rFonts w:ascii="Times New Roman" w:hAnsi="Times New Roman" w:cs="Times New Roman"/>
                <w:sz w:val="16"/>
                <w:szCs w:val="16"/>
              </w:rPr>
            </w:pPr>
          </w:p>
        </w:tc>
        <w:tc>
          <w:tcPr>
            <w:tcW w:w="1755" w:type="dxa"/>
            <w:shd w:val="clear" w:color="auto" w:fill="C5E0B3" w:themeFill="accent6" w:themeFillTint="66"/>
            <w:noWrap/>
            <w:vAlign w:val="center"/>
          </w:tcPr>
          <w:p w14:paraId="6891F672" w14:textId="77777777" w:rsidR="00A6485A" w:rsidRDefault="00A6485A">
            <w:pPr>
              <w:spacing w:line="360" w:lineRule="auto"/>
              <w:rPr>
                <w:rFonts w:ascii="Times New Roman" w:hAnsi="Times New Roman" w:cs="Times New Roman"/>
                <w:sz w:val="16"/>
                <w:szCs w:val="16"/>
              </w:rPr>
            </w:pPr>
          </w:p>
        </w:tc>
        <w:tc>
          <w:tcPr>
            <w:tcW w:w="1134" w:type="dxa"/>
            <w:shd w:val="clear" w:color="auto" w:fill="C5E0B3" w:themeFill="accent6" w:themeFillTint="66"/>
            <w:noWrap/>
            <w:vAlign w:val="center"/>
          </w:tcPr>
          <w:p w14:paraId="42A870C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26 y</w:t>
            </w:r>
          </w:p>
        </w:tc>
        <w:tc>
          <w:tcPr>
            <w:tcW w:w="1531" w:type="dxa"/>
            <w:shd w:val="clear" w:color="auto" w:fill="C5E0B3" w:themeFill="accent6" w:themeFillTint="66"/>
            <w:noWrap/>
            <w:vAlign w:val="center"/>
          </w:tcPr>
          <w:p w14:paraId="52FB0AF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03E1421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73B105F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693F4CA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Z30yjPgG","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28540E0C" w14:textId="77777777">
        <w:trPr>
          <w:trHeight w:val="454"/>
        </w:trPr>
        <w:tc>
          <w:tcPr>
            <w:tcW w:w="1980" w:type="dxa"/>
            <w:shd w:val="clear" w:color="auto" w:fill="F4B083" w:themeFill="accent2" w:themeFillTint="99"/>
            <w:noWrap/>
            <w:vAlign w:val="center"/>
          </w:tcPr>
          <w:p w14:paraId="403B0CA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c.1194del</w:t>
            </w:r>
          </w:p>
        </w:tc>
        <w:tc>
          <w:tcPr>
            <w:tcW w:w="992" w:type="dxa"/>
            <w:shd w:val="clear" w:color="auto" w:fill="F4B083" w:themeFill="accent2" w:themeFillTint="99"/>
            <w:noWrap/>
            <w:vAlign w:val="center"/>
          </w:tcPr>
          <w:p w14:paraId="34622A2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14</w:t>
            </w:r>
          </w:p>
        </w:tc>
        <w:tc>
          <w:tcPr>
            <w:tcW w:w="1276" w:type="dxa"/>
            <w:shd w:val="clear" w:color="auto" w:fill="F4B083" w:themeFill="accent2" w:themeFillTint="99"/>
            <w:noWrap/>
            <w:vAlign w:val="center"/>
          </w:tcPr>
          <w:p w14:paraId="34F8FEA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shd w:val="clear" w:color="auto" w:fill="F4B083" w:themeFill="accent2" w:themeFillTint="99"/>
            <w:noWrap/>
            <w:vAlign w:val="center"/>
          </w:tcPr>
          <w:p w14:paraId="4F4F162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F4B083" w:themeFill="accent2" w:themeFillTint="99"/>
            <w:noWrap/>
            <w:vAlign w:val="center"/>
          </w:tcPr>
          <w:p w14:paraId="2810BD5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p.Met401Trpfs*3</w:t>
            </w:r>
          </w:p>
        </w:tc>
        <w:tc>
          <w:tcPr>
            <w:tcW w:w="1134" w:type="dxa"/>
            <w:shd w:val="clear" w:color="auto" w:fill="F4B083" w:themeFill="accent2" w:themeFillTint="99"/>
            <w:noWrap/>
            <w:vAlign w:val="center"/>
          </w:tcPr>
          <w:p w14:paraId="253B914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1st decade</w:t>
            </w:r>
          </w:p>
        </w:tc>
        <w:tc>
          <w:tcPr>
            <w:tcW w:w="1531" w:type="dxa"/>
            <w:shd w:val="clear" w:color="auto" w:fill="F4B083" w:themeFill="accent2" w:themeFillTint="99"/>
            <w:noWrap/>
            <w:vAlign w:val="center"/>
          </w:tcPr>
          <w:p w14:paraId="7941749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F4B083" w:themeFill="accent2" w:themeFillTint="99"/>
            <w:noWrap/>
            <w:vAlign w:val="center"/>
          </w:tcPr>
          <w:p w14:paraId="5F227AE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Down sloping</w:t>
            </w:r>
          </w:p>
        </w:tc>
        <w:tc>
          <w:tcPr>
            <w:tcW w:w="992" w:type="dxa"/>
            <w:shd w:val="clear" w:color="auto" w:fill="F4B083" w:themeFill="accent2" w:themeFillTint="99"/>
            <w:noWrap/>
            <w:vAlign w:val="center"/>
          </w:tcPr>
          <w:p w14:paraId="48D0E23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Korean</w:t>
            </w:r>
          </w:p>
        </w:tc>
        <w:tc>
          <w:tcPr>
            <w:tcW w:w="1904" w:type="dxa"/>
            <w:shd w:val="clear" w:color="auto" w:fill="F4B083" w:themeFill="accent2" w:themeFillTint="99"/>
            <w:noWrap/>
            <w:vAlign w:val="center"/>
          </w:tcPr>
          <w:p w14:paraId="1083B8C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Choi et al. 2016</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{"citationID":"3a8RJMkn","properties":{"formattedCitation":"[29]","plainCitation":"[29]","noteIndex":0},"citationItems":[{"id":228,"uris":["http://zotero.org/users/13427954/items/AYVHSCLD"],"itemData":{"id":228,"type":"article-journal","abstract":"The EYA4 gene encodes a 640-amino-acid protein that serves as a transcription factor. This protein contains a highly conserved Eya domain (eya-HR) and a variable domain (eya-VR). Mutations of this gene are known to cause postlingual and progressive sensorineural hearing loss, either as non-syndromic (DFNA10) or syndromic hearing loss, depending on the location of truncation of the mutant protein. Since our previous report, we have recruited 14 families segregating autosomal dominant moderate SNHL. A thorough medical history and physical examination including evaluation of heart problems ruled out any syndromic features in these families. Screening of EYA4 was performed by targeted exome sequencing of 134 known deafness genes (TES-134) from the probands. After basic filtering of the variants, we identified one proband who carried a novel truncation mutation, c.1194delT (p.Met401TrpfsX3) of EYA4, making the frequency of DFNA10 to be 7.14 % (1/14) in Koreans. The variant co-segregated perfectly with a slightly down-sloping, moderate degree of SNHL in the family (SH117), and was not detected in any of the 592 normal control chromosomes. This variant is likely to generate protein products that are truncated just downstream of the eya-VR domain. None of the three affected family members showed any syndromic features, including cardiac problems, which was compatible with a previous genotype-phenotype correlation. The identification of a novel EYA4 truncation mutation associated with DFNA10, rather than syndromic hearing loss, supports a previously reported genotype-phenotype correlation in this gene. Considering its detection rate, EYA4 mutations should be suspected in hereditary moderate hearing loss with a corresponding audiologic configuration, and a cardiac examination should be included in the initial evaluation.","container-title":"European archives of oto-rhino-laryngology: official journal of the European Federation of Oto-Rhino-Laryngological Societies (EUFOS): affiliated with the German Society for Oto-Rhino-Laryngology - Head and Neck Surgery","DOI":"10.1007/s00405-015-3661-2","ISSN":"1434-4726","issue":"5","journalAbbreviation":"Eur Arch Otorhinolaryngol","language":"eng","note":"PMID: 26015337","page":"1123-1129","source":"PubMed","title":"Identification of a novel truncation mutation of EYA4 in moderate degree hearing loss by targeted exome sequencing","volume":"273","author":[{"family":"Choi","given":"Hyun Seok"},{"family":"Kim","given":"Ah Reum"},{"family":"Kim","given":"Shin Hye"},{"family":"Choi","given":"Byung Yoon"}],"issued":{"date-parts":[["2016",5]]}}}],"schema":"https://github.com/citation-style-language/schema/raw/master/csl-citation.json"}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[29]</w:t>
            </w:r>
            <w:r>
              <w:rPr>
                <w:rFonts w:ascii="Times New Roman" w:hAnsi="Times New Roman" w:cs="Times New Roman"/>
                <w:sz w:val="16"/>
                <w:szCs w:val="16"/>
              </w:rPr>
              <w:fldChar w:fldCharType="end"/>
            </w:r>
          </w:p>
        </w:tc>
      </w:tr>
      <w:tr w:rsidR="00A6485A" w14:paraId="0217DD2F" w14:textId="77777777">
        <w:trPr>
          <w:trHeight w:val="454"/>
        </w:trPr>
        <w:tc>
          <w:tcPr>
            <w:tcW w:w="1980" w:type="dxa"/>
            <w:shd w:val="clear" w:color="auto" w:fill="C5E0B3" w:themeFill="accent6" w:themeFillTint="66"/>
            <w:noWrap/>
            <w:vAlign w:val="center"/>
          </w:tcPr>
          <w:p w14:paraId="3BABA9D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c.1216G &gt; C</w:t>
            </w:r>
          </w:p>
        </w:tc>
        <w:tc>
          <w:tcPr>
            <w:tcW w:w="992" w:type="dxa"/>
            <w:shd w:val="clear" w:color="auto" w:fill="C5E0B3" w:themeFill="accent6" w:themeFillTint="66"/>
            <w:noWrap/>
            <w:vAlign w:val="center"/>
          </w:tcPr>
          <w:p w14:paraId="439F81E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14</w:t>
            </w:r>
          </w:p>
        </w:tc>
        <w:tc>
          <w:tcPr>
            <w:tcW w:w="1276" w:type="dxa"/>
            <w:shd w:val="clear" w:color="auto" w:fill="C5E0B3" w:themeFill="accent6" w:themeFillTint="66"/>
            <w:noWrap/>
            <w:vAlign w:val="center"/>
          </w:tcPr>
          <w:p w14:paraId="5946A0B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C5E0B3" w:themeFill="accent6" w:themeFillTint="66"/>
            <w:noWrap/>
            <w:vAlign w:val="center"/>
          </w:tcPr>
          <w:p w14:paraId="058FFEE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C5E0B3" w:themeFill="accent6" w:themeFillTint="66"/>
            <w:noWrap/>
            <w:vAlign w:val="center"/>
          </w:tcPr>
          <w:p w14:paraId="00335BE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p.Gly406Arg</w:t>
            </w:r>
          </w:p>
        </w:tc>
        <w:tc>
          <w:tcPr>
            <w:tcW w:w="1134" w:type="dxa"/>
            <w:shd w:val="clear" w:color="auto" w:fill="C5E0B3" w:themeFill="accent6" w:themeFillTint="66"/>
            <w:noWrap/>
            <w:vAlign w:val="center"/>
          </w:tcPr>
          <w:p w14:paraId="4D5A9C2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5 y</w:t>
            </w:r>
          </w:p>
        </w:tc>
        <w:tc>
          <w:tcPr>
            <w:tcW w:w="1531" w:type="dxa"/>
            <w:shd w:val="clear" w:color="auto" w:fill="C5E0B3" w:themeFill="accent6" w:themeFillTint="66"/>
            <w:noWrap/>
            <w:vAlign w:val="center"/>
          </w:tcPr>
          <w:p w14:paraId="2824F36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2C99EAD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27D2233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439D3C1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QI8k1Ke","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37AAD39C" w14:textId="77777777">
        <w:trPr>
          <w:trHeight w:val="454"/>
        </w:trPr>
        <w:tc>
          <w:tcPr>
            <w:tcW w:w="1980" w:type="dxa"/>
            <w:shd w:val="clear" w:color="auto" w:fill="B4C6E7" w:themeFill="accent5" w:themeFillTint="66"/>
            <w:noWrap/>
            <w:vAlign w:val="center"/>
          </w:tcPr>
          <w:p w14:paraId="688D13D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c.1281G &gt; A</w:t>
            </w:r>
          </w:p>
        </w:tc>
        <w:tc>
          <w:tcPr>
            <w:tcW w:w="992" w:type="dxa"/>
            <w:shd w:val="clear" w:color="auto" w:fill="B4C6E7" w:themeFill="accent5" w:themeFillTint="66"/>
            <w:noWrap/>
            <w:vAlign w:val="center"/>
          </w:tcPr>
          <w:p w14:paraId="073EE8B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14</w:t>
            </w:r>
          </w:p>
        </w:tc>
        <w:tc>
          <w:tcPr>
            <w:tcW w:w="1276" w:type="dxa"/>
            <w:shd w:val="clear" w:color="auto" w:fill="B4C6E7" w:themeFill="accent5" w:themeFillTint="66"/>
            <w:noWrap/>
            <w:vAlign w:val="center"/>
          </w:tcPr>
          <w:p w14:paraId="137180A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B4C6E7" w:themeFill="accent5" w:themeFillTint="66"/>
            <w:noWrap/>
            <w:vAlign w:val="center"/>
          </w:tcPr>
          <w:p w14:paraId="046162E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B4C6E7" w:themeFill="accent5" w:themeFillTint="66"/>
            <w:noWrap/>
            <w:vAlign w:val="center"/>
          </w:tcPr>
          <w:p w14:paraId="271C28C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p.Glu427Glu</w:t>
            </w:r>
          </w:p>
        </w:tc>
        <w:tc>
          <w:tcPr>
            <w:tcW w:w="1134" w:type="dxa"/>
            <w:shd w:val="clear" w:color="auto" w:fill="B4C6E7" w:themeFill="accent5" w:themeFillTint="66"/>
            <w:noWrap/>
            <w:vAlign w:val="center"/>
          </w:tcPr>
          <w:p w14:paraId="7E54897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26 y</w:t>
            </w:r>
          </w:p>
        </w:tc>
        <w:tc>
          <w:tcPr>
            <w:tcW w:w="1531" w:type="dxa"/>
            <w:shd w:val="clear" w:color="auto" w:fill="B4C6E7" w:themeFill="accent5" w:themeFillTint="66"/>
            <w:noWrap/>
            <w:vAlign w:val="center"/>
          </w:tcPr>
          <w:p w14:paraId="0C29B4A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profound</w:t>
            </w:r>
          </w:p>
        </w:tc>
        <w:tc>
          <w:tcPr>
            <w:tcW w:w="1531" w:type="dxa"/>
            <w:shd w:val="clear" w:color="auto" w:fill="B4C6E7" w:themeFill="accent5" w:themeFillTint="66"/>
            <w:noWrap/>
            <w:vAlign w:val="center"/>
          </w:tcPr>
          <w:p w14:paraId="370352A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 freq.</w:t>
            </w:r>
          </w:p>
        </w:tc>
        <w:tc>
          <w:tcPr>
            <w:tcW w:w="992" w:type="dxa"/>
            <w:shd w:val="clear" w:color="auto" w:fill="B4C6E7" w:themeFill="accent5" w:themeFillTint="66"/>
            <w:noWrap/>
            <w:vAlign w:val="center"/>
          </w:tcPr>
          <w:p w14:paraId="1586225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55E119E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v6YrGbOh","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676F5907" w14:textId="77777777">
        <w:trPr>
          <w:trHeight w:val="454"/>
        </w:trPr>
        <w:tc>
          <w:tcPr>
            <w:tcW w:w="1980" w:type="dxa"/>
            <w:noWrap/>
            <w:vAlign w:val="center"/>
          </w:tcPr>
          <w:p w14:paraId="2F84DFB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c.1282 -12T &gt; A</w:t>
            </w:r>
          </w:p>
        </w:tc>
        <w:tc>
          <w:tcPr>
            <w:tcW w:w="992" w:type="dxa"/>
            <w:noWrap/>
            <w:vAlign w:val="center"/>
          </w:tcPr>
          <w:p w14:paraId="1787335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Intron 14</w:t>
            </w:r>
          </w:p>
        </w:tc>
        <w:tc>
          <w:tcPr>
            <w:tcW w:w="1276" w:type="dxa"/>
            <w:noWrap/>
            <w:vAlign w:val="center"/>
          </w:tcPr>
          <w:p w14:paraId="38CA665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Splicing</w:t>
            </w:r>
          </w:p>
        </w:tc>
        <w:tc>
          <w:tcPr>
            <w:tcW w:w="1139" w:type="dxa"/>
            <w:noWrap/>
            <w:vAlign w:val="center"/>
          </w:tcPr>
          <w:p w14:paraId="47C5764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7D57EEC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134" w:type="dxa"/>
            <w:noWrap/>
            <w:vAlign w:val="center"/>
          </w:tcPr>
          <w:p w14:paraId="3170A98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1st-4th decade</w:t>
            </w:r>
          </w:p>
        </w:tc>
        <w:tc>
          <w:tcPr>
            <w:tcW w:w="1531" w:type="dxa"/>
            <w:noWrap/>
            <w:vAlign w:val="center"/>
          </w:tcPr>
          <w:p w14:paraId="4A247A7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profound</w:t>
            </w:r>
          </w:p>
        </w:tc>
        <w:tc>
          <w:tcPr>
            <w:tcW w:w="1531" w:type="dxa"/>
            <w:noWrap/>
            <w:vAlign w:val="center"/>
          </w:tcPr>
          <w:p w14:paraId="747BA3B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Mid/flat freq.</w:t>
            </w:r>
          </w:p>
        </w:tc>
        <w:tc>
          <w:tcPr>
            <w:tcW w:w="992" w:type="dxa"/>
            <w:noWrap/>
            <w:vAlign w:val="center"/>
          </w:tcPr>
          <w:p w14:paraId="4645687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Australian</w:t>
            </w:r>
          </w:p>
        </w:tc>
        <w:tc>
          <w:tcPr>
            <w:tcW w:w="1904" w:type="dxa"/>
            <w:noWrap/>
            <w:vAlign w:val="center"/>
          </w:tcPr>
          <w:p w14:paraId="6FC4AEB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Hildebrand et al. 2007</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{"citationID":"7y1pUu2m","properties":{"formattedCitation":"[30]","plainCitation":"[30]","noteIndex":0},"citationItems":[{"id":386,"uris":["http://zotero.org/users/13427954/items/QVGAKKMT"],"itemData":{"id":386,"type":"article-journal","abstract":"Nonsyndromic autosomal dominant sensorineural hearing loss (SNHL) at the DFNA10 locus was described in two families in 2001. Causative mutations that affect the EyaHR domain of the 'Eyes absent 4' (EYA4) protein were identified. We report on the clinical and genetic analyses of an Australian family with nonsyndromic SNHL. Screening of the EYA4 gene showed the novel polypyrimidine tract variation ca. 1,282-12T &gt; A that introduces a new 3' splice acceptor site. This is the first report of a point mutation in EYA4 that is hypothesized to lead to aberrant pre-mRNA splicing and human disease. The DFNA10 family described is only the fourth to be identified. One individual presented with apparently the same phenotype as other affected members of the family. However, genotyping illustrated that he did not share the DFNA10 disease haplotype. Detailed clinical investigation showed differences in the onset and severity of his hearing loss and thus he is presumed to represent a phenocopy, perhaps resulting from long-term exposure to loud noise.","container-title":"American Journal of Medical Genetics. Part A","DOI":"10.1002/ajmg.a.31860","ISSN":"1552-4825","issue":"14","journalAbbreviation":"Am J Med Genet A","language":"eng","note":"PMID: 17568404","page":"1599-1604","source":"PubMed","title":"A novel splice site mutation in EYA4 causes DFNA10 hearing loss","volume":"143A","author":[{"family":"Hildebrand","given":"Michael S."},{"family":"Coman","given":"David"},{"family":"Yang","given":"Tao"},{"family":"Gardner","given":"R. J. McKinlay"},{"family":"Rose","given":"Elizabeth"},{"family":"Smith","given":"Richard J. H."},{"family":"Bahlo","given":"Melanie"},{"family":"Dahl","given":"Hans-Henrik M."}],"issued":{"date-parts":[["2007",7,15]]}}}],"schema":"https://github.com/citation-style-language/schema/raw/master/csl-citation.json"}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[30]</w:t>
            </w:r>
            <w:r>
              <w:rPr>
                <w:rFonts w:ascii="Times New Roman" w:hAnsi="Times New Roman" w:cs="Times New Roman"/>
                <w:sz w:val="16"/>
                <w:szCs w:val="16"/>
              </w:rPr>
              <w:fldChar w:fldCharType="end"/>
            </w:r>
          </w:p>
        </w:tc>
      </w:tr>
      <w:tr w:rsidR="00A6485A" w14:paraId="026A64C6" w14:textId="77777777">
        <w:trPr>
          <w:trHeight w:val="454"/>
        </w:trPr>
        <w:tc>
          <w:tcPr>
            <w:tcW w:w="1980" w:type="dxa"/>
            <w:shd w:val="clear" w:color="auto" w:fill="B4C6E7" w:themeFill="accent5" w:themeFillTint="66"/>
            <w:noWrap/>
            <w:vAlign w:val="center"/>
          </w:tcPr>
          <w:p w14:paraId="35B7446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lastRenderedPageBreak/>
              <w:t>c.1282 -1G &gt; A</w:t>
            </w:r>
          </w:p>
        </w:tc>
        <w:tc>
          <w:tcPr>
            <w:tcW w:w="992" w:type="dxa"/>
            <w:shd w:val="clear" w:color="auto" w:fill="B4C6E7" w:themeFill="accent5" w:themeFillTint="66"/>
            <w:noWrap/>
            <w:vAlign w:val="center"/>
          </w:tcPr>
          <w:p w14:paraId="52C6E0C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Intron 14</w:t>
            </w:r>
          </w:p>
        </w:tc>
        <w:tc>
          <w:tcPr>
            <w:tcW w:w="1276" w:type="dxa"/>
            <w:shd w:val="clear" w:color="auto" w:fill="B4C6E7" w:themeFill="accent5" w:themeFillTint="66"/>
            <w:noWrap/>
            <w:vAlign w:val="center"/>
          </w:tcPr>
          <w:p w14:paraId="32A929B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Splicing</w:t>
            </w:r>
          </w:p>
        </w:tc>
        <w:tc>
          <w:tcPr>
            <w:tcW w:w="1139" w:type="dxa"/>
            <w:shd w:val="clear" w:color="auto" w:fill="B4C6E7" w:themeFill="accent5" w:themeFillTint="66"/>
            <w:noWrap/>
            <w:vAlign w:val="center"/>
          </w:tcPr>
          <w:p w14:paraId="1EB18CD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B4C6E7" w:themeFill="accent5" w:themeFillTint="66"/>
            <w:noWrap/>
            <w:vAlign w:val="center"/>
          </w:tcPr>
          <w:p w14:paraId="1C752BF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134" w:type="dxa"/>
            <w:shd w:val="clear" w:color="auto" w:fill="B4C6E7" w:themeFill="accent5" w:themeFillTint="66"/>
            <w:noWrap/>
            <w:vAlign w:val="center"/>
          </w:tcPr>
          <w:p w14:paraId="5625438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12</w:t>
            </w:r>
          </w:p>
        </w:tc>
        <w:tc>
          <w:tcPr>
            <w:tcW w:w="1531" w:type="dxa"/>
            <w:shd w:val="clear" w:color="auto" w:fill="B4C6E7" w:themeFill="accent5" w:themeFillTint="66"/>
            <w:noWrap/>
            <w:vAlign w:val="center"/>
          </w:tcPr>
          <w:p w14:paraId="6E9B875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moderate</w:t>
            </w:r>
          </w:p>
        </w:tc>
        <w:tc>
          <w:tcPr>
            <w:tcW w:w="1531" w:type="dxa"/>
            <w:shd w:val="clear" w:color="auto" w:fill="B4C6E7" w:themeFill="accent5" w:themeFillTint="66"/>
            <w:noWrap/>
            <w:vAlign w:val="center"/>
          </w:tcPr>
          <w:p w14:paraId="5FA4593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shd w:val="clear" w:color="auto" w:fill="B4C6E7" w:themeFill="accent5" w:themeFillTint="66"/>
            <w:noWrap/>
            <w:vAlign w:val="center"/>
          </w:tcPr>
          <w:p w14:paraId="3EFF84C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6B965C9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yCHZ1GCu","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424FA207" w14:textId="77777777">
        <w:trPr>
          <w:trHeight w:val="454"/>
        </w:trPr>
        <w:tc>
          <w:tcPr>
            <w:tcW w:w="1980" w:type="dxa"/>
            <w:shd w:val="clear" w:color="auto" w:fill="FFFF00"/>
            <w:noWrap/>
            <w:vAlign w:val="center"/>
          </w:tcPr>
          <w:p w14:paraId="46A8ACA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c.1301T&gt;A</w:t>
            </w:r>
          </w:p>
        </w:tc>
        <w:tc>
          <w:tcPr>
            <w:tcW w:w="992" w:type="dxa"/>
            <w:shd w:val="clear" w:color="auto" w:fill="FFFF00"/>
            <w:noWrap/>
            <w:vAlign w:val="center"/>
          </w:tcPr>
          <w:p w14:paraId="4FF4BA1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Exon15</w:t>
            </w:r>
          </w:p>
        </w:tc>
        <w:tc>
          <w:tcPr>
            <w:tcW w:w="1276" w:type="dxa"/>
            <w:shd w:val="clear" w:color="auto" w:fill="FFFF00"/>
            <w:noWrap/>
            <w:vAlign w:val="center"/>
          </w:tcPr>
          <w:p w14:paraId="7A940E5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FFFF00"/>
            <w:noWrap/>
            <w:vAlign w:val="center"/>
          </w:tcPr>
          <w:p w14:paraId="1CF842A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FFFF00"/>
            <w:noWrap/>
            <w:vAlign w:val="center"/>
          </w:tcPr>
          <w:p w14:paraId="7B22E3E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p.I411K</w:t>
            </w:r>
          </w:p>
        </w:tc>
        <w:tc>
          <w:tcPr>
            <w:tcW w:w="1134" w:type="dxa"/>
            <w:shd w:val="clear" w:color="auto" w:fill="FFFF00"/>
            <w:noWrap/>
            <w:vAlign w:val="center"/>
          </w:tcPr>
          <w:p w14:paraId="048DF4D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8-38 y</w:t>
            </w:r>
          </w:p>
        </w:tc>
        <w:tc>
          <w:tcPr>
            <w:tcW w:w="1531" w:type="dxa"/>
            <w:shd w:val="clear" w:color="auto" w:fill="FFFF00"/>
            <w:noWrap/>
            <w:vAlign w:val="center"/>
          </w:tcPr>
          <w:p w14:paraId="54F62FA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severe</w:t>
            </w:r>
          </w:p>
        </w:tc>
        <w:tc>
          <w:tcPr>
            <w:tcW w:w="1531" w:type="dxa"/>
            <w:shd w:val="clear" w:color="auto" w:fill="FFFF00"/>
            <w:noWrap/>
            <w:vAlign w:val="center"/>
          </w:tcPr>
          <w:p w14:paraId="038FBE5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Mid/flat freq</w:t>
            </w:r>
          </w:p>
        </w:tc>
        <w:tc>
          <w:tcPr>
            <w:tcW w:w="992" w:type="dxa"/>
            <w:shd w:val="clear" w:color="auto" w:fill="FFFF00"/>
            <w:noWrap/>
            <w:vAlign w:val="center"/>
          </w:tcPr>
          <w:p w14:paraId="3C85D5D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75686DF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Tan et al. 2014</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{"citationID":"2cgzAFwU","properties":{"formattedCitation":"[31]","plainCitation":"[31]","noteIndex":0},"citationItems":[{"id":262,"uris":["http://zotero.org/users/13427954/items/CBSXZ3IH"],"itemData":{"id":262,"type":"article-journal","abstract":"Hearing loss is the most common sensory deficit in humans and gaining a better understanding of the underlying causes is necessary to improve counseling and rehabilitation. In the present study, a genetic analysis of a Chinese family with autosomal dominant non‑syndromic progressive hearing impairment was conducted and assessed. Whole‑exome sequencing in combination with a co‑segregation analysis identified a novel missense mutation in EYA4 exon 15 (c.T1301A; p.I411K). The mutation segregated with the hearing loss of the family. This mutation was not identified in the databases of 1000 Genome Project, dbSNP 130, HapMap and YH project or in matched controls. Bioinformatic analysis confirmed the pathogenic effects of this mutation. To the best of our knowledge, this is the first report to provide a description of a missense mutation in the EYA4 gene resulting in non‑syndromic hearing loss. Our results provide additional molecular and clinical information in order to gain improved understanding of the pathogenesis of EYA4 mutations and the genotype‑phenotype correlations of DFNA10 hearing loss.","container-title":"International Journal of Molecular Medicine","DOI":"10.3892/ijmm.2014.1939","ISSN":"1107-3756, 1791-244X","issue":"6","language":"en","page":"1467-1472","source":"DOI.org (Crossref)","title":"Identification of I411K, a novel missense EYA4 mutation causing autosomal dominant non-syndromic hearing loss","volume":"34","author":[{"family":"Tan","given":"Minxing"},{"family":"Shen","given":"Xiaofei"},{"family":"Yao","given":"Jun"},{"family":"Wei","given":"Qinjun"},{"family":"Lu","given":"Yajie"},{"family":"Cao","given":"Xin"},{"family":"Xing","given":"Guangqian"}],"issued":{"date-parts":[["2014",12]]}}}],"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[31]</w:t>
            </w:r>
            <w:r>
              <w:rPr>
                <w:rFonts w:ascii="Times New Roman" w:hAnsi="Times New Roman" w:cs="Times New Roman"/>
                <w:sz w:val="16"/>
                <w:szCs w:val="16"/>
              </w:rPr>
              <w:fldChar w:fldCharType="end"/>
            </w:r>
          </w:p>
        </w:tc>
      </w:tr>
      <w:tr w:rsidR="00A6485A" w14:paraId="2E0F417A" w14:textId="77777777">
        <w:trPr>
          <w:trHeight w:val="454"/>
        </w:trPr>
        <w:tc>
          <w:tcPr>
            <w:tcW w:w="1980" w:type="dxa"/>
            <w:noWrap/>
            <w:vAlign w:val="center"/>
          </w:tcPr>
          <w:p w14:paraId="0407C5C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c.1341 -19T&gt;A</w:t>
            </w:r>
          </w:p>
        </w:tc>
        <w:tc>
          <w:tcPr>
            <w:tcW w:w="992" w:type="dxa"/>
            <w:noWrap/>
            <w:vAlign w:val="center"/>
          </w:tcPr>
          <w:p w14:paraId="393B37F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Intron 15</w:t>
            </w:r>
          </w:p>
        </w:tc>
        <w:tc>
          <w:tcPr>
            <w:tcW w:w="1276" w:type="dxa"/>
            <w:noWrap/>
            <w:vAlign w:val="center"/>
          </w:tcPr>
          <w:p w14:paraId="2FDEBBF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Splicing</w:t>
            </w:r>
          </w:p>
        </w:tc>
        <w:tc>
          <w:tcPr>
            <w:tcW w:w="1139" w:type="dxa"/>
            <w:noWrap/>
            <w:vAlign w:val="center"/>
          </w:tcPr>
          <w:p w14:paraId="0EDD1C1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538C5F4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134" w:type="dxa"/>
            <w:noWrap/>
            <w:vAlign w:val="center"/>
          </w:tcPr>
          <w:p w14:paraId="4B2FD8F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noWrap/>
            <w:vAlign w:val="center"/>
          </w:tcPr>
          <w:p w14:paraId="05A47CF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noWrap/>
            <w:vAlign w:val="center"/>
          </w:tcPr>
          <w:p w14:paraId="1259D5E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992" w:type="dxa"/>
            <w:noWrap/>
            <w:vAlign w:val="center"/>
          </w:tcPr>
          <w:p w14:paraId="1B70138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Germany</w:t>
            </w:r>
          </w:p>
        </w:tc>
        <w:tc>
          <w:tcPr>
            <w:tcW w:w="1904" w:type="dxa"/>
            <w:noWrap/>
            <w:vAlign w:val="center"/>
          </w:tcPr>
          <w:p w14:paraId="35A8F6C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Vona et al. 2014</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{"citationID":"VHMxBpwl","properties":{"formattedCitation":"[32]","plainCitation":"[32]","noteIndex":0},"citationItems":[{"id":263,"uris":["http://zotero.org/users/13427954/items/52QA4SL7"],"itemData":{"id":263,"type":"article-journal","abstract":"PURPOSE: Targeted next-generation sequencing provides a remarkable opportunity to identify variants in known disease genes, particularly in extremely heterogeneous disorders such as nonsyndromic hearing loss. The present study attempts to shed light on the complexity of hearing impairment.\nMETHODS: Using one of two next-generation sequencing panels containing either 80 or 129 deafness genes, we screened 30 individuals with nonsyndromic hearing loss (from 23 unrelated families) and analyzed 9 normal-hearing controls.\nRESULTS: Overall, we found an average of 3.7 variants (in 80 genes) with deleterious prediction outcome, including a number of novel variants, in individuals with nonsyndromic hearing loss and 1.4 in controls. By next-generation sequencing alone, 12 of 23 (52%) probands were diagnosed with monogenic forms of nonsyndromic hearing loss; one individual displayed a DNA sequence mutation together with a microdeletion. Two (9%) probands have Usher syndrome. In the undiagnosed individuals (10/23; 43%) we detected a significant enrichment of potentially pathogenic variants as compared to controls.\nCONCLUSION: Next-generation sequencing combined with microarrays provides the diagnosis for approximately half of the GJB2 mutation-negative individuals. Usher syndrome was found to be more frequent in the study cohort than anticipated. The conditions in a proportion of individuals with nonsyndromic hearing loss, particularly in the undiagnosed group, may have been caused or modified by an accumulation of unfavorable variants across multiple genes.","container-title":"Genetics in Medicine: Official Journal of the American College of Medical Genetics","DOI":"10.1038/gim.2014.65","ISSN":"1530-0366","issue":"12","journalAbbreviation":"Genet Med","language":"eng","note":"PMID: 24875298\nPMCID: PMC4262760","page":"945-953","source":"PubMed","title":"Targeted next-generation sequencing of deafness genes in hearing-impaired individuals uncovers informative mutations","volume":"16","author":[{"family":"Vona","given":"Barbara"},{"family":"Müller","given":"Tobias"},{"family":"Nanda","given":"Indrajit"},{"family":"Neuner","given":"Cordula"},{"family":"Hofrichter","given":"Michaela A. H."},{"family":"Schröder","given":"Jörg"},{"family":"Bartsch","given":"Oliver"},{"family":"Läßig","given":"Anne"},{"family":"Keilmann","given":"Annerose"},{"family":"Schraven","given":"Sebastian"},{"family":"Kraus","given":"Fabian"},{"family":"Shehata-Dieler","given":"Wafaa"},{"family":"Haaf","given":"Thomas"}],"issued":{"date-parts":[["2014",12]]}}}],"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[32]</w:t>
            </w:r>
            <w:r>
              <w:rPr>
                <w:rFonts w:ascii="Times New Roman" w:hAnsi="Times New Roman" w:cs="Times New Roman"/>
                <w:sz w:val="16"/>
                <w:szCs w:val="16"/>
              </w:rPr>
              <w:fldChar w:fldCharType="end"/>
            </w:r>
          </w:p>
        </w:tc>
      </w:tr>
      <w:tr w:rsidR="00A6485A" w14:paraId="1680B9D7" w14:textId="77777777">
        <w:trPr>
          <w:trHeight w:val="454"/>
        </w:trPr>
        <w:tc>
          <w:tcPr>
            <w:tcW w:w="1980" w:type="dxa"/>
            <w:shd w:val="clear" w:color="auto" w:fill="B4C6E7" w:themeFill="accent5" w:themeFillTint="66"/>
            <w:noWrap/>
            <w:vAlign w:val="center"/>
          </w:tcPr>
          <w:p w14:paraId="1A4FA65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c.1601C&gt;G</w:t>
            </w:r>
          </w:p>
        </w:tc>
        <w:tc>
          <w:tcPr>
            <w:tcW w:w="992" w:type="dxa"/>
            <w:shd w:val="clear" w:color="auto" w:fill="B4C6E7" w:themeFill="accent5" w:themeFillTint="66"/>
            <w:noWrap/>
            <w:vAlign w:val="center"/>
          </w:tcPr>
          <w:p w14:paraId="7CADE45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17</w:t>
            </w:r>
          </w:p>
        </w:tc>
        <w:tc>
          <w:tcPr>
            <w:tcW w:w="1276" w:type="dxa"/>
            <w:shd w:val="clear" w:color="auto" w:fill="B4C6E7" w:themeFill="accent5" w:themeFillTint="66"/>
            <w:noWrap/>
            <w:vAlign w:val="center"/>
          </w:tcPr>
          <w:p w14:paraId="361EFF4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shd w:val="clear" w:color="auto" w:fill="B4C6E7" w:themeFill="accent5" w:themeFillTint="66"/>
            <w:noWrap/>
            <w:vAlign w:val="center"/>
          </w:tcPr>
          <w:p w14:paraId="5E334C6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B4C6E7" w:themeFill="accent5" w:themeFillTint="66"/>
            <w:noWrap/>
            <w:vAlign w:val="center"/>
          </w:tcPr>
          <w:p w14:paraId="710826C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p.Ser534*</w:t>
            </w:r>
          </w:p>
        </w:tc>
        <w:tc>
          <w:tcPr>
            <w:tcW w:w="1134" w:type="dxa"/>
            <w:shd w:val="clear" w:color="auto" w:fill="B4C6E7" w:themeFill="accent5" w:themeFillTint="66"/>
            <w:noWrap/>
            <w:vAlign w:val="center"/>
          </w:tcPr>
          <w:p w14:paraId="60C45BB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3</w:t>
            </w:r>
            <w:r>
              <w:rPr>
                <w:rFonts w:ascii="Times New Roman" w:hAnsi="Times New Roman" w:cs="Times New Roman" w:hint="eastAsia"/>
                <w:sz w:val="16"/>
                <w:szCs w:val="16"/>
              </w:rPr>
              <w:t>–</w:t>
            </w:r>
            <w:r>
              <w:rPr>
                <w:rFonts w:ascii="Times New Roman" w:hAnsi="Times New Roman" w:cs="Times New Roman"/>
                <w:sz w:val="16"/>
                <w:szCs w:val="16"/>
              </w:rPr>
              <w:t>16 y</w:t>
            </w:r>
          </w:p>
        </w:tc>
        <w:tc>
          <w:tcPr>
            <w:tcW w:w="1531" w:type="dxa"/>
            <w:shd w:val="clear" w:color="auto" w:fill="B4C6E7" w:themeFill="accent5" w:themeFillTint="66"/>
            <w:noWrap/>
            <w:vAlign w:val="center"/>
          </w:tcPr>
          <w:p w14:paraId="67FF309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severe</w:t>
            </w:r>
          </w:p>
        </w:tc>
        <w:tc>
          <w:tcPr>
            <w:tcW w:w="1531" w:type="dxa"/>
            <w:shd w:val="clear" w:color="auto" w:fill="B4C6E7" w:themeFill="accent5" w:themeFillTint="66"/>
            <w:noWrap/>
            <w:vAlign w:val="center"/>
          </w:tcPr>
          <w:p w14:paraId="43F87BD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Mid/fat freq.</w:t>
            </w:r>
          </w:p>
        </w:tc>
        <w:tc>
          <w:tcPr>
            <w:tcW w:w="992" w:type="dxa"/>
            <w:shd w:val="clear" w:color="auto" w:fill="B4C6E7" w:themeFill="accent5" w:themeFillTint="66"/>
            <w:noWrap/>
            <w:vAlign w:val="center"/>
          </w:tcPr>
          <w:p w14:paraId="2EB365D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335672D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AhXHU8Ze","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7EAB7363" w14:textId="77777777">
        <w:trPr>
          <w:trHeight w:val="454"/>
        </w:trPr>
        <w:tc>
          <w:tcPr>
            <w:tcW w:w="1980" w:type="dxa"/>
            <w:shd w:val="clear" w:color="auto" w:fill="FFFF00"/>
            <w:noWrap/>
            <w:vAlign w:val="center"/>
          </w:tcPr>
          <w:p w14:paraId="636619C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c.1643C&gt;G</w:t>
            </w:r>
          </w:p>
        </w:tc>
        <w:tc>
          <w:tcPr>
            <w:tcW w:w="992" w:type="dxa"/>
            <w:shd w:val="clear" w:color="auto" w:fill="FFFF00"/>
            <w:noWrap/>
            <w:vAlign w:val="center"/>
          </w:tcPr>
          <w:p w14:paraId="5EF7319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18</w:t>
            </w:r>
          </w:p>
        </w:tc>
        <w:tc>
          <w:tcPr>
            <w:tcW w:w="1276" w:type="dxa"/>
            <w:shd w:val="clear" w:color="auto" w:fill="FFFF00"/>
            <w:noWrap/>
            <w:vAlign w:val="center"/>
          </w:tcPr>
          <w:p w14:paraId="4C357ED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FFFF00"/>
            <w:noWrap/>
            <w:vAlign w:val="center"/>
          </w:tcPr>
          <w:p w14:paraId="3B4EC40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FFFF00"/>
            <w:noWrap/>
            <w:vAlign w:val="center"/>
          </w:tcPr>
          <w:p w14:paraId="57C44CC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p.T548R</w:t>
            </w:r>
          </w:p>
        </w:tc>
        <w:tc>
          <w:tcPr>
            <w:tcW w:w="1134" w:type="dxa"/>
            <w:shd w:val="clear" w:color="auto" w:fill="FFFF00"/>
            <w:noWrap/>
            <w:vAlign w:val="center"/>
          </w:tcPr>
          <w:p w14:paraId="20C1C27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17</w:t>
            </w:r>
            <w:r>
              <w:rPr>
                <w:rFonts w:ascii="Times New Roman" w:hAnsi="Times New Roman" w:cs="Times New Roman" w:hint="eastAsia"/>
                <w:sz w:val="16"/>
                <w:szCs w:val="16"/>
              </w:rPr>
              <w:t>–</w:t>
            </w:r>
            <w:r>
              <w:rPr>
                <w:rFonts w:ascii="Times New Roman" w:hAnsi="Times New Roman" w:cs="Times New Roman"/>
                <w:sz w:val="16"/>
                <w:szCs w:val="16"/>
              </w:rPr>
              <w:t>40 y</w:t>
            </w:r>
          </w:p>
        </w:tc>
        <w:tc>
          <w:tcPr>
            <w:tcW w:w="1531" w:type="dxa"/>
            <w:shd w:val="clear" w:color="auto" w:fill="FFFF00"/>
            <w:noWrap/>
            <w:vAlign w:val="center"/>
          </w:tcPr>
          <w:p w14:paraId="444DF8B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profound</w:t>
            </w:r>
          </w:p>
        </w:tc>
        <w:tc>
          <w:tcPr>
            <w:tcW w:w="1531" w:type="dxa"/>
            <w:shd w:val="clear" w:color="auto" w:fill="FFFF00"/>
            <w:noWrap/>
            <w:vAlign w:val="center"/>
          </w:tcPr>
          <w:p w14:paraId="7E4C5C9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Variable</w:t>
            </w:r>
          </w:p>
        </w:tc>
        <w:tc>
          <w:tcPr>
            <w:tcW w:w="992" w:type="dxa"/>
            <w:shd w:val="clear" w:color="auto" w:fill="FFFF00"/>
            <w:noWrap/>
            <w:vAlign w:val="center"/>
          </w:tcPr>
          <w:p w14:paraId="528A4A8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1E5A062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Sun et al. 2015</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{"citationID":"Ad7hpllY","properties":{"formattedCitation":"[33]","plainCitation":"[33]","noteIndex":0},"citationItems":[{"id":261,"uris":["http://zotero.org/users/13427954/items/LV77AHSF"],"itemData":{"id":261,"type":"article-journal","container-title":"Journal of Human Genetics","DOI":"10.1038/jhg.2015.19","ISSN":"1434-5161, 1435-232X","issue":"6","journalAbbreviation":"J Hum Genet","language":"en","page":"299-304","source":"DOI.org (Crossref)","title":"A novel mutation of EYA4 in a large Chinese family with autosomal dominant middle-frequency sensorineural hearing loss by targeted exome sequencing","volume":"60","author":[{"family":"Sun","given":"Yi"},{"family":"Zhang","given":"Zhao"},{"family":"Cheng","given":"Jing"},{"family":"Lu","given":"Yu"},{"family":"Yang","given":"Chang-Liang"},{"family":"Luo","given":"Yan-Yun"},{"family":"Yang","given":"Guang"},{"family":"Yang","given":"Hui"},{"family":"Zhu","given":"Li"},{"family":"Zhou","given":"Jia"},{"family":"Yao","given":"Hang-Qi"}],"issued":{"date-parts":[["2015",6]]}}}],"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[33]</w:t>
            </w:r>
            <w:r>
              <w:rPr>
                <w:rFonts w:ascii="Times New Roman" w:hAnsi="Times New Roman" w:cs="Times New Roman"/>
                <w:sz w:val="16"/>
                <w:szCs w:val="16"/>
              </w:rPr>
              <w:fldChar w:fldCharType="end"/>
            </w:r>
          </w:p>
        </w:tc>
      </w:tr>
      <w:tr w:rsidR="00A6485A" w14:paraId="0A7C9530" w14:textId="77777777">
        <w:trPr>
          <w:trHeight w:val="454"/>
        </w:trPr>
        <w:tc>
          <w:tcPr>
            <w:tcW w:w="1980" w:type="dxa"/>
            <w:shd w:val="clear" w:color="auto" w:fill="C5E0B3" w:themeFill="accent6" w:themeFillTint="66"/>
            <w:noWrap/>
            <w:vAlign w:val="center"/>
          </w:tcPr>
          <w:p w14:paraId="1276A00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c.1663G&gt;C</w:t>
            </w:r>
          </w:p>
        </w:tc>
        <w:tc>
          <w:tcPr>
            <w:tcW w:w="992" w:type="dxa"/>
            <w:shd w:val="clear" w:color="auto" w:fill="C5E0B3" w:themeFill="accent6" w:themeFillTint="66"/>
            <w:noWrap/>
            <w:vAlign w:val="center"/>
          </w:tcPr>
          <w:p w14:paraId="6BE5877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18</w:t>
            </w:r>
          </w:p>
        </w:tc>
        <w:tc>
          <w:tcPr>
            <w:tcW w:w="1276" w:type="dxa"/>
            <w:shd w:val="clear" w:color="auto" w:fill="C5E0B3" w:themeFill="accent6" w:themeFillTint="66"/>
            <w:noWrap/>
            <w:vAlign w:val="center"/>
          </w:tcPr>
          <w:p w14:paraId="5F8A4A5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C5E0B3" w:themeFill="accent6" w:themeFillTint="66"/>
            <w:noWrap/>
            <w:vAlign w:val="center"/>
          </w:tcPr>
          <w:p w14:paraId="5753370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C5E0B3" w:themeFill="accent6" w:themeFillTint="66"/>
            <w:noWrap/>
            <w:vAlign w:val="center"/>
          </w:tcPr>
          <w:p w14:paraId="2E73340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p.Ala555Pro</w:t>
            </w:r>
          </w:p>
        </w:tc>
        <w:tc>
          <w:tcPr>
            <w:tcW w:w="1134" w:type="dxa"/>
            <w:shd w:val="clear" w:color="auto" w:fill="C5E0B3" w:themeFill="accent6" w:themeFillTint="66"/>
            <w:noWrap/>
            <w:vAlign w:val="center"/>
          </w:tcPr>
          <w:p w14:paraId="149FCFA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25 y</w:t>
            </w:r>
          </w:p>
        </w:tc>
        <w:tc>
          <w:tcPr>
            <w:tcW w:w="1531" w:type="dxa"/>
            <w:shd w:val="clear" w:color="auto" w:fill="C5E0B3" w:themeFill="accent6" w:themeFillTint="66"/>
            <w:noWrap/>
            <w:vAlign w:val="center"/>
          </w:tcPr>
          <w:p w14:paraId="51ED1A3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1013C22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High freq.</w:t>
            </w:r>
          </w:p>
        </w:tc>
        <w:tc>
          <w:tcPr>
            <w:tcW w:w="992" w:type="dxa"/>
            <w:shd w:val="clear" w:color="auto" w:fill="C5E0B3" w:themeFill="accent6" w:themeFillTint="66"/>
            <w:noWrap/>
            <w:vAlign w:val="center"/>
          </w:tcPr>
          <w:p w14:paraId="610CADB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3E70DA8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VUKv97C6","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2D8E93BC" w14:textId="77777777">
        <w:trPr>
          <w:trHeight w:val="454"/>
        </w:trPr>
        <w:tc>
          <w:tcPr>
            <w:tcW w:w="1980" w:type="dxa"/>
            <w:noWrap/>
            <w:vAlign w:val="center"/>
          </w:tcPr>
          <w:p w14:paraId="6873F6A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c.1739-1G&gt;A</w:t>
            </w:r>
          </w:p>
        </w:tc>
        <w:tc>
          <w:tcPr>
            <w:tcW w:w="992" w:type="dxa"/>
            <w:noWrap/>
            <w:vAlign w:val="center"/>
          </w:tcPr>
          <w:p w14:paraId="43C94E1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Intron 18</w:t>
            </w:r>
          </w:p>
        </w:tc>
        <w:tc>
          <w:tcPr>
            <w:tcW w:w="1276" w:type="dxa"/>
            <w:noWrap/>
            <w:vAlign w:val="center"/>
          </w:tcPr>
          <w:p w14:paraId="1CC491E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Splicing</w:t>
            </w:r>
          </w:p>
        </w:tc>
        <w:tc>
          <w:tcPr>
            <w:tcW w:w="1139" w:type="dxa"/>
            <w:noWrap/>
            <w:vAlign w:val="center"/>
          </w:tcPr>
          <w:p w14:paraId="3C1E3FC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6F82A97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134" w:type="dxa"/>
            <w:noWrap/>
            <w:vAlign w:val="center"/>
          </w:tcPr>
          <w:p w14:paraId="02ABF5B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50 y</w:t>
            </w:r>
          </w:p>
        </w:tc>
        <w:tc>
          <w:tcPr>
            <w:tcW w:w="1531" w:type="dxa"/>
            <w:noWrap/>
            <w:vAlign w:val="center"/>
          </w:tcPr>
          <w:p w14:paraId="19FE9CB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noWrap/>
            <w:vAlign w:val="center"/>
          </w:tcPr>
          <w:p w14:paraId="57CFD30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992" w:type="dxa"/>
            <w:noWrap/>
            <w:vAlign w:val="center"/>
          </w:tcPr>
          <w:p w14:paraId="5ADFB89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 American</w:t>
            </w:r>
          </w:p>
        </w:tc>
        <w:tc>
          <w:tcPr>
            <w:tcW w:w="1904" w:type="dxa"/>
            <w:noWrap/>
            <w:vAlign w:val="center"/>
          </w:tcPr>
          <w:p w14:paraId="53BA4FA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Cirino et al. 2017</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{"citationID":"BFoWxF0z","properties":{"formattedCitation":"[34]","plainCitation":"[34]","noteIndex":0},"citationItems":[{"id":266,"uris":["http://zotero.org/users/13427954/items/7YVZPGX7"],"itemData":{"id":266,"type":"article-journal","abstract":"BACKGROUND: As DNA sequencing costs decline, genetic testing options have expanded. Whole exome sequencing and whole genome sequencing (WGS) are entering clinical use, posing questions about their incremental value compared with disease-specific multigene panels that have been the cornerstone of genetic testing.\nMETHODS AND RESULTS: Forty-one patients with hypertrophic cardiomyopathy who had undergone targeted hypertrophic cardiomyopathy genetic testing (either multigene panel or familial variant test) were recruited into the MedSeq Project, a clinical trial of WGS. Results from panel genetic testing and WGS were compared. In 20 of 41 participants, panel genetic testing identified variants classified as pathogenic, likely pathogenic, or uncertain significance. WGS identified 19 of these 20 variants, but the variant detection algorithm missed a pathogenic 18 bp duplication in myosin binding protein C (MYBPC3) because of low coverage. In 3 individuals, WGS identified variants in genes implicated in cardiomyopathy but not included in prior panel testing: a pathogenic protein tyrosine phosphatase, non-receptor type 11 (PTPN11) variant and variants of uncertain significance in integrin-linked kinase (ILK) and filamin-C (FLNC). WGS also identified 84 secondary findings (mean=2 per person, range=0-6), which mostly defined carrier status for recessive conditions.\nCONCLUSIONS: WGS detected nearly all variants identified on panel testing, provided 1 new diagnostic finding, and allowed interrogation of posited disease genes. Several variants of uncertain clinical use and numerous secondary genetic findings were also identified. Whereas panel testing and WGS provided similar diagnostic yield, WGS offers the advantage of reanalysis over time to incorporate advances in knowledge, but requires expertise in genomic interpretation to appropriately incorporate WGS into clinical care.\nCLINICAL TRIAL REGISTRATION: URL: https://clinicaltrials.gov. Unique identifier: NCT01736566.","container-title":"Circulation. Cardiovascular Genetics","DOI":"10.1161/CIRCGENETICS.117.001768","ISSN":"1942-3268","issue":"5","journalAbbreviation":"Circ Cardiovasc Genet","language":"eng","note":"PMID: 29030401\nPMCID: PMC5683423","page":"e001768","source":"PubMed","title":"A Comparison of Whole Genome Sequencing to Multigene Panel Testing in Hypertrophic Cardiomyopathy Patients","volume":"10","author":[{"family":"Cirino","given":"Allison L."},{"family":"Lakdawala","given":"Neal K."},{"family":"McDonough","given":"Barbara"},{"family":"Conner","given":"Lauren"},{"family":"Adler","given":"Dale"},{"family":"Weinfeld","given":"Mark"},{"family":"O'Gara","given":"Patrick"},{"family":"Rehm","given":"Heidi L."},{"family":"Machini","given":"Kalotina"},{"family":"Lebo","given":"Matthew"},{"family":"Blout","given":"Carrie"},{"family":"Green","given":"Robert C."},{"family":"MacRae","given":"Calum A."},{"family":"Seidman","given":"Christine E."},{"family":"Ho","given":"Carolyn Y."},{"literal":"MedSeq Project*"}],"issued":{"date-parts":[["2017",10]]}}}],"schema":"https://github.com/citation-style-language/schema/raw/master/csl-citation.json"}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[34]</w:t>
            </w:r>
            <w:r>
              <w:rPr>
                <w:rFonts w:ascii="Times New Roman" w:hAnsi="Times New Roman" w:cs="Times New Roman"/>
                <w:sz w:val="16"/>
                <w:szCs w:val="16"/>
              </w:rPr>
              <w:fldChar w:fldCharType="end"/>
            </w:r>
          </w:p>
        </w:tc>
      </w:tr>
      <w:tr w:rsidR="00A6485A" w14:paraId="33CD5F18" w14:textId="77777777">
        <w:trPr>
          <w:trHeight w:val="454"/>
        </w:trPr>
        <w:tc>
          <w:tcPr>
            <w:tcW w:w="1980" w:type="dxa"/>
            <w:shd w:val="clear" w:color="auto" w:fill="FFFF00"/>
            <w:noWrap/>
            <w:vAlign w:val="center"/>
          </w:tcPr>
          <w:p w14:paraId="51C65382"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c.1745_1748del</w:t>
            </w:r>
          </w:p>
        </w:tc>
        <w:tc>
          <w:tcPr>
            <w:tcW w:w="992" w:type="dxa"/>
            <w:shd w:val="clear" w:color="auto" w:fill="FFFF00"/>
            <w:noWrap/>
            <w:vAlign w:val="center"/>
          </w:tcPr>
          <w:p w14:paraId="407E959E"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Exon 19</w:t>
            </w:r>
          </w:p>
        </w:tc>
        <w:tc>
          <w:tcPr>
            <w:tcW w:w="1276" w:type="dxa"/>
            <w:shd w:val="clear" w:color="auto" w:fill="FFFF00"/>
            <w:vAlign w:val="center"/>
          </w:tcPr>
          <w:p w14:paraId="533E9DBF"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frameshift</w:t>
            </w:r>
          </w:p>
        </w:tc>
        <w:tc>
          <w:tcPr>
            <w:tcW w:w="1139" w:type="dxa"/>
            <w:shd w:val="clear" w:color="auto" w:fill="FFFF00"/>
            <w:noWrap/>
            <w:vAlign w:val="center"/>
          </w:tcPr>
          <w:p w14:paraId="24368FF1"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eyaHR</w:t>
            </w:r>
          </w:p>
        </w:tc>
        <w:tc>
          <w:tcPr>
            <w:tcW w:w="1755" w:type="dxa"/>
            <w:shd w:val="clear" w:color="auto" w:fill="FFFF00"/>
            <w:noWrap/>
            <w:vAlign w:val="center"/>
          </w:tcPr>
          <w:p w14:paraId="5C3CC513"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p.Glu582ValfsTer6</w:t>
            </w:r>
          </w:p>
        </w:tc>
        <w:tc>
          <w:tcPr>
            <w:tcW w:w="1134" w:type="dxa"/>
            <w:shd w:val="clear" w:color="auto" w:fill="FFFF00"/>
            <w:noWrap/>
            <w:vAlign w:val="center"/>
          </w:tcPr>
          <w:p w14:paraId="22615068"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NA</w:t>
            </w:r>
          </w:p>
        </w:tc>
        <w:tc>
          <w:tcPr>
            <w:tcW w:w="1531" w:type="dxa"/>
            <w:shd w:val="clear" w:color="auto" w:fill="FFFF00"/>
            <w:noWrap/>
            <w:vAlign w:val="center"/>
          </w:tcPr>
          <w:p w14:paraId="0A566BD8"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Mild to Moderate</w:t>
            </w:r>
          </w:p>
        </w:tc>
        <w:tc>
          <w:tcPr>
            <w:tcW w:w="1531" w:type="dxa"/>
            <w:shd w:val="clear" w:color="auto" w:fill="FFFF00"/>
            <w:noWrap/>
            <w:vAlign w:val="center"/>
          </w:tcPr>
          <w:p w14:paraId="3073EA94"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Downsloping</w:t>
            </w:r>
          </w:p>
        </w:tc>
        <w:tc>
          <w:tcPr>
            <w:tcW w:w="992" w:type="dxa"/>
            <w:shd w:val="clear" w:color="auto" w:fill="FFFF00"/>
            <w:noWrap/>
            <w:vAlign w:val="center"/>
          </w:tcPr>
          <w:p w14:paraId="69FAF094"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Chinese</w:t>
            </w:r>
          </w:p>
        </w:tc>
        <w:tc>
          <w:tcPr>
            <w:tcW w:w="1904" w:type="dxa"/>
            <w:shd w:val="clear" w:color="auto" w:fill="FFFF00"/>
            <w:noWrap/>
            <w:vAlign w:val="center"/>
          </w:tcPr>
          <w:p w14:paraId="5AEC3C2D" w14:textId="77777777" w:rsidR="00A6485A" w:rsidRDefault="00000000">
            <w:pPr>
              <w:spacing w:line="360" w:lineRule="auto"/>
              <w:rPr>
                <w:rFonts w:ascii="Times New Roman" w:hAnsi="Times New Roman" w:cs="Times New Roman"/>
                <w:b/>
                <w:sz w:val="16"/>
                <w:szCs w:val="16"/>
              </w:rPr>
            </w:pPr>
            <w:r>
              <w:rPr>
                <w:rFonts w:ascii="Times New Roman" w:hAnsi="Times New Roman" w:cs="Times New Roman"/>
                <w:b/>
                <w:sz w:val="16"/>
                <w:szCs w:val="16"/>
              </w:rPr>
              <w:t>This study</w:t>
            </w:r>
          </w:p>
        </w:tc>
      </w:tr>
      <w:tr w:rsidR="00A6485A" w14:paraId="02E20476" w14:textId="77777777">
        <w:trPr>
          <w:trHeight w:val="454"/>
        </w:trPr>
        <w:tc>
          <w:tcPr>
            <w:tcW w:w="1980" w:type="dxa"/>
            <w:noWrap/>
            <w:vAlign w:val="center"/>
          </w:tcPr>
          <w:p w14:paraId="68C5DFE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c.1759C&gt;T</w:t>
            </w:r>
          </w:p>
        </w:tc>
        <w:tc>
          <w:tcPr>
            <w:tcW w:w="992" w:type="dxa"/>
            <w:noWrap/>
            <w:vAlign w:val="center"/>
          </w:tcPr>
          <w:p w14:paraId="0A2B860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19</w:t>
            </w:r>
          </w:p>
        </w:tc>
        <w:tc>
          <w:tcPr>
            <w:tcW w:w="1276" w:type="dxa"/>
            <w:noWrap/>
            <w:vAlign w:val="center"/>
          </w:tcPr>
          <w:p w14:paraId="42C062C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noWrap/>
            <w:vAlign w:val="center"/>
          </w:tcPr>
          <w:p w14:paraId="699934C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noWrap/>
            <w:vAlign w:val="center"/>
          </w:tcPr>
          <w:p w14:paraId="358B2FC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p.Arg587*</w:t>
            </w:r>
          </w:p>
        </w:tc>
        <w:tc>
          <w:tcPr>
            <w:tcW w:w="1134" w:type="dxa"/>
            <w:noWrap/>
            <w:vAlign w:val="center"/>
          </w:tcPr>
          <w:p w14:paraId="37B5C66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6</w:t>
            </w:r>
            <w:r>
              <w:rPr>
                <w:rFonts w:ascii="Times New Roman" w:hAnsi="Times New Roman" w:cs="Times New Roman" w:hint="eastAsia"/>
                <w:sz w:val="16"/>
                <w:szCs w:val="16"/>
              </w:rPr>
              <w:t>–</w:t>
            </w:r>
            <w:r>
              <w:rPr>
                <w:rFonts w:ascii="Times New Roman" w:hAnsi="Times New Roman" w:cs="Times New Roman"/>
                <w:sz w:val="16"/>
                <w:szCs w:val="16"/>
              </w:rPr>
              <w:t>40 y</w:t>
            </w:r>
          </w:p>
        </w:tc>
        <w:tc>
          <w:tcPr>
            <w:tcW w:w="1531" w:type="dxa"/>
            <w:noWrap/>
            <w:vAlign w:val="center"/>
          </w:tcPr>
          <w:p w14:paraId="538A469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moderate</w:t>
            </w:r>
          </w:p>
        </w:tc>
        <w:tc>
          <w:tcPr>
            <w:tcW w:w="1531" w:type="dxa"/>
            <w:noWrap/>
            <w:vAlign w:val="center"/>
          </w:tcPr>
          <w:p w14:paraId="7AC23C5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 freq.</w:t>
            </w:r>
          </w:p>
        </w:tc>
        <w:tc>
          <w:tcPr>
            <w:tcW w:w="992" w:type="dxa"/>
            <w:noWrap/>
            <w:vAlign w:val="center"/>
          </w:tcPr>
          <w:p w14:paraId="08926FC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Belgian</w:t>
            </w:r>
          </w:p>
        </w:tc>
        <w:tc>
          <w:tcPr>
            <w:tcW w:w="1904" w:type="dxa"/>
            <w:noWrap/>
            <w:vAlign w:val="center"/>
          </w:tcPr>
          <w:p w14:paraId="74D74E4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Wayne et al. 2001</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P6Dynzql","properties":{"formattedCitation":"[3]","plainCitation":"[3]","noteIndex":0},"citationItems":[{"id":139,"uris":["http://zotero.org/users/local/y36QHLPz/items/64EBVW3G","http://zotero.org/users/13427954/items/64EBVW3G"],"itemData":{"id":139,"type":"article-journal","abstract":"We identified Eyes absent 4 (EYA4), a member of the vertebrate Eya family of transcriptional activators, as the causative gene of postlingual, progressive, autosomal dominant hearing loss at the DFNA10 locus. In two unrelated families from Belgium and the USA segregating for deafness at this locus, we found different mutations in EYA4, both of which create premature stop codons. Although EYA proteins interact with members of the SIX and DACH protein families in a conserved network that regulates early embryonic development, this finding shows that EYA4 is also important post-developmentally for continued function of the mature organ of Corti.","container-title":"Human Molecular Genetics","DOI":"10.1093/hmg/10.3.195","ISSN":"0964-6906","issue":"3","journalAbbreviation":"Hum Mol Genet","language":"eng","note":"PMID: 11159937","page":"195-200","source":"PubMed","title":"Mutations in the transcriptional activator EYA4 cause late-onset deafness at the DFNA10 locus","volume":"10","author":[{"family":"Wayne","given":"S."},{"family":"Robertson","given":"N. G."},{"family":"DeClau","given":"F."},{"family":"Chen","given":"N."},{"family":"Verhoeven","given":"K."},{"family":"Prasad","given":"S."},{"family":"Tranebjärg","given":"L."},{"family":"Morton","given":"C. C."},{"family":"Ryan","given":"A. F."},{"family":"Van Camp","given":"G."},{"family":"Smith","given":"R. J."}],"issued":{"date-parts":[["2001",2,1]]}}}],"schema":"https://github.com/citation-style-language/schema/raw/master/csl-citation.json"}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w:t>
            </w:r>
            <w:r>
              <w:rPr>
                <w:rFonts w:ascii="Times New Roman" w:hAnsi="Times New Roman" w:cs="Times New Roman"/>
                <w:sz w:val="16"/>
                <w:szCs w:val="16"/>
              </w:rPr>
              <w:fldChar w:fldCharType="end"/>
            </w:r>
          </w:p>
        </w:tc>
      </w:tr>
      <w:tr w:rsidR="00A6485A" w14:paraId="46160B77" w14:textId="77777777">
        <w:trPr>
          <w:trHeight w:val="454"/>
        </w:trPr>
        <w:tc>
          <w:tcPr>
            <w:tcW w:w="1980" w:type="dxa"/>
            <w:shd w:val="clear" w:color="auto" w:fill="C5E0B3" w:themeFill="accent6" w:themeFillTint="66"/>
            <w:noWrap/>
            <w:vAlign w:val="center"/>
          </w:tcPr>
          <w:p w14:paraId="33D1C54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c.1790del</w:t>
            </w:r>
          </w:p>
        </w:tc>
        <w:tc>
          <w:tcPr>
            <w:tcW w:w="992" w:type="dxa"/>
            <w:shd w:val="clear" w:color="auto" w:fill="C5E0B3" w:themeFill="accent6" w:themeFillTint="66"/>
            <w:noWrap/>
            <w:vAlign w:val="center"/>
          </w:tcPr>
          <w:p w14:paraId="11895D2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19</w:t>
            </w:r>
          </w:p>
        </w:tc>
        <w:tc>
          <w:tcPr>
            <w:tcW w:w="1276" w:type="dxa"/>
            <w:shd w:val="clear" w:color="auto" w:fill="C5E0B3" w:themeFill="accent6" w:themeFillTint="66"/>
            <w:noWrap/>
            <w:vAlign w:val="center"/>
          </w:tcPr>
          <w:p w14:paraId="5DC697E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frameshift</w:t>
            </w:r>
          </w:p>
        </w:tc>
        <w:tc>
          <w:tcPr>
            <w:tcW w:w="1139" w:type="dxa"/>
            <w:shd w:val="clear" w:color="auto" w:fill="C5E0B3" w:themeFill="accent6" w:themeFillTint="66"/>
            <w:noWrap/>
            <w:vAlign w:val="center"/>
          </w:tcPr>
          <w:p w14:paraId="26BE356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C5E0B3" w:themeFill="accent6" w:themeFillTint="66"/>
            <w:noWrap/>
            <w:vAlign w:val="center"/>
          </w:tcPr>
          <w:p w14:paraId="6A12E0D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p.Val597Glyfs*4</w:t>
            </w:r>
          </w:p>
        </w:tc>
        <w:tc>
          <w:tcPr>
            <w:tcW w:w="1134" w:type="dxa"/>
            <w:shd w:val="clear" w:color="auto" w:fill="C5E0B3" w:themeFill="accent6" w:themeFillTint="66"/>
            <w:noWrap/>
            <w:vAlign w:val="center"/>
          </w:tcPr>
          <w:p w14:paraId="71489C0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35</w:t>
            </w:r>
          </w:p>
        </w:tc>
        <w:tc>
          <w:tcPr>
            <w:tcW w:w="1531" w:type="dxa"/>
            <w:shd w:val="clear" w:color="auto" w:fill="C5E0B3" w:themeFill="accent6" w:themeFillTint="66"/>
            <w:noWrap/>
            <w:vAlign w:val="center"/>
          </w:tcPr>
          <w:p w14:paraId="099799E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C5E0B3" w:themeFill="accent6" w:themeFillTint="66"/>
            <w:noWrap/>
            <w:vAlign w:val="center"/>
          </w:tcPr>
          <w:p w14:paraId="17F8247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C5E0B3" w:themeFill="accent6" w:themeFillTint="66"/>
            <w:noWrap/>
            <w:vAlign w:val="center"/>
          </w:tcPr>
          <w:p w14:paraId="259A974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36AA80A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Iwasa et al. 2016</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{"citationID":"jjZV7UMv","properties":{"formattedCitation":"[35]","plainCitation":"[35]","noteIndex":0},"citationItems":[{"id":273,"uris":["http://zotero.org/users/13427954/items/WU9HKSEY"],"itemData":{"id":273,"type":"article-journal","abstract":"Background OPEN ACCESS Citation: Iwasa Y-i, Nishio S-y, Usami S-i (2016) Comprehensive Genetic Analysis of Japanese Autosomal Dominant Sensorineural Hearing Loss Patients. PLoS ONE 11(12): e0166781. doi:10.1371/journal.pone.0166781 Editor: Sangdun Choi, Ajou University, REPUBLIC OF KOREA Received: May 9, 2016 Accepted: November 3, 2016 Published: December 2, 2016 In general, autosomal dominant inherited hearing loss does not have a founder mutation, with the causative mutation different in each family. For this reason, there has been a strong need for efficient diagnosis methods for autosomal dominant sensorineural hearing loss (ADSNHL) patients. This study sought to verify the effectiveness of our analysis algorithm for the screening of ADSNHL patients as well as the usefulness of the massively parallel DNA sequencing (MPS). Subjects and Methods Seventy-five Japanese ADSNHL patients from 53 ENT departments nationwide participated in this study. We conducted genetic analysis of 75 ADSNHL patients using the Invader assay, TaqMan genotyping assay and MPS-based genetic screening. Copyright: © 2016 Iwasa et al. This is an open access article distributed under the terms of the Creative Commons Attribution License, which permits unrestricted use, distribution, and reproduction in any medium, provided the original author and source are credited. Data Availability Statement: Data access is controlled by data access community of the Shinshu University. Data are available from the Shinshu University Institutional Data access / Ethics Committee for researchers who meet the criteria for access to confidential data. If you would like to request access to this data set, please contact Shin-ichi Usami, usami@shinshu-u.ac.jp. Funding: This study was grant aided by a Health, Labour and Welfare of Japan Scientific Research Grant (H25-Kankaku-Ippan-002), Japan Agency for Medical Research and Development (15dk0310011h0003), and a Grant-in-Aid for\nResults A total of 46 (61.3%) ADSNHL patients were found to have at least one candidate gene variant.\nConclusion We were able to achieve a high mutation detection rate through the combination of the Invader assay, TaqMan genotyping assay and MPS. MPS could be used to successfully identify mutations in rare deafness genes.","container-title":"PLOS ONE","DOI":"10.1371/journal.pone.0166781","ISSN":"1932-6203","issue":"12","journalAbbreviation":"PLoS ONE","language":"en","page":"e0166781","source":"DOI.org (Crossref)","title":"Comprehensive Genetic Analysis of Japanese Autosomal Dominant Sensorineural Hearing Loss Patients","volume":"11","author":[{"family":"Iwasa","given":"Yoh-ichiro"},{"family":"Nishio","given":"Shin-ya"},{"family":"Usami","given":"Shin-ichi"}],"editor":[{"family":"Choi","given":"Sangdun"}],"issued":{"date-parts":[["2016",12,2]]}}}],"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[35]</w:t>
            </w:r>
            <w:r>
              <w:rPr>
                <w:rFonts w:ascii="Times New Roman" w:hAnsi="Times New Roman" w:cs="Times New Roman"/>
                <w:sz w:val="16"/>
                <w:szCs w:val="16"/>
              </w:rPr>
              <w:fldChar w:fldCharType="end"/>
            </w:r>
          </w:p>
        </w:tc>
      </w:tr>
      <w:tr w:rsidR="00A6485A" w14:paraId="584B47F2" w14:textId="77777777">
        <w:trPr>
          <w:trHeight w:val="454"/>
        </w:trPr>
        <w:tc>
          <w:tcPr>
            <w:tcW w:w="1980" w:type="dxa"/>
            <w:vMerge w:val="restart"/>
            <w:noWrap/>
            <w:vAlign w:val="center"/>
          </w:tcPr>
          <w:p w14:paraId="56C29FA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c.1810G&gt;T</w:t>
            </w:r>
          </w:p>
        </w:tc>
        <w:tc>
          <w:tcPr>
            <w:tcW w:w="992" w:type="dxa"/>
            <w:vMerge w:val="restart"/>
            <w:noWrap/>
            <w:vAlign w:val="center"/>
          </w:tcPr>
          <w:p w14:paraId="0374D30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19</w:t>
            </w:r>
          </w:p>
        </w:tc>
        <w:tc>
          <w:tcPr>
            <w:tcW w:w="1276" w:type="dxa"/>
            <w:vMerge w:val="restart"/>
            <w:noWrap/>
            <w:vAlign w:val="center"/>
          </w:tcPr>
          <w:p w14:paraId="33D1180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vMerge w:val="restart"/>
            <w:noWrap/>
            <w:vAlign w:val="center"/>
          </w:tcPr>
          <w:p w14:paraId="77928B0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vMerge w:val="restart"/>
            <w:noWrap/>
            <w:vAlign w:val="center"/>
          </w:tcPr>
          <w:p w14:paraId="4BEC228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p.Gly604Cys</w:t>
            </w:r>
          </w:p>
        </w:tc>
        <w:tc>
          <w:tcPr>
            <w:tcW w:w="1134" w:type="dxa"/>
            <w:vMerge w:val="restart"/>
            <w:noWrap/>
            <w:vAlign w:val="center"/>
          </w:tcPr>
          <w:p w14:paraId="3CF625B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vMerge w:val="restart"/>
            <w:noWrap/>
            <w:vAlign w:val="center"/>
          </w:tcPr>
          <w:p w14:paraId="4A116A3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vMerge w:val="restart"/>
            <w:noWrap/>
            <w:vAlign w:val="center"/>
          </w:tcPr>
          <w:p w14:paraId="1924BB8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992" w:type="dxa"/>
            <w:noWrap/>
            <w:vAlign w:val="center"/>
          </w:tcPr>
          <w:p w14:paraId="313B64C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Swedish</w:t>
            </w:r>
          </w:p>
        </w:tc>
        <w:tc>
          <w:tcPr>
            <w:tcW w:w="1904" w:type="dxa"/>
            <w:shd w:val="clear" w:color="auto" w:fill="auto"/>
            <w:noWrap/>
            <w:vAlign w:val="center"/>
          </w:tcPr>
          <w:p w14:paraId="4E957F8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Neveling et al. 2013</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{"citationID":"1bQgqFSp","properties":{"formattedCitation":"[36]","plainCitation":"[36]","noteIndex":0},"citationItems":[{"id":301,"uris":["http://zotero.org/users/13427954/items/H3A9JQDJ"],"itemData":{"id":301,"type":"article-journal","abstract":"The advent of massive parallel sequencing is rapidly changing the strategies employed for the genetic diagnosis and research of rare diseases that involve a large number of genes. So far it is not clear whether these approaches perform significantly better than conventional single gene testing as requested by clinicians. The current yield of this traditional diagnostic approach depends on a complex of factors that include gene-specific phenotype traits, and the relative frequency of the involvement of specific genes. To gauge the impact of the paradigm shift that is occurring in molecular diagnostics, we assessed traditional Sanger-based sequencing (in 2011) and exome sequencing followed by targeted bioinformatics analysis (in 2012) for five different conditions that are highly heterogeneous, and for which our center provides molecular diagnosis. We find that exome sequencing has a much higher diagnostic yield than Sanger sequencing for deafness, blindness, mitochondrial disease, and movement disorders. For microsatellite-stable colorectal cancer, this was low under both strategies. Even if all genes that could have been ordered by physicians had been tested, the larger number of genes captured by the exome would still have led to a clearly superior diagnostic yield at a fraction of the cost.","container-title":"Human Mutation","DOI":"10.1002/humu.22450","ISSN":"1098-1004","issue":"12","journalAbbreviation":"Hum Mutat","language":"eng","note":"PMID: 24123792","page":"1721-1726","source":"PubMed","title":"A post-hoc comparison of the utility of sanger sequencing and exome sequencing for the diagnosis of heterogeneous diseases","volume":"34","author":[{"family":"Neveling","given":"Kornelia"},{"family":"Feenstra","given":"Ilse"},{"family":"Gilissen","given":"Christian"},{"family":"Hoefsloot","given":"Lies H."},{"family":"Kamsteeg","given":"Erik-Jan"},{"family":"Mensenkamp","given":"Arjen R."},{"family":"Rodenburg","given":"Richard J. T."},{"family":"Yntema","given":"Helger G."},{"family":"Spruijt","given":"Liesbeth"},{"family":"Vermeer","given":"Sascha"},{"family":"Rinne","given":"Tuula"},{"family":"Gassen","given":"Koen L.","non-dropping-particle":"van"},{"family":"Bodmer","given":"Danielle"},{"family":"Lugtenberg","given":"Dorien"},{"family":"Reuver","given":"Rick","non-dropping-particle":"de"},{"family":"Buijsman","given":"Wendy"},{"family":"Derks","given":"Ronny C."},{"family":"Wieskamp","given":"Nienke"},{"family":"Heuvel","given":"Bert","non-dropping-particle":"van den"},{"family":"Ligtenberg","given":"Marjolijn J. L."},{"family":"Kremer","given":"Hannie"},{"family":"Koolen","given":"David A."},{"family":"Warrenburg","given":"Bart P. C.","non-dropping-particle":"van de"},{"family":"Cremers","given":"Frans P. M."},{"family":"Marcelis","given":"Carlo L. M."},{"family":"Smeitink","given":"Jan A. M."},{"family":"Wortmann","given":"Saskia B."},{"family":"Zelst-Stams","given":"Wendy A. G.","non-dropping-particle":"van"},{"family":"Veltman","given":"Joris A."},{"family":"Brunner","given":"Han G."},{"family":"Scheffer","given":"Hans"},{"family":"Nelen","given":"Marcel R."}],"issued":{"date-parts":[["2013",12]]}}}],"schema":"https://github.com/citation-style-language/schema/raw/master/csl-citation.json"}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[36]</w:t>
            </w:r>
            <w:r>
              <w:rPr>
                <w:rFonts w:ascii="Times New Roman" w:hAnsi="Times New Roman" w:cs="Times New Roman"/>
                <w:sz w:val="16"/>
                <w:szCs w:val="16"/>
              </w:rPr>
              <w:fldChar w:fldCharType="end"/>
            </w:r>
          </w:p>
        </w:tc>
      </w:tr>
      <w:tr w:rsidR="00A6485A" w14:paraId="2C167C88" w14:textId="77777777">
        <w:trPr>
          <w:trHeight w:val="454"/>
        </w:trPr>
        <w:tc>
          <w:tcPr>
            <w:tcW w:w="1980" w:type="dxa"/>
            <w:vMerge/>
            <w:noWrap/>
            <w:vAlign w:val="center"/>
          </w:tcPr>
          <w:p w14:paraId="5B13F531" w14:textId="77777777" w:rsidR="00A6485A" w:rsidRDefault="00A6485A">
            <w:pPr>
              <w:spacing w:line="360" w:lineRule="auto"/>
              <w:rPr>
                <w:rFonts w:ascii="Times New Roman" w:hAnsi="Times New Roman" w:cs="Times New Roman"/>
                <w:sz w:val="16"/>
                <w:szCs w:val="16"/>
              </w:rPr>
            </w:pPr>
          </w:p>
        </w:tc>
        <w:tc>
          <w:tcPr>
            <w:tcW w:w="992" w:type="dxa"/>
            <w:vMerge/>
            <w:noWrap/>
            <w:vAlign w:val="center"/>
          </w:tcPr>
          <w:p w14:paraId="27B23052" w14:textId="77777777" w:rsidR="00A6485A" w:rsidRDefault="00A6485A">
            <w:pPr>
              <w:spacing w:line="360" w:lineRule="auto"/>
              <w:rPr>
                <w:rFonts w:ascii="Times New Roman" w:hAnsi="Times New Roman" w:cs="Times New Roman"/>
                <w:sz w:val="16"/>
                <w:szCs w:val="16"/>
              </w:rPr>
            </w:pPr>
          </w:p>
        </w:tc>
        <w:tc>
          <w:tcPr>
            <w:tcW w:w="1276" w:type="dxa"/>
            <w:vMerge/>
            <w:noWrap/>
            <w:vAlign w:val="center"/>
          </w:tcPr>
          <w:p w14:paraId="79F47341" w14:textId="77777777" w:rsidR="00A6485A" w:rsidRDefault="00A6485A">
            <w:pPr>
              <w:spacing w:line="360" w:lineRule="auto"/>
              <w:rPr>
                <w:rFonts w:ascii="Times New Roman" w:hAnsi="Times New Roman" w:cs="Times New Roman"/>
                <w:sz w:val="16"/>
                <w:szCs w:val="16"/>
              </w:rPr>
            </w:pPr>
          </w:p>
        </w:tc>
        <w:tc>
          <w:tcPr>
            <w:tcW w:w="1139" w:type="dxa"/>
            <w:vMerge/>
            <w:noWrap/>
            <w:vAlign w:val="center"/>
          </w:tcPr>
          <w:p w14:paraId="31F69108" w14:textId="77777777" w:rsidR="00A6485A" w:rsidRDefault="00A6485A">
            <w:pPr>
              <w:spacing w:line="360" w:lineRule="auto"/>
              <w:rPr>
                <w:rFonts w:ascii="Times New Roman" w:hAnsi="Times New Roman" w:cs="Times New Roman"/>
                <w:sz w:val="16"/>
                <w:szCs w:val="16"/>
              </w:rPr>
            </w:pPr>
          </w:p>
        </w:tc>
        <w:tc>
          <w:tcPr>
            <w:tcW w:w="1755" w:type="dxa"/>
            <w:vMerge/>
            <w:noWrap/>
            <w:vAlign w:val="center"/>
          </w:tcPr>
          <w:p w14:paraId="5B26A2AB" w14:textId="77777777" w:rsidR="00A6485A" w:rsidRDefault="00A6485A">
            <w:pPr>
              <w:spacing w:line="360" w:lineRule="auto"/>
              <w:rPr>
                <w:rFonts w:ascii="Times New Roman" w:hAnsi="Times New Roman" w:cs="Times New Roman"/>
                <w:sz w:val="16"/>
                <w:szCs w:val="16"/>
              </w:rPr>
            </w:pPr>
          </w:p>
        </w:tc>
        <w:tc>
          <w:tcPr>
            <w:tcW w:w="1134" w:type="dxa"/>
            <w:vMerge/>
            <w:noWrap/>
            <w:vAlign w:val="center"/>
          </w:tcPr>
          <w:p w14:paraId="743B4DE3" w14:textId="77777777" w:rsidR="00A6485A" w:rsidRDefault="00A6485A">
            <w:pPr>
              <w:spacing w:line="360" w:lineRule="auto"/>
              <w:rPr>
                <w:rFonts w:ascii="Times New Roman" w:hAnsi="Times New Roman" w:cs="Times New Roman"/>
                <w:sz w:val="16"/>
                <w:szCs w:val="16"/>
              </w:rPr>
            </w:pPr>
          </w:p>
        </w:tc>
        <w:tc>
          <w:tcPr>
            <w:tcW w:w="1531" w:type="dxa"/>
            <w:vMerge/>
            <w:noWrap/>
            <w:vAlign w:val="center"/>
          </w:tcPr>
          <w:p w14:paraId="22280084" w14:textId="77777777" w:rsidR="00A6485A" w:rsidRDefault="00A6485A">
            <w:pPr>
              <w:spacing w:line="360" w:lineRule="auto"/>
              <w:rPr>
                <w:rFonts w:ascii="Times New Roman" w:hAnsi="Times New Roman" w:cs="Times New Roman"/>
                <w:sz w:val="16"/>
                <w:szCs w:val="16"/>
              </w:rPr>
            </w:pPr>
          </w:p>
        </w:tc>
        <w:tc>
          <w:tcPr>
            <w:tcW w:w="1531" w:type="dxa"/>
            <w:vMerge/>
            <w:noWrap/>
            <w:vAlign w:val="center"/>
          </w:tcPr>
          <w:p w14:paraId="73A895F3" w14:textId="77777777" w:rsidR="00A6485A" w:rsidRDefault="00A6485A">
            <w:pPr>
              <w:spacing w:line="360" w:lineRule="auto"/>
              <w:rPr>
                <w:rFonts w:ascii="Times New Roman" w:hAnsi="Times New Roman" w:cs="Times New Roman"/>
                <w:sz w:val="16"/>
                <w:szCs w:val="16"/>
              </w:rPr>
            </w:pPr>
          </w:p>
        </w:tc>
        <w:tc>
          <w:tcPr>
            <w:tcW w:w="992" w:type="dxa"/>
            <w:noWrap/>
            <w:vAlign w:val="center"/>
          </w:tcPr>
          <w:p w14:paraId="258D8ED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Dutch</w:t>
            </w:r>
          </w:p>
        </w:tc>
        <w:tc>
          <w:tcPr>
            <w:tcW w:w="1904" w:type="dxa"/>
            <w:noWrap/>
            <w:vAlign w:val="center"/>
          </w:tcPr>
          <w:p w14:paraId="42AE198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Van Beelen et al. 2016</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{"citationID":"V1JEhycE","properties":{"formattedCitation":"[19]","plainCitation":"[19]","noteIndex":0},"citationItems":[{"id":210,"uris":["http://zotero.org/users/13427954/items/WKBBZIRM"],"itemData":{"id":210,"type":"article-journal","abstract":"Objectives: Mutations in EYA4 can cause nonsyndromic autosomal dominant sensorineural hearing impairment (DFNA10) or a syndromic variant with hearing impairment and dilated cardiomyopathy. A mutation in EYA4 was found in a Dutch family, causing DFNA10. This study is focused on characterizing the hearing impairment in this family. Design: Whole exome sequencing was performed in the proband. In addition, peripheral blood samples were collected from 23 family members, and segregation analyses were performed. All participants underwent otorhinolaryngological examinations and pure-tone audiometry, and 12 participants underwent speech audiometry. In addition, an extended set of audiometric measurements was performed in five family members to evaluate the functional status of the cochlea. Vestibular testing was performed in three family members. Two individuals underwent echocardiography to evaluate the nonsyndromic phenotype.\nResults: The authors present a Dutch family with a truncating mutation in EYA4 causing a mid-frequency hearing impairment. This mutation (c.464del) leads to a frameshift and a premature stop codon (p.Pro155fsX). This mutation is the most N-terminal mutation in EYA4 found to date. In addition, a missense mutation, predicted to be deleterious, was found in EYA4 in two family members. Echocardiography in two family members revealed no signs of dilated cardiomyopathy. Results of caloric and velocity step tests in three family members showed no abnormalities. Hearing impairment was found to be symmetric and progressive, beginning as a mid-frequency hearing impairment in childhood and developing into a high-frequency, moderate hearing impairment later in life. Furthermore, an extended set of audiometric measurements was performed in five family members. The results were comparable to those obtained in patients with other sensory types of hearing impairments, such as patients with Usher syndrome type IIA and presbyacusis, and not to those obtained in patients with (cochlear) conductive types of hearing impairment, such as DFNA8/12 and DFNA13.\nConclusions: The mid-frequency hearing impairment in the present family was found to be symmetric and progressive, with a predominantly childhood onset. The results of psychophysical measurements revealed similarities to other conditions involving a sensory type of hearing impairment, such as Usher syndrome type IIA and presbyacusis. The study results suggest that EYA4 is expressed in the sensory cells of the cochlea. This phenotypic description will facilitate counseling for hearing impairment in DFNA10 patients.","container-title":"Ear &amp; Hearing","DOI":"10.1097/AUD.0000000000000217","ISSN":"0196-0202","issue":"1","language":"en","page":"103-111","source":"DOI.org (Crossref)","title":"Audiometric Characteristics of a Dutch DFNA10 Family With Mid-Frequency Hearing Impairment","volume":"37","author":[{"family":"Van Beelen","given":"Eline"},{"family":"Oonk","given":"Anne M. M."},{"family":"Leijendeckers","given":"Joop M."},{"family":"Hoefsloot","given":"Elisabeth H."},{"family":"Pennings","given":"Ronald J. E."},{"family":"Feenstra","given":"Ilse"},{"family":"Dieker","given":"Hendrik-Jan"},{"family":"Huygen","given":"Patrick L. M."},{"family":"Snik","given":"Ad F. M."},{"family":"Kremer","given":"Hannie"},{"family":"Kunst","given":"Henricus P. M."}],"issued":{"date-parts":[["2016",1]]}}}],"schema":"https://github.com/citation-style-language/schema/raw/master/csl-citation.json"}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[19]</w:t>
            </w:r>
            <w:r>
              <w:rPr>
                <w:rFonts w:ascii="Times New Roman" w:hAnsi="Times New Roman" w:cs="Times New Roman"/>
                <w:sz w:val="16"/>
                <w:szCs w:val="16"/>
              </w:rPr>
              <w:fldChar w:fldCharType="end"/>
            </w:r>
          </w:p>
        </w:tc>
      </w:tr>
      <w:tr w:rsidR="00A6485A" w14:paraId="335BE6DF" w14:textId="77777777">
        <w:trPr>
          <w:trHeight w:val="454"/>
        </w:trPr>
        <w:tc>
          <w:tcPr>
            <w:tcW w:w="1980" w:type="dxa"/>
            <w:shd w:val="clear" w:color="auto" w:fill="FFFF00"/>
            <w:noWrap/>
            <w:vAlign w:val="center"/>
          </w:tcPr>
          <w:p w14:paraId="75B4262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c.1834A&gt;T</w:t>
            </w:r>
          </w:p>
        </w:tc>
        <w:tc>
          <w:tcPr>
            <w:tcW w:w="992" w:type="dxa"/>
            <w:shd w:val="clear" w:color="auto" w:fill="FFFF00"/>
            <w:noWrap/>
            <w:vAlign w:val="center"/>
          </w:tcPr>
          <w:p w14:paraId="1B2786B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19</w:t>
            </w:r>
          </w:p>
        </w:tc>
        <w:tc>
          <w:tcPr>
            <w:tcW w:w="1276" w:type="dxa"/>
            <w:shd w:val="clear" w:color="auto" w:fill="FFFF00"/>
            <w:noWrap/>
            <w:vAlign w:val="center"/>
          </w:tcPr>
          <w:p w14:paraId="56682CA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nonsense</w:t>
            </w:r>
          </w:p>
        </w:tc>
        <w:tc>
          <w:tcPr>
            <w:tcW w:w="1139" w:type="dxa"/>
            <w:shd w:val="clear" w:color="auto" w:fill="FFFF00"/>
            <w:noWrap/>
            <w:vAlign w:val="center"/>
          </w:tcPr>
          <w:p w14:paraId="75865E3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FFFF00"/>
            <w:noWrap/>
            <w:vAlign w:val="center"/>
          </w:tcPr>
          <w:p w14:paraId="3ED8F90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p.Lys612*</w:t>
            </w:r>
          </w:p>
        </w:tc>
        <w:tc>
          <w:tcPr>
            <w:tcW w:w="1134" w:type="dxa"/>
            <w:shd w:val="clear" w:color="auto" w:fill="FFFF00"/>
            <w:noWrap/>
            <w:vAlign w:val="center"/>
          </w:tcPr>
          <w:p w14:paraId="24D6A9C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27 y</w:t>
            </w:r>
          </w:p>
        </w:tc>
        <w:tc>
          <w:tcPr>
            <w:tcW w:w="1531" w:type="dxa"/>
            <w:shd w:val="clear" w:color="auto" w:fill="FFFF00"/>
            <w:noWrap/>
            <w:vAlign w:val="center"/>
          </w:tcPr>
          <w:p w14:paraId="5A3B48F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FFFF00"/>
            <w:noWrap/>
            <w:vAlign w:val="center"/>
          </w:tcPr>
          <w:p w14:paraId="2F6C507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Gently Downsloping</w:t>
            </w:r>
          </w:p>
        </w:tc>
        <w:tc>
          <w:tcPr>
            <w:tcW w:w="992" w:type="dxa"/>
            <w:shd w:val="clear" w:color="auto" w:fill="FFFF00"/>
            <w:noWrap/>
            <w:vAlign w:val="center"/>
          </w:tcPr>
          <w:p w14:paraId="6957489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548953A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Hu et al. 2018</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{"citationID":"wDuKwIEj","properties":{"formattedCitation":"[37]","plainCitation":"[37]","noteIndex":0},"citationItems":[{"id":279,"uris":["http://zotero.org/users/13427954/items/LKTFZHLP"],"itemData":{"id":279,"type":"article-journal","abstract":"Nonsyndromic hearing loss has been shown to have high genetic heterogeneity. In this report, we aimed to disclose the genetic causes of the subjects from the ten Chinese deaf families who did not have pathogenic common genes/mutation. Next-generation sequencing (NGS) of 142 known deafness genes was performed in the probands of ten families followed by cosegregation analysis of all family members. We identified novel pathogenic variants in six families including p.D1806E/p.R1588W, p.R964W/p.R1588W, and p.G17C/p.G1449D in\n              CDH23\n              ; p.T584M/p.D1939N in\n              LOXHD1\n              ; p.P1225L in\n              MYO7A\n              ; and p.K612X in\n              EYA4\n              . Sanger sequencing confirmed that these mutations segregated with the hearing loss of each family. In four families, no pathogenic variants were identified. Our study provided better understanding of the mutation spectrum of hearing loss in the Chinese population.","container-title":"Neural Plasticity","DOI":"10.1155/2018/4920980","ISSN":"2090-5904, 1687-5443","journalAbbreviation":"Neural Plasticity","language":"en","page":"1-7","source":"DOI.org (Crossref)","title":"Genetic Etiology Study of Ten Chinese Families with Nonsyndromic Hearing Loss","volume":"2018","author":[{"family":"Hu","given":"Songqun"},{"family":"Sun","given":"Feifei"},{"family":"Zhang","given":"Jie"},{"family":"Tang","given":"Yan"},{"family":"Qiu","given":"Jinhong"},{"family":"Wang","given":"Zhixia"},{"family":"Zhang","given":"Luping"}],"issued":{"date-parts":[["2018",7,5]]}}}],"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[37]</w:t>
            </w:r>
            <w:r>
              <w:rPr>
                <w:rFonts w:ascii="Times New Roman" w:hAnsi="Times New Roman" w:cs="Times New Roman"/>
                <w:sz w:val="16"/>
                <w:szCs w:val="16"/>
              </w:rPr>
              <w:fldChar w:fldCharType="end"/>
            </w:r>
          </w:p>
        </w:tc>
      </w:tr>
      <w:tr w:rsidR="00A6485A" w14:paraId="6E6C44A7" w14:textId="77777777">
        <w:trPr>
          <w:trHeight w:val="454"/>
        </w:trPr>
        <w:tc>
          <w:tcPr>
            <w:tcW w:w="1980" w:type="dxa"/>
            <w:shd w:val="clear" w:color="auto" w:fill="FFFF00"/>
            <w:noWrap/>
            <w:vAlign w:val="center"/>
          </w:tcPr>
          <w:p w14:paraId="67B4B66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c.1855T&gt;G</w:t>
            </w:r>
          </w:p>
        </w:tc>
        <w:tc>
          <w:tcPr>
            <w:tcW w:w="992" w:type="dxa"/>
            <w:shd w:val="clear" w:color="auto" w:fill="FFFF00"/>
            <w:noWrap/>
            <w:vAlign w:val="center"/>
          </w:tcPr>
          <w:p w14:paraId="1AC5780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Exon 20</w:t>
            </w:r>
          </w:p>
        </w:tc>
        <w:tc>
          <w:tcPr>
            <w:tcW w:w="1276" w:type="dxa"/>
            <w:shd w:val="clear" w:color="auto" w:fill="FFFF00"/>
            <w:noWrap/>
            <w:vAlign w:val="center"/>
          </w:tcPr>
          <w:p w14:paraId="2499DD9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missense</w:t>
            </w:r>
          </w:p>
        </w:tc>
        <w:tc>
          <w:tcPr>
            <w:tcW w:w="1139" w:type="dxa"/>
            <w:shd w:val="clear" w:color="auto" w:fill="FFFF00"/>
            <w:noWrap/>
            <w:vAlign w:val="center"/>
          </w:tcPr>
          <w:p w14:paraId="3DD69CC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eyaHR</w:t>
            </w:r>
          </w:p>
        </w:tc>
        <w:tc>
          <w:tcPr>
            <w:tcW w:w="1755" w:type="dxa"/>
            <w:shd w:val="clear" w:color="auto" w:fill="FFFF00"/>
            <w:noWrap/>
            <w:vAlign w:val="center"/>
          </w:tcPr>
          <w:p w14:paraId="6D4A787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p.Trp619Gly</w:t>
            </w:r>
          </w:p>
        </w:tc>
        <w:tc>
          <w:tcPr>
            <w:tcW w:w="1134" w:type="dxa"/>
            <w:shd w:val="clear" w:color="auto" w:fill="FFFF00"/>
            <w:noWrap/>
            <w:vAlign w:val="center"/>
          </w:tcPr>
          <w:p w14:paraId="5CFBF06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shd w:val="clear" w:color="auto" w:fill="FFFF00"/>
            <w:noWrap/>
            <w:vAlign w:val="center"/>
          </w:tcPr>
          <w:p w14:paraId="484184F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531" w:type="dxa"/>
            <w:shd w:val="clear" w:color="auto" w:fill="FFFF00"/>
            <w:noWrap/>
            <w:vAlign w:val="center"/>
          </w:tcPr>
          <w:p w14:paraId="1497D04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992" w:type="dxa"/>
            <w:shd w:val="clear" w:color="auto" w:fill="FFFF00"/>
            <w:noWrap/>
            <w:vAlign w:val="center"/>
          </w:tcPr>
          <w:p w14:paraId="1F1D082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37CDD4D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Xiao et al. 2019</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{"citationID":"Frkk6smk","properties":{"formattedCitation":"[38]","plainCitation":"[38]","noteIndex":0},"citationItems":[{"id":162,"uris":["http://zotero.org/users/13427954/items/WBC8GRYX"],"itemData":{"id":162,"type":"article-journal","abstract":"The aim of this study was to identify the novel missense eya4 mutation which cause autosomal dominant non syndromic hearing loss In a Chinese family. Hearing loss is the most common sensory deficit in humans, but the middle-frequency sensorineural hearing loss (MFSNHL) is rare among hereditary non-syndromic hearing loss, and EYA4 is one of the genes reported to be associated with MFSNHL. A genetic analysis of a Chinese family with autosomal dominant non‑syndromic progressive hearing impairment was conducted and assessed. Targeted exome sequencing, conducted using DNA samples of an affected member in this family, revealed a novel heterozygous missense mutation c.1855T&amp;gt;G in exon 20 of EYA4, causing amino-acid (aa) substitution Gly for Trp at a conserved position aa-619. The p.W619G mutation related to hearing loss in this Chinese family was validated by Sanger sequencing. Bioinformatic analysis confirmed the pathogenic effects of this mutation. We identified the novel missense mutation c.1855T&amp;gt;G (p.W619G) in EYA4 causing autosomal dominant non-syndromic hearing impairment in the selected Chinese family.","container-title":"Cellular and Molecular Biology (Noisy-Le-Grand, France)","ISSN":"1165-158X","issue":"3","journalAbbreviation":"Cell Mol Biol (Noisy-le-grand)","language":"eng","note":"PMID: 30942159","page":"84-88","source":"PubMed","title":"Identification of a novel missense eya4 mutation causing autosomal dominant non‑syndromic hearing loss in a chinese family","volume":"65","author":[{"family":"Xiao","given":"Shu-Ying"},{"family":"Qu","given":"Jing"},{"family":"Zhang","given":"Qin"},{"family":"Ao","given":"Ting"},{"family":"Zhang","given":"Jun"},{"family":"Zhang","given":"Rui-Hua"}],"issued":{"date-parts":[["2019",3,31]]}}}],"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[38]</w:t>
            </w:r>
            <w:r>
              <w:rPr>
                <w:rFonts w:ascii="Times New Roman" w:hAnsi="Times New Roman" w:cs="Times New Roman"/>
                <w:sz w:val="16"/>
                <w:szCs w:val="16"/>
              </w:rPr>
              <w:fldChar w:fldCharType="end"/>
            </w:r>
          </w:p>
        </w:tc>
      </w:tr>
      <w:tr w:rsidR="00A6485A" w14:paraId="4AEF11E4" w14:textId="77777777">
        <w:trPr>
          <w:trHeight w:val="454"/>
        </w:trPr>
        <w:tc>
          <w:tcPr>
            <w:tcW w:w="1980" w:type="dxa"/>
            <w:shd w:val="clear" w:color="auto" w:fill="C5E0B3" w:themeFill="accent6" w:themeFillTint="66"/>
            <w:noWrap/>
            <w:vAlign w:val="center"/>
          </w:tcPr>
          <w:p w14:paraId="4A92AC1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Deletion 9.5</w:t>
            </w:r>
            <w:r>
              <w:rPr>
                <w:rFonts w:ascii="Times New Roman" w:hAnsi="Times New Roman" w:cs="Times New Roman" w:hint="eastAsia"/>
                <w:sz w:val="16"/>
                <w:szCs w:val="16"/>
              </w:rPr>
              <w:t>m</w:t>
            </w:r>
            <w:r>
              <w:rPr>
                <w:rFonts w:ascii="Times New Roman" w:hAnsi="Times New Roman" w:cs="Times New Roman"/>
                <w:sz w:val="16"/>
                <w:szCs w:val="16"/>
              </w:rPr>
              <w:t xml:space="preserve">b </w:t>
            </w:r>
          </w:p>
        </w:tc>
        <w:tc>
          <w:tcPr>
            <w:tcW w:w="992" w:type="dxa"/>
            <w:shd w:val="clear" w:color="auto" w:fill="C5E0B3" w:themeFill="accent6" w:themeFillTint="66"/>
            <w:vAlign w:val="center"/>
          </w:tcPr>
          <w:p w14:paraId="77E1884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Ex4 </w:t>
            </w:r>
            <w:r>
              <w:rPr>
                <w:rFonts w:ascii="Times New Roman" w:hAnsi="Times New Roman" w:cs="Times New Roman" w:hint="eastAsia"/>
                <w:sz w:val="16"/>
                <w:szCs w:val="16"/>
              </w:rPr>
              <w:t>-</w:t>
            </w:r>
            <w:r>
              <w:rPr>
                <w:rFonts w:ascii="Times New Roman" w:hAnsi="Times New Roman" w:cs="Times New Roman"/>
                <w:sz w:val="16"/>
                <w:szCs w:val="16"/>
              </w:rPr>
              <w:t>20</w:t>
            </w:r>
          </w:p>
        </w:tc>
        <w:tc>
          <w:tcPr>
            <w:tcW w:w="1276" w:type="dxa"/>
            <w:shd w:val="clear" w:color="auto" w:fill="C5E0B3" w:themeFill="accent6" w:themeFillTint="66"/>
            <w:noWrap/>
            <w:vAlign w:val="center"/>
          </w:tcPr>
          <w:p w14:paraId="22372C3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C5E0B3" w:themeFill="accent6" w:themeFillTint="66"/>
            <w:noWrap/>
            <w:vAlign w:val="center"/>
          </w:tcPr>
          <w:p w14:paraId="39A935F1" w14:textId="77777777" w:rsidR="00A6485A" w:rsidRDefault="00A6485A">
            <w:pPr>
              <w:spacing w:line="360" w:lineRule="auto"/>
              <w:rPr>
                <w:rFonts w:ascii="Times New Roman" w:hAnsi="Times New Roman" w:cs="Times New Roman"/>
                <w:sz w:val="16"/>
                <w:szCs w:val="16"/>
              </w:rPr>
            </w:pPr>
          </w:p>
        </w:tc>
        <w:tc>
          <w:tcPr>
            <w:tcW w:w="1755" w:type="dxa"/>
            <w:shd w:val="clear" w:color="auto" w:fill="C5E0B3" w:themeFill="accent6" w:themeFillTint="66"/>
            <w:noWrap/>
            <w:vAlign w:val="center"/>
          </w:tcPr>
          <w:p w14:paraId="2B873C36" w14:textId="77777777" w:rsidR="00A6485A" w:rsidRDefault="00A6485A">
            <w:pPr>
              <w:spacing w:line="360" w:lineRule="auto"/>
              <w:rPr>
                <w:rFonts w:ascii="Times New Roman" w:hAnsi="Times New Roman" w:cs="Times New Roman"/>
                <w:sz w:val="16"/>
                <w:szCs w:val="16"/>
              </w:rPr>
            </w:pPr>
          </w:p>
        </w:tc>
        <w:tc>
          <w:tcPr>
            <w:tcW w:w="1134" w:type="dxa"/>
            <w:shd w:val="clear" w:color="auto" w:fill="C5E0B3" w:themeFill="accent6" w:themeFillTint="66"/>
            <w:noWrap/>
            <w:vAlign w:val="center"/>
          </w:tcPr>
          <w:p w14:paraId="7E1DBF6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13 y</w:t>
            </w:r>
          </w:p>
        </w:tc>
        <w:tc>
          <w:tcPr>
            <w:tcW w:w="1531" w:type="dxa"/>
            <w:shd w:val="clear" w:color="auto" w:fill="C5E0B3" w:themeFill="accent6" w:themeFillTint="66"/>
            <w:noWrap/>
            <w:vAlign w:val="center"/>
          </w:tcPr>
          <w:p w14:paraId="5644BFD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Severe</w:t>
            </w:r>
          </w:p>
        </w:tc>
        <w:tc>
          <w:tcPr>
            <w:tcW w:w="1531" w:type="dxa"/>
            <w:shd w:val="clear" w:color="auto" w:fill="C5E0B3" w:themeFill="accent6" w:themeFillTint="66"/>
            <w:noWrap/>
            <w:vAlign w:val="center"/>
          </w:tcPr>
          <w:p w14:paraId="267F6FE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Low/High freq.</w:t>
            </w:r>
          </w:p>
        </w:tc>
        <w:tc>
          <w:tcPr>
            <w:tcW w:w="992" w:type="dxa"/>
            <w:shd w:val="clear" w:color="auto" w:fill="C5E0B3" w:themeFill="accent6" w:themeFillTint="66"/>
            <w:noWrap/>
            <w:vAlign w:val="center"/>
          </w:tcPr>
          <w:p w14:paraId="01F47C2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1B4BEDD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nEZWiF8P","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3D131DE2" w14:textId="77777777">
        <w:trPr>
          <w:trHeight w:val="454"/>
        </w:trPr>
        <w:tc>
          <w:tcPr>
            <w:tcW w:w="1980" w:type="dxa"/>
            <w:shd w:val="clear" w:color="auto" w:fill="C5E0B3" w:themeFill="accent6" w:themeFillTint="66"/>
            <w:noWrap/>
            <w:vAlign w:val="center"/>
          </w:tcPr>
          <w:p w14:paraId="508E33B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Deletion 12,835 bp</w:t>
            </w:r>
          </w:p>
        </w:tc>
        <w:tc>
          <w:tcPr>
            <w:tcW w:w="992" w:type="dxa"/>
            <w:shd w:val="clear" w:color="auto" w:fill="C5E0B3" w:themeFill="accent6" w:themeFillTint="66"/>
            <w:vAlign w:val="center"/>
          </w:tcPr>
          <w:p w14:paraId="7A61DB4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Ex6-10</w:t>
            </w:r>
          </w:p>
        </w:tc>
        <w:tc>
          <w:tcPr>
            <w:tcW w:w="1276" w:type="dxa"/>
            <w:shd w:val="clear" w:color="auto" w:fill="C5E0B3" w:themeFill="accent6" w:themeFillTint="66"/>
            <w:noWrap/>
            <w:vAlign w:val="center"/>
          </w:tcPr>
          <w:p w14:paraId="1726F63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C5E0B3" w:themeFill="accent6" w:themeFillTint="66"/>
            <w:noWrap/>
            <w:vAlign w:val="center"/>
          </w:tcPr>
          <w:p w14:paraId="4CBF416A" w14:textId="77777777" w:rsidR="00A6485A" w:rsidRDefault="00A6485A">
            <w:pPr>
              <w:spacing w:line="360" w:lineRule="auto"/>
              <w:rPr>
                <w:rFonts w:ascii="Times New Roman" w:hAnsi="Times New Roman" w:cs="Times New Roman"/>
                <w:sz w:val="16"/>
                <w:szCs w:val="16"/>
              </w:rPr>
            </w:pPr>
          </w:p>
        </w:tc>
        <w:tc>
          <w:tcPr>
            <w:tcW w:w="1755" w:type="dxa"/>
            <w:shd w:val="clear" w:color="auto" w:fill="C5E0B3" w:themeFill="accent6" w:themeFillTint="66"/>
            <w:noWrap/>
            <w:vAlign w:val="center"/>
          </w:tcPr>
          <w:p w14:paraId="603D5F44" w14:textId="77777777" w:rsidR="00A6485A" w:rsidRDefault="00A6485A">
            <w:pPr>
              <w:spacing w:line="360" w:lineRule="auto"/>
              <w:rPr>
                <w:rFonts w:ascii="Times New Roman" w:hAnsi="Times New Roman" w:cs="Times New Roman"/>
                <w:sz w:val="16"/>
                <w:szCs w:val="16"/>
              </w:rPr>
            </w:pPr>
          </w:p>
        </w:tc>
        <w:tc>
          <w:tcPr>
            <w:tcW w:w="1134" w:type="dxa"/>
            <w:shd w:val="clear" w:color="auto" w:fill="C5E0B3" w:themeFill="accent6" w:themeFillTint="66"/>
            <w:noWrap/>
            <w:vAlign w:val="center"/>
          </w:tcPr>
          <w:p w14:paraId="2D7C92C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23y</w:t>
            </w:r>
          </w:p>
        </w:tc>
        <w:tc>
          <w:tcPr>
            <w:tcW w:w="1531" w:type="dxa"/>
            <w:shd w:val="clear" w:color="auto" w:fill="C5E0B3" w:themeFill="accent6" w:themeFillTint="66"/>
            <w:noWrap/>
            <w:vAlign w:val="center"/>
          </w:tcPr>
          <w:p w14:paraId="1F18161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severe</w:t>
            </w:r>
          </w:p>
        </w:tc>
        <w:tc>
          <w:tcPr>
            <w:tcW w:w="1531" w:type="dxa"/>
            <w:shd w:val="clear" w:color="auto" w:fill="C5E0B3" w:themeFill="accent6" w:themeFillTint="66"/>
            <w:noWrap/>
            <w:vAlign w:val="center"/>
          </w:tcPr>
          <w:p w14:paraId="7A15425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LF/HF/Flat</w:t>
            </w:r>
          </w:p>
        </w:tc>
        <w:tc>
          <w:tcPr>
            <w:tcW w:w="992" w:type="dxa"/>
            <w:shd w:val="clear" w:color="auto" w:fill="C5E0B3" w:themeFill="accent6" w:themeFillTint="66"/>
            <w:noWrap/>
            <w:vAlign w:val="center"/>
          </w:tcPr>
          <w:p w14:paraId="1C9F858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2ED1AE2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Ishino et al.2021</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{"citationID":"MiIm2Rei","properties":{"formattedCitation":"[13]","plainCitation":"[13]","noteIndex":0},"citationItems":[{"id":101,"uris":["http://zotero.org/users/13427954/items/LS3HPLGR"],"itemData":{"id":101,"type":"article-journal","abstract":"Objective:\n              \n                Eyes absent 4 (\n                EYA4\n                ) is the causative gene of autosomal dominant non-syndromic hereditary hearing loss, DFNA10. We aimed to identify a copy number variation of\n                EYA4\n                in a non-syndromic sensory neural hearing loss pedigree.\n              \n            \n            \n              Family and Clinical Evaluation:\n              A Japanese family showing late-onset and progressive hearing loss was evaluated. A pattern of autosomal dominant inheritance of hearing loss was recognized in the pedigree. No cardiac disease was observed in any of the individuals.\n            \n            \n              Methods:\n              Targeted exon sequencing was performed using massively parallel DNA sequencing (MPS) analysis. Scanning of the array comparative genomic hybridization (aCGH) was completed and the copy number variation (CNV) data from the aCGH analysis was confirmed by matching all CNV calls with MPS analysis. Breakpoint detection was performed by whole-genome sequencing and direct sequencing. Sequencing results were examined, and co-segregation analysis of hearing loss was completed.\n            \n            \n              Results:\n              \n                We identified a novel hemizygous indel that showed CNV in the\n                EYA4\n                gene from the position 133,457,057 to 133,469,892 on chromosome 6 (build GRCh38/hg38) predicted as p.(Val124_Pro323del), and that was segregated with post-lingual and progressive autosomal dominant sensorineural hearing loss by aCGH analysis.\n              \n            \n            \n              Conclusion:\n              \n                Based on the theory of genotype–phenotype correlation with\n                EYA4\n                mutations in terms of hearing loss and comorbid dilated cardiomyopathy, the region of amino acids 124 to 343 is hypothesized not to be the pathogenic region causing dilated cardiomyopathy. Additionally, the theory of genotype–phenotype correlation about the prevalence of dilated cardiomyopathy is thought to be rejected because of no correlation of deleted amino acid region with the prevalence of dilated cardiomyopathy. These results will help expand the research on both the coordination of cochlear transcriptional regulation and normal cardiac gene regulation via\n                EYA4\n                transcripts and provide information on the genotype–phenotype correlations of DFNA10 hearing loss.","container-title":"Otology &amp; Neurotology","DOI":"10.1097/MAO.0000000000003169","ISSN":"1531-7129, 1537-4505","issue":"7","language":"en","page":"e866-e874","source":"DOI.org (Crossref)","title":"Identification of a Novel Copy Number Variation of EYA4 Causing Autosomal Dominant Non-syndromic Hearing Loss","volume":"42","author":[{"family":"Ishino","given":"Takashi"},{"family":"Ogawa","given":"Yui"},{"family":"Sonoyama","given":"Toru"},{"family":"Taruya","given":"Takayuki"},{"family":"Kono","given":"Takashi"},{"family":"Hamamoto","given":"Takao"},{"family":"Ueda","given":"Tsutomu"},{"family":"Takeno","given":"Sachio"},{"family":"Moteki","given":"Hideaki"},{"family":"Nishio","given":"Shin-ya"},{"family":"Usami","given":"Shin-ichi"},{"family":"Nagano","given":"Yuka"},{"family":"Yoshimura","given":"Akiko"},{"family":"Yoshikawa","given":"Kohei"},{"family":"Kato","given":"Mikako"},{"family":"Ichimoto","given":"Masaya"},{"family":"Watanabe","given":"Rina"}],"issued":{"date-parts":[["2021",8]]}}}],"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[13]</w:t>
            </w:r>
            <w:r>
              <w:rPr>
                <w:rFonts w:ascii="Times New Roman" w:hAnsi="Times New Roman" w:cs="Times New Roman"/>
                <w:sz w:val="16"/>
                <w:szCs w:val="16"/>
              </w:rPr>
              <w:fldChar w:fldCharType="end"/>
            </w:r>
          </w:p>
        </w:tc>
      </w:tr>
      <w:tr w:rsidR="00A6485A" w14:paraId="7B9D84C1" w14:textId="77777777">
        <w:trPr>
          <w:trHeight w:val="454"/>
        </w:trPr>
        <w:tc>
          <w:tcPr>
            <w:tcW w:w="1980" w:type="dxa"/>
            <w:shd w:val="clear" w:color="auto" w:fill="C5E0B3" w:themeFill="accent6" w:themeFillTint="66"/>
            <w:noWrap/>
            <w:vAlign w:val="center"/>
          </w:tcPr>
          <w:p w14:paraId="216E296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Deletion 7689bp </w:t>
            </w:r>
          </w:p>
        </w:tc>
        <w:tc>
          <w:tcPr>
            <w:tcW w:w="992" w:type="dxa"/>
            <w:shd w:val="clear" w:color="auto" w:fill="C5E0B3" w:themeFill="accent6" w:themeFillTint="66"/>
            <w:vAlign w:val="center"/>
          </w:tcPr>
          <w:p w14:paraId="1A3797D5"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Ex7 </w:t>
            </w:r>
            <w:r>
              <w:rPr>
                <w:rFonts w:ascii="Times New Roman" w:hAnsi="Times New Roman" w:cs="Times New Roman" w:hint="eastAsia"/>
                <w:sz w:val="16"/>
                <w:szCs w:val="16"/>
              </w:rPr>
              <w:t>-</w:t>
            </w:r>
            <w:r>
              <w:rPr>
                <w:rFonts w:ascii="Times New Roman" w:hAnsi="Times New Roman" w:cs="Times New Roman"/>
                <w:sz w:val="16"/>
                <w:szCs w:val="16"/>
              </w:rPr>
              <w:t>11</w:t>
            </w:r>
          </w:p>
        </w:tc>
        <w:tc>
          <w:tcPr>
            <w:tcW w:w="1276" w:type="dxa"/>
            <w:shd w:val="clear" w:color="auto" w:fill="C5E0B3" w:themeFill="accent6" w:themeFillTint="66"/>
            <w:noWrap/>
            <w:vAlign w:val="center"/>
          </w:tcPr>
          <w:p w14:paraId="61C8956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C5E0B3" w:themeFill="accent6" w:themeFillTint="66"/>
            <w:noWrap/>
            <w:vAlign w:val="center"/>
          </w:tcPr>
          <w:p w14:paraId="671968A3" w14:textId="77777777" w:rsidR="00A6485A" w:rsidRDefault="00A6485A">
            <w:pPr>
              <w:spacing w:line="360" w:lineRule="auto"/>
              <w:rPr>
                <w:rFonts w:ascii="Times New Roman" w:hAnsi="Times New Roman" w:cs="Times New Roman"/>
                <w:sz w:val="16"/>
                <w:szCs w:val="16"/>
              </w:rPr>
            </w:pPr>
          </w:p>
        </w:tc>
        <w:tc>
          <w:tcPr>
            <w:tcW w:w="1755" w:type="dxa"/>
            <w:shd w:val="clear" w:color="auto" w:fill="C5E0B3" w:themeFill="accent6" w:themeFillTint="66"/>
            <w:noWrap/>
            <w:vAlign w:val="center"/>
          </w:tcPr>
          <w:p w14:paraId="54D02096" w14:textId="77777777" w:rsidR="00A6485A" w:rsidRDefault="00A6485A">
            <w:pPr>
              <w:spacing w:line="360" w:lineRule="auto"/>
              <w:rPr>
                <w:rFonts w:ascii="Times New Roman" w:hAnsi="Times New Roman" w:cs="Times New Roman"/>
                <w:sz w:val="16"/>
                <w:szCs w:val="16"/>
              </w:rPr>
            </w:pPr>
          </w:p>
        </w:tc>
        <w:tc>
          <w:tcPr>
            <w:tcW w:w="1134" w:type="dxa"/>
            <w:shd w:val="clear" w:color="auto" w:fill="C5E0B3" w:themeFill="accent6" w:themeFillTint="66"/>
            <w:noWrap/>
            <w:vAlign w:val="center"/>
          </w:tcPr>
          <w:p w14:paraId="4F7EFF7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25 y</w:t>
            </w:r>
          </w:p>
        </w:tc>
        <w:tc>
          <w:tcPr>
            <w:tcW w:w="1531" w:type="dxa"/>
            <w:shd w:val="clear" w:color="auto" w:fill="C5E0B3" w:themeFill="accent6" w:themeFillTint="66"/>
            <w:noWrap/>
            <w:vAlign w:val="center"/>
          </w:tcPr>
          <w:p w14:paraId="561C7F4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 to severe.</w:t>
            </w:r>
          </w:p>
        </w:tc>
        <w:tc>
          <w:tcPr>
            <w:tcW w:w="1531" w:type="dxa"/>
            <w:shd w:val="clear" w:color="auto" w:fill="C5E0B3" w:themeFill="accent6" w:themeFillTint="66"/>
            <w:noWrap/>
            <w:vAlign w:val="center"/>
          </w:tcPr>
          <w:p w14:paraId="1E4BC65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Low/High freq</w:t>
            </w:r>
          </w:p>
        </w:tc>
        <w:tc>
          <w:tcPr>
            <w:tcW w:w="992" w:type="dxa"/>
            <w:shd w:val="clear" w:color="auto" w:fill="C5E0B3" w:themeFill="accent6" w:themeFillTint="66"/>
            <w:noWrap/>
            <w:vAlign w:val="center"/>
          </w:tcPr>
          <w:p w14:paraId="5C04177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2405551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Shinagawa et al.2020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3C7qSkTO","properties":{"formattedCitation":"[5]","plainCitation":"[5]","noteIndex":0},"citationItems":[{"id":128,"uris":["http://zotero.org/users/local/y36QHLPz/items/QXZXPHBV","http://zotero.org/users/13427954/items/QXZXPHBV"],"itemData":{"id":128,"type":"article-journal","abstract":"Abstract\n            \n              Variants in the\n              EYA4\n              gene are known to lead to autosomal dominant non-syndromic hereditary hearing loss, DFNA10. To date, 30 variants have been shown to be responsible for hearing loss in a diverse set of nationalities. To better understand the clinical characteristics and prevalence of DFNA10, we performed genetic screening for\n              EYA4\n              mutations in a large cohort of Japanese hearing loss patients. We selected 1,336 autosomal dominant hearing loss patients among 7,408 unrelated Japanese hearing loss probands and performed targeted genome enrichment and massively parallel sequencing of 68 target genes for all patients. Clinical information of cases with mutations in\n              EYA4\n              was gathered and analyzed from medical charts. Eleven novel\n              EYA4\n              variants (three frameshift variants, three missense variants, two nonsense variants, one splicing variant, and two single-copy number losses) and two previously reported variants were found in 12 probands (0.90%) among the 1,336 autosomal dominant hearing loss families. The audiometric configuration of truncating variants tends to deteriorate for all frequencies, whereas that of non-truncating variants tends to show high-frequency hearing loss, suggesting a new correlation between genotype and phenotype in DFNA10. The rate of hearing loss progression caused by\n              EYA4\n              variants was considered to be 0.63 dB/year, as found in this study and previous reports.","container-title":"Scientific Reports","DOI":"10.1038/s41598-020-60259-0","ISSN":"2045-2322","issue":"1","journalAbbreviation":"Sci Rep","language":"en","page":"3662","source":"DOI.org (Crossref)","title":"Prevalence and clinical features of hearing loss caused by EYA4 variants","volume":"10","author":[{"family":"Shinagawa","given":"Jun"},{"family":"Moteki","given":"Hideaki"},{"family":"Nishio","given":"Shin-ya"},{"family":"Ohyama","given":"Kenji"},{"family":"Otsuki","given":"Koshi"},{"family":"Iwasaki","given":"Satoshi"},{"family":"Masuda","given":"Shin"},{"family":"Oshikawa","given":"Chie"},{"family":"Ohta","given":"Yumi"},{"family":"Arai","given":"Yasuhiro"},{"family":"Takahashi","given":"Masahiro"},{"family":"Sakuma","given":"Naoko"},{"family":"Abe","given":"Satoko"},{"family":"Sakurai","given":"Yuika"},{"family":"Sakaguchi","given":"Hirofumi"},{"family":"Ishino","given":"Takashi"},{"family":"Uehara","given":"Natsumi"},{"family":"Usami","given":"Shin-ichi"}],"issued":{"date-parts":[["2020",2,27]]}}}],"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[5]</w:t>
            </w:r>
            <w:r>
              <w:rPr>
                <w:rFonts w:ascii="Times New Roman" w:hAnsi="Times New Roman" w:cs="Times New Roman"/>
                <w:sz w:val="16"/>
                <w:szCs w:val="16"/>
              </w:rPr>
              <w:fldChar w:fldCharType="end"/>
            </w:r>
          </w:p>
        </w:tc>
      </w:tr>
      <w:tr w:rsidR="00A6485A" w14:paraId="59CE1955" w14:textId="77777777">
        <w:trPr>
          <w:trHeight w:val="454"/>
        </w:trPr>
        <w:tc>
          <w:tcPr>
            <w:tcW w:w="1980" w:type="dxa"/>
            <w:shd w:val="clear" w:color="auto" w:fill="FFFF00"/>
            <w:noWrap/>
            <w:vAlign w:val="center"/>
          </w:tcPr>
          <w:p w14:paraId="64FACB8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Deletion17.4bp </w:t>
            </w:r>
          </w:p>
        </w:tc>
        <w:tc>
          <w:tcPr>
            <w:tcW w:w="992" w:type="dxa"/>
            <w:shd w:val="clear" w:color="auto" w:fill="FFFF00"/>
            <w:noWrap/>
            <w:vAlign w:val="center"/>
          </w:tcPr>
          <w:p w14:paraId="0460191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Ex8-11</w:t>
            </w:r>
          </w:p>
        </w:tc>
        <w:tc>
          <w:tcPr>
            <w:tcW w:w="1276" w:type="dxa"/>
            <w:shd w:val="clear" w:color="auto" w:fill="FFFF00"/>
            <w:noWrap/>
            <w:vAlign w:val="center"/>
          </w:tcPr>
          <w:p w14:paraId="75AEA57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FFFF00"/>
            <w:noWrap/>
            <w:vAlign w:val="center"/>
          </w:tcPr>
          <w:p w14:paraId="480FF0CC" w14:textId="77777777" w:rsidR="00A6485A" w:rsidRDefault="00A6485A">
            <w:pPr>
              <w:spacing w:line="360" w:lineRule="auto"/>
              <w:rPr>
                <w:rFonts w:ascii="Times New Roman" w:hAnsi="Times New Roman" w:cs="Times New Roman"/>
                <w:sz w:val="16"/>
                <w:szCs w:val="16"/>
              </w:rPr>
            </w:pPr>
          </w:p>
        </w:tc>
        <w:tc>
          <w:tcPr>
            <w:tcW w:w="1755" w:type="dxa"/>
            <w:shd w:val="clear" w:color="auto" w:fill="FFFF00"/>
            <w:noWrap/>
            <w:vAlign w:val="center"/>
          </w:tcPr>
          <w:p w14:paraId="26959F19" w14:textId="77777777" w:rsidR="00A6485A" w:rsidRDefault="00A6485A">
            <w:pPr>
              <w:spacing w:line="360" w:lineRule="auto"/>
              <w:rPr>
                <w:rFonts w:ascii="Times New Roman" w:hAnsi="Times New Roman" w:cs="Times New Roman"/>
                <w:sz w:val="16"/>
                <w:szCs w:val="16"/>
              </w:rPr>
            </w:pPr>
          </w:p>
        </w:tc>
        <w:tc>
          <w:tcPr>
            <w:tcW w:w="1134" w:type="dxa"/>
            <w:shd w:val="clear" w:color="auto" w:fill="FFFF00"/>
            <w:noWrap/>
            <w:vAlign w:val="center"/>
          </w:tcPr>
          <w:p w14:paraId="5505458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26-43</w:t>
            </w:r>
          </w:p>
        </w:tc>
        <w:tc>
          <w:tcPr>
            <w:tcW w:w="1531" w:type="dxa"/>
            <w:shd w:val="clear" w:color="auto" w:fill="FFFF00"/>
            <w:noWrap/>
            <w:vAlign w:val="center"/>
          </w:tcPr>
          <w:p w14:paraId="4648C51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Mild to severe</w:t>
            </w:r>
          </w:p>
        </w:tc>
        <w:tc>
          <w:tcPr>
            <w:tcW w:w="1531" w:type="dxa"/>
            <w:shd w:val="clear" w:color="auto" w:fill="FFFF00"/>
            <w:noWrap/>
            <w:vAlign w:val="center"/>
          </w:tcPr>
          <w:p w14:paraId="70BD47D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Cookie bite/flat</w:t>
            </w:r>
          </w:p>
        </w:tc>
        <w:tc>
          <w:tcPr>
            <w:tcW w:w="992" w:type="dxa"/>
            <w:shd w:val="clear" w:color="auto" w:fill="FFFF00"/>
            <w:noWrap/>
            <w:vAlign w:val="center"/>
          </w:tcPr>
          <w:p w14:paraId="287ABA9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Chinese</w:t>
            </w:r>
          </w:p>
        </w:tc>
        <w:tc>
          <w:tcPr>
            <w:tcW w:w="1904" w:type="dxa"/>
            <w:shd w:val="clear" w:color="auto" w:fill="FFFF00"/>
            <w:noWrap/>
            <w:vAlign w:val="center"/>
          </w:tcPr>
          <w:p w14:paraId="0754C31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Zhang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{"citationID":"WNCbTbaS","properties":{"formattedCitation":"[39]","plainCitation":"[39]","noteIndex":0},"citationItems":[{"id":129,"uris":["http://zotero.org/users/13427954/items/WU4YUQCL"],"itemData":{"id":129,"type":"article-journal","abstract":"Conclusion: To our knowledge, this is the ﬁrst report of PJVK gene mutation in a Chinese non-syndromic sensorineural hearing loss (NSHL) family. Our data indicate that the PJVK gene contributes to hearing impairment in the Chinese population, but it is not a major cause. Objective: To investigate the contribution of PJVK mutations to NSHL in the Chinese population. Methods: We screened for the PJVK gene in a sample of 65 autosomal recessive NSHL families without GJB2, SLC26A4, or mitochondrial 12S rRNA gene mutations. Seven pairs of PCR primers were designed to amplify all of the exons and their ﬂanking regions of the PJVK gene. The PCR products were sequenced and analyzed for identiﬁcation of mutations. Results: In all, we identiﬁed one novel frameshift mutation, c.930_931del AC (p.C312W fsX19), co-segregating with the phenotype in one consanguineous family with a prevalence of 1.5% (1/65). The p.C312W fsX19 mutation was just positioned in the zinc-ﬁngers domain, which was important to the function of pejvakin, and resulted in a stop codon after 19 additional amino acids. It was not identiﬁed in the controls and was considered as the causative mutation of family 804566 with autosomal recessive, non-syndromic, prelingual sensorineural hearing impairment.","container-title":"Acta Oto-Laryngologica","DOI":"10.3109/00016489.2014.985799","ISSN":"0001-6489, 1651-2251","issue":"3","journalAbbreviation":"Acta Oto-Laryngologica","language":"en","page":"211-216","source":"DOI.org (Crossref)","title":"Identification of a novel mutation of PJVK in the Chinese non-syndromic hearing loss population with low prevalence of the PJVK mutations","volume":"135","author":[{"family":"Zhang","given":"Qiu-Jing"},{"family":"Lan","given":"Lan"},{"family":"Li","given":"Na"},{"family":"Qi","given":"Yue"},{"family":"Zong","given":"Liang"},{"family":"Shi","given":"Wei"},{"family":"Yu","given":"Lan"},{"family":"Wang","given":"Hui"},{"family":"Yang","given":"Ju"},{"family":"Xie","given":"Lin-Yi"},{"family":"Zhao","given":"Feifan"},{"family":"Wang","given":"Da-Yong"},{"family":"Han","given":"Bing"},{"family":"Wang","given":"Qiu-Ju"}],"issued":{"date-parts":[["2015",3,4]]}}}],"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[39]</w:t>
            </w:r>
            <w:r>
              <w:rPr>
                <w:rFonts w:ascii="Times New Roman" w:hAnsi="Times New Roman" w:cs="Times New Roman"/>
                <w:sz w:val="16"/>
                <w:szCs w:val="16"/>
              </w:rPr>
              <w:fldChar w:fldCharType="end"/>
            </w:r>
          </w:p>
        </w:tc>
      </w:tr>
      <w:tr w:rsidR="00A6485A" w14:paraId="6D7836CE" w14:textId="77777777">
        <w:trPr>
          <w:trHeight w:val="454"/>
        </w:trPr>
        <w:tc>
          <w:tcPr>
            <w:tcW w:w="1980" w:type="dxa"/>
            <w:shd w:val="clear" w:color="auto" w:fill="B4C6E7" w:themeFill="accent5" w:themeFillTint="66"/>
            <w:noWrap/>
            <w:vAlign w:val="center"/>
          </w:tcPr>
          <w:p w14:paraId="52AEBE0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lastRenderedPageBreak/>
              <w:t xml:space="preserve">Deletion 2747bp </w:t>
            </w:r>
          </w:p>
        </w:tc>
        <w:tc>
          <w:tcPr>
            <w:tcW w:w="992" w:type="dxa"/>
            <w:shd w:val="clear" w:color="auto" w:fill="B4C6E7" w:themeFill="accent5" w:themeFillTint="66"/>
            <w:vAlign w:val="center"/>
          </w:tcPr>
          <w:p w14:paraId="14BBE3F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 15-17</w:t>
            </w:r>
          </w:p>
        </w:tc>
        <w:tc>
          <w:tcPr>
            <w:tcW w:w="1276" w:type="dxa"/>
            <w:shd w:val="clear" w:color="auto" w:fill="B4C6E7" w:themeFill="accent5" w:themeFillTint="66"/>
            <w:noWrap/>
            <w:vAlign w:val="center"/>
          </w:tcPr>
          <w:p w14:paraId="072525A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B4C6E7" w:themeFill="accent5" w:themeFillTint="66"/>
            <w:noWrap/>
            <w:vAlign w:val="center"/>
          </w:tcPr>
          <w:p w14:paraId="3722C7AB" w14:textId="77777777" w:rsidR="00A6485A" w:rsidRDefault="00A6485A">
            <w:pPr>
              <w:spacing w:line="360" w:lineRule="auto"/>
              <w:rPr>
                <w:rFonts w:ascii="Times New Roman" w:hAnsi="Times New Roman" w:cs="Times New Roman"/>
                <w:sz w:val="16"/>
                <w:szCs w:val="16"/>
              </w:rPr>
            </w:pPr>
          </w:p>
        </w:tc>
        <w:tc>
          <w:tcPr>
            <w:tcW w:w="1755" w:type="dxa"/>
            <w:shd w:val="clear" w:color="auto" w:fill="B4C6E7" w:themeFill="accent5" w:themeFillTint="66"/>
            <w:noWrap/>
            <w:vAlign w:val="center"/>
          </w:tcPr>
          <w:p w14:paraId="4C52CDF3" w14:textId="77777777" w:rsidR="00A6485A" w:rsidRDefault="00A6485A">
            <w:pPr>
              <w:spacing w:line="360" w:lineRule="auto"/>
              <w:rPr>
                <w:rFonts w:ascii="Times New Roman" w:hAnsi="Times New Roman" w:cs="Times New Roman"/>
                <w:sz w:val="16"/>
                <w:szCs w:val="16"/>
              </w:rPr>
            </w:pPr>
          </w:p>
        </w:tc>
        <w:tc>
          <w:tcPr>
            <w:tcW w:w="1134" w:type="dxa"/>
            <w:shd w:val="clear" w:color="auto" w:fill="B4C6E7" w:themeFill="accent5" w:themeFillTint="66"/>
            <w:noWrap/>
            <w:vAlign w:val="center"/>
          </w:tcPr>
          <w:p w14:paraId="1FB3D38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8 y</w:t>
            </w:r>
          </w:p>
        </w:tc>
        <w:tc>
          <w:tcPr>
            <w:tcW w:w="1531" w:type="dxa"/>
            <w:shd w:val="clear" w:color="auto" w:fill="B4C6E7" w:themeFill="accent5" w:themeFillTint="66"/>
            <w:noWrap/>
            <w:vAlign w:val="center"/>
          </w:tcPr>
          <w:p w14:paraId="50C672E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Moderate</w:t>
            </w:r>
          </w:p>
        </w:tc>
        <w:tc>
          <w:tcPr>
            <w:tcW w:w="1531" w:type="dxa"/>
            <w:shd w:val="clear" w:color="auto" w:fill="B4C6E7" w:themeFill="accent5" w:themeFillTint="66"/>
            <w:noWrap/>
            <w:vAlign w:val="center"/>
          </w:tcPr>
          <w:p w14:paraId="6832DCBC"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Flat</w:t>
            </w:r>
          </w:p>
        </w:tc>
        <w:tc>
          <w:tcPr>
            <w:tcW w:w="992" w:type="dxa"/>
            <w:shd w:val="clear" w:color="auto" w:fill="B4C6E7" w:themeFill="accent5" w:themeFillTint="66"/>
            <w:noWrap/>
            <w:vAlign w:val="center"/>
          </w:tcPr>
          <w:p w14:paraId="024B09D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Spanish</w:t>
            </w:r>
          </w:p>
        </w:tc>
        <w:tc>
          <w:tcPr>
            <w:tcW w:w="1904" w:type="dxa"/>
            <w:shd w:val="clear" w:color="auto" w:fill="B4C6E7" w:themeFill="accent5" w:themeFillTint="66"/>
            <w:noWrap/>
            <w:vAlign w:val="center"/>
          </w:tcPr>
          <w:p w14:paraId="13C4518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Morín et al.2022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DjcU7Nid","properties":{"formattedCitation":"[6]","plainCitation":"[6]","noteIndex":0},"citationItems":[{"id":126,"uris":["http://zotero.org/users/local/y36QHLPz/items/KAARL4Z9","http://zotero.org/users/13427954/items/KAARL4Z9"],"itemData":{"id":126,"type":"article-journal","abstract":"Abstract\n            \n              The mutational spectrum of many genes and their contribution to the global prevalence of hereditary hearing loss is still widely unknown. In this study, we have performed the mutational screening of\n              EYA4\n              gene by DHLPC and NGS in a large cohort of 531 unrelated Spanish probands and one Australian family with autosomal dominant non-syndromic hearing loss (ADNSHL). In total, 9 novel\n              EYA4\n              variants have been identified, 3 in the EYA4 variable region (c.160G &gt; T; p.Glu54*, c.781del; p.Thr261Argfs*34 and c.1078C &gt; A; p.Pro360Thr) and 6 in the EYA-HR domain (c.1107G &gt; T; p.Glu369Asp, c.1122G &gt; T; p.Trp374Cys, c.1281G &gt; A; p.Glu427Glu, c.1282-1G &gt; A, c.1601C &gt; G; p.S534* and an heterozygous copy number loss encompassing exons 15 to 17). The contribution of\n              EYA4\n              mutations to ADNSHL in Spain is, therefore, very limited (~1.5%, 8/531). The pathophysiology of some of these novel variants has been explored. Transient expression of the c-myc-tagged EYA4 mutants in mammalian COS7 cells revealed absence of expression of the p.S534* mutant, consistent with a model of haploinsufficiency reported for all previously described\n              EYA4\n              truncating mutations. However, normal expression pattern and translocation to the nucleus were observed for the p.Glu369Asp mutant in presence of SIX1. Complementary\n              in silico\n              analysis suggested that c.1107G &gt; T (p.Glu369Asp), c.1281G &gt; A (p.Glu427Glu) and c.1282-1G &gt; A variants alter normal splicing. Minigene assays in NIH3T3 cells further confirmed that all 3 variants caused exon skipping resulting in frameshifts that lead to premature stop codons. Our study reports the first likely pathogenic synonymous variant linked to DFNA10 and provide further evidence for haploinsufficiency as the common underlying disease-causing mechanism for DFNA10-related hearing loss.","container-title":"Scientific Reports","DOI":"10.1038/s41598-020-63256-5","ISSN":"2045-2322","issue":"1","journalAbbreviation":"Sci Rep","language":"en","page":"6213","source":"DOI.org (Crossref)","title":"Insights into the pathophysiology of DFNA10 hearing loss associated with novel EYA4 variants","volume":"10","author":[{"family":"Morín","given":"Matias"},{"family":"Borreguero","given":"Lucía"},{"family":"Booth","given":"Kevin T"},{"family":"Lachgar","given":"María"},{"family":"Huygen","given":"Patrick"},{"family":"Villamar","given":"Manuela"},{"family":"Mayo","given":"Fernando"},{"family":"Barrio","given":"Luis Carlos"},{"family":"Santos Serrão De Castro","given":"Luciana"},{"family":"Morales","given":"Carmelo"},{"family":"Del Castillo","given":"Ignacio"},{"family":"Arellano","given":"Beatriz"},{"family":"Tellería","given":"Dolores"},{"family":"Smith","given":"Richard J. H."},{"family":"Azaiez","given":"Hela"},{"family":"Moreno Pelayo","given":"M. A."}],"issued":{"date-parts":[["2020",4,10]]}}}],"schema":"https://github.com/citation-style-language/schema/raw/master/csl-citation.json"}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[6]</w:t>
            </w:r>
            <w:r>
              <w:rPr>
                <w:rFonts w:ascii="Times New Roman" w:hAnsi="Times New Roman" w:cs="Times New Roman"/>
                <w:sz w:val="16"/>
                <w:szCs w:val="16"/>
              </w:rPr>
              <w:fldChar w:fldCharType="end"/>
            </w:r>
          </w:p>
        </w:tc>
      </w:tr>
      <w:tr w:rsidR="00A6485A" w14:paraId="10730B20" w14:textId="77777777">
        <w:trPr>
          <w:trHeight w:val="454"/>
        </w:trPr>
        <w:tc>
          <w:tcPr>
            <w:tcW w:w="1980" w:type="dxa"/>
            <w:noWrap/>
            <w:vAlign w:val="center"/>
          </w:tcPr>
          <w:p w14:paraId="37DB655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Deletion 4,846pb</w:t>
            </w:r>
          </w:p>
          <w:p w14:paraId="76CC633E"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c.581_804del)</w:t>
            </w:r>
          </w:p>
        </w:tc>
        <w:tc>
          <w:tcPr>
            <w:tcW w:w="992" w:type="dxa"/>
            <w:noWrap/>
            <w:vAlign w:val="center"/>
          </w:tcPr>
          <w:p w14:paraId="1A084626"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In9,Ex10,In10</w:t>
            </w:r>
          </w:p>
        </w:tc>
        <w:tc>
          <w:tcPr>
            <w:tcW w:w="1276" w:type="dxa"/>
            <w:noWrap/>
            <w:vAlign w:val="center"/>
          </w:tcPr>
          <w:p w14:paraId="4A77E6C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noWrap/>
            <w:vAlign w:val="center"/>
          </w:tcPr>
          <w:p w14:paraId="74DCA133" w14:textId="77777777" w:rsidR="00A6485A" w:rsidRDefault="00A6485A">
            <w:pPr>
              <w:spacing w:line="360" w:lineRule="auto"/>
              <w:rPr>
                <w:rFonts w:ascii="Times New Roman" w:hAnsi="Times New Roman" w:cs="Times New Roman"/>
                <w:sz w:val="16"/>
                <w:szCs w:val="16"/>
              </w:rPr>
            </w:pPr>
          </w:p>
        </w:tc>
        <w:tc>
          <w:tcPr>
            <w:tcW w:w="1755" w:type="dxa"/>
            <w:noWrap/>
            <w:vAlign w:val="center"/>
          </w:tcPr>
          <w:p w14:paraId="4F2123F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p.Asp194Glyfs*30</w:t>
            </w:r>
          </w:p>
        </w:tc>
        <w:tc>
          <w:tcPr>
            <w:tcW w:w="1134" w:type="dxa"/>
            <w:noWrap/>
            <w:vAlign w:val="center"/>
          </w:tcPr>
          <w:p w14:paraId="456E10CD"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2nd decade</w:t>
            </w:r>
          </w:p>
        </w:tc>
        <w:tc>
          <w:tcPr>
            <w:tcW w:w="1531" w:type="dxa"/>
            <w:noWrap/>
            <w:vAlign w:val="center"/>
          </w:tcPr>
          <w:p w14:paraId="2A87604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SNHL + DCM  </w:t>
            </w:r>
          </w:p>
        </w:tc>
        <w:tc>
          <w:tcPr>
            <w:tcW w:w="1531" w:type="dxa"/>
            <w:noWrap/>
            <w:vAlign w:val="center"/>
          </w:tcPr>
          <w:p w14:paraId="2685CC3A"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Mid/flat freq.</w:t>
            </w:r>
          </w:p>
        </w:tc>
        <w:tc>
          <w:tcPr>
            <w:tcW w:w="992" w:type="dxa"/>
            <w:noWrap/>
            <w:vAlign w:val="center"/>
          </w:tcPr>
          <w:p w14:paraId="75F8A2A3"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NA</w:t>
            </w:r>
          </w:p>
        </w:tc>
        <w:tc>
          <w:tcPr>
            <w:tcW w:w="1904" w:type="dxa"/>
            <w:noWrap/>
            <w:vAlign w:val="center"/>
          </w:tcPr>
          <w:p w14:paraId="5E8431B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Schönberger et al. 2000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{"citationID":"ZCe2NA7G","properties":{"formattedCitation":"[40]","plainCitation":"[40]","noteIndex":0},"citationItems":[{"id":298,"uris":["http://zotero.org/users/13427954/items/SKT6Z7ZW"],"itemData":{"id":298,"type":"article-journal","abstract":"BACKGROUND: Dilated cardiomyopathy (DCM) and sensorineural hearing loss (SNHL) are prevalent disorders that occur alone or as components of complex multisystem syndromes. Multiple genetic loci have been identified that, when mutated, cause DCM or SNHL. However, the isolated coinheritance of these phenotypes has not been previously recognized.\nMETHODS AND RESULTS: Clinical evaluations of 2 kindreds demonstrated autosomal-dominant transmission and age-related penetrance of both SNHL and DCM in the absence of other disorders. Moderate-to-severe hearing loss was evident by late adolescence, whereas ventricular dysfunction produced progressive congestive heart failure after the fourth decade. DNA samples from the larger kindred (29 individuals) were used to perform a genome-wide linkage study. Polymorphic loci on chromosome 6q23 to 24 were coinherited with the disease (maximum logarithm of odds score, 4.88 at locus D6S2411). The disease locus must lie within a 2.8 cM interval between loci D6S975 and D6S292, a location that overlaps an SNHL disease locus (DFNA10). However, DFNA10 does not cause cardiomyopathy. The epicardin gene, which encodes a transcription factor expressed in the myocardium and cochlea, was assessed as a candidate gene by nucleotide sequence analysis; no mutations were identified.\nCONCLUSIONS: A syndrome of juvenile-onset SNHL and adult-onset DCM is caused by a mutation at 6q23 to 24 (locus designated CMD1J). Recognition of this cardioauditory disorder allows for the identification of young adults at risk for serious heart disease, thereby enabling early intervention. Definition of the molecular cause of this syndrome may provide new information about important cell physiology common to both the ear and heart.","container-title":"Circulation","DOI":"10.1161/01.cir.101.15.1812","ISSN":"1524-4539","issue":"15","journalAbbreviation":"Circulation","language":"eng","note":"PMID: 10769282","page":"1812-1818","source":"PubMed","title":"Dilated cardiomyopathy and sensorineural hearing loss: a heritable syndrome that maps to 6q23-24","title-short":"Dilated cardiomyopathy and sensorineural hearing loss","volume":"101","author":[{"family":"Schönberger","given":"J."},{"family":"Levy","given":"H."},{"family":"Grünig","given":"E."},{"family":"Sangwatanaroj","given":"S."},{"family":"Fatkin","given":"D."},{"family":"MacRae","given":"C."},{"family":"Stäcker","given":"H."},{"family":"Halpin","given":"C."},{"family":"Eavey","given":"R."},{"family":"Philbin","given":"E. F."},{"family":"Katus","given":"H."},{"family":"Seidman","given":"J. G."},{"family":"Seidman","given":"C. E."}],"issued":{"date-parts":[["2000",4,18]]}}}],"schema":"https://github.com/citation-style-language/schema/raw/master/csl-citation.json"}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[40]</w:t>
            </w:r>
            <w:r>
              <w:rPr>
                <w:rFonts w:ascii="Times New Roman" w:hAnsi="Times New Roman" w:cs="Times New Roman"/>
                <w:sz w:val="16"/>
                <w:szCs w:val="16"/>
              </w:rPr>
              <w:fldChar w:fldCharType="end"/>
            </w:r>
          </w:p>
        </w:tc>
      </w:tr>
      <w:tr w:rsidR="00A6485A" w14:paraId="3D6C54BC" w14:textId="77777777">
        <w:trPr>
          <w:trHeight w:val="454"/>
        </w:trPr>
        <w:tc>
          <w:tcPr>
            <w:tcW w:w="1980" w:type="dxa"/>
            <w:shd w:val="clear" w:color="auto" w:fill="C5E0B3" w:themeFill="accent6" w:themeFillTint="66"/>
            <w:vAlign w:val="center"/>
          </w:tcPr>
          <w:p w14:paraId="287E8A77"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Deletion 10.4 </w:t>
            </w:r>
            <w:r>
              <w:rPr>
                <w:rFonts w:ascii="Times New Roman" w:hAnsi="Times New Roman" w:cs="Times New Roman" w:hint="eastAsia"/>
                <w:sz w:val="16"/>
                <w:szCs w:val="16"/>
              </w:rPr>
              <w:t>mb</w:t>
            </w:r>
          </w:p>
          <w:p w14:paraId="1992C7C8" w14:textId="77777777" w:rsidR="00A6485A" w:rsidRDefault="00A6485A">
            <w:pPr>
              <w:spacing w:line="360" w:lineRule="auto"/>
              <w:rPr>
                <w:rFonts w:ascii="Times New Roman" w:hAnsi="Times New Roman" w:cs="Times New Roman"/>
                <w:sz w:val="16"/>
                <w:szCs w:val="16"/>
              </w:rPr>
            </w:pPr>
          </w:p>
        </w:tc>
        <w:tc>
          <w:tcPr>
            <w:tcW w:w="992" w:type="dxa"/>
            <w:shd w:val="clear" w:color="auto" w:fill="C5E0B3" w:themeFill="accent6" w:themeFillTint="66"/>
            <w:noWrap/>
            <w:vAlign w:val="center"/>
          </w:tcPr>
          <w:p w14:paraId="2F070140"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Promoter and Ex1</w:t>
            </w:r>
            <w:r>
              <w:rPr>
                <w:rFonts w:ascii="Times New Roman" w:hAnsi="Times New Roman" w:cs="Times New Roman" w:hint="eastAsia"/>
                <w:sz w:val="16"/>
                <w:szCs w:val="16"/>
              </w:rPr>
              <w:t>–</w:t>
            </w:r>
            <w:r>
              <w:rPr>
                <w:rFonts w:ascii="Times New Roman" w:hAnsi="Times New Roman" w:cs="Times New Roman" w:hint="eastAsia"/>
                <w:sz w:val="16"/>
                <w:szCs w:val="16"/>
              </w:rPr>
              <w:t>2</w:t>
            </w:r>
          </w:p>
        </w:tc>
        <w:tc>
          <w:tcPr>
            <w:tcW w:w="1276" w:type="dxa"/>
            <w:shd w:val="clear" w:color="auto" w:fill="C5E0B3" w:themeFill="accent6" w:themeFillTint="66"/>
            <w:noWrap/>
            <w:vAlign w:val="center"/>
          </w:tcPr>
          <w:p w14:paraId="3AC7B391"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C5E0B3" w:themeFill="accent6" w:themeFillTint="66"/>
            <w:noWrap/>
            <w:vAlign w:val="center"/>
          </w:tcPr>
          <w:p w14:paraId="1A4087D0" w14:textId="77777777" w:rsidR="00A6485A" w:rsidRDefault="00A6485A">
            <w:pPr>
              <w:spacing w:line="360" w:lineRule="auto"/>
              <w:rPr>
                <w:rFonts w:ascii="Times New Roman" w:hAnsi="Times New Roman" w:cs="Times New Roman"/>
                <w:sz w:val="16"/>
                <w:szCs w:val="16"/>
              </w:rPr>
            </w:pPr>
          </w:p>
        </w:tc>
        <w:tc>
          <w:tcPr>
            <w:tcW w:w="1755" w:type="dxa"/>
            <w:shd w:val="clear" w:color="auto" w:fill="C5E0B3" w:themeFill="accent6" w:themeFillTint="66"/>
            <w:noWrap/>
            <w:vAlign w:val="center"/>
          </w:tcPr>
          <w:p w14:paraId="38A6EAA3" w14:textId="77777777" w:rsidR="00A6485A" w:rsidRDefault="00A6485A">
            <w:pPr>
              <w:spacing w:line="360" w:lineRule="auto"/>
              <w:rPr>
                <w:rFonts w:ascii="Times New Roman" w:hAnsi="Times New Roman" w:cs="Times New Roman"/>
                <w:sz w:val="16"/>
                <w:szCs w:val="16"/>
              </w:rPr>
            </w:pPr>
          </w:p>
        </w:tc>
        <w:tc>
          <w:tcPr>
            <w:tcW w:w="1134" w:type="dxa"/>
            <w:shd w:val="clear" w:color="auto" w:fill="C5E0B3" w:themeFill="accent6" w:themeFillTint="66"/>
            <w:noWrap/>
            <w:vAlign w:val="center"/>
          </w:tcPr>
          <w:p w14:paraId="7684524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20-months-old</w:t>
            </w:r>
          </w:p>
        </w:tc>
        <w:tc>
          <w:tcPr>
            <w:tcW w:w="1531" w:type="dxa"/>
            <w:shd w:val="clear" w:color="auto" w:fill="C5E0B3" w:themeFill="accent6" w:themeFillTint="66"/>
            <w:noWrap/>
            <w:vAlign w:val="center"/>
          </w:tcPr>
          <w:p w14:paraId="4D54FFDA" w14:textId="77777777" w:rsidR="00A6485A" w:rsidRDefault="00000000">
            <w:pPr>
              <w:spacing w:line="360" w:lineRule="auto"/>
              <w:rPr>
                <w:rFonts w:ascii="Times New Roman" w:hAnsi="Times New Roman" w:cs="Times New Roman"/>
                <w:sz w:val="16"/>
                <w:szCs w:val="16"/>
                <w:highlight w:val="yellow"/>
              </w:rPr>
            </w:pPr>
            <w:r>
              <w:rPr>
                <w:rFonts w:ascii="Times New Roman" w:hAnsi="Times New Roman" w:cs="Times New Roman" w:hint="eastAsia"/>
                <w:sz w:val="16"/>
                <w:szCs w:val="16"/>
              </w:rPr>
              <w:t xml:space="preserve">Brain </w:t>
            </w:r>
            <w:r>
              <w:rPr>
                <w:rFonts w:ascii="Times New Roman" w:hAnsi="Times New Roman" w:cs="Times New Roman"/>
                <w:sz w:val="16"/>
                <w:szCs w:val="16"/>
              </w:rPr>
              <w:t>malformation</w:t>
            </w:r>
          </w:p>
        </w:tc>
        <w:tc>
          <w:tcPr>
            <w:tcW w:w="1531" w:type="dxa"/>
            <w:shd w:val="clear" w:color="auto" w:fill="C5E0B3" w:themeFill="accent6" w:themeFillTint="66"/>
            <w:vAlign w:val="center"/>
          </w:tcPr>
          <w:p w14:paraId="50E81F7E" w14:textId="77777777" w:rsidR="00A6485A" w:rsidRDefault="00A6485A">
            <w:pPr>
              <w:spacing w:line="360" w:lineRule="auto"/>
              <w:rPr>
                <w:rFonts w:ascii="Times New Roman" w:hAnsi="Times New Roman" w:cs="Times New Roman"/>
                <w:sz w:val="16"/>
                <w:szCs w:val="16"/>
                <w:highlight w:val="yellow"/>
              </w:rPr>
            </w:pPr>
          </w:p>
        </w:tc>
        <w:tc>
          <w:tcPr>
            <w:tcW w:w="992" w:type="dxa"/>
            <w:shd w:val="clear" w:color="auto" w:fill="C5E0B3" w:themeFill="accent6" w:themeFillTint="66"/>
            <w:noWrap/>
            <w:vAlign w:val="center"/>
          </w:tcPr>
          <w:p w14:paraId="740D01A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Japanese</w:t>
            </w:r>
          </w:p>
        </w:tc>
        <w:tc>
          <w:tcPr>
            <w:tcW w:w="1904" w:type="dxa"/>
            <w:shd w:val="clear" w:color="auto" w:fill="C5E0B3" w:themeFill="accent6" w:themeFillTint="66"/>
            <w:noWrap/>
            <w:vAlign w:val="center"/>
          </w:tcPr>
          <w:p w14:paraId="32067968"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Abe et al. 2009</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{"citationID":"oj5Xv58W","properties":{"formattedCitation":"[41]","plainCitation":"[41]","noteIndex":0},"citationItems":[{"id":292,"uris":["http://zotero.org/users/13427954/items/6G7L4PE5"],"itemData":{"id":292,"type":"article-journal","abstract":"Holoprosencephaly (HPE) is the most common congenital malformation of the developing human forebrain, in which the two cerebral hemispheres fail to separate to various degrees. Although pathological mutations have been identified in up to nine genes, a number of other genes as well as environmental factors are likely to be involved in HPE. Here, we describe a case with the middle interhemispheric variant, a milder variant of HPE, carrying a deletion of approximately 10.4 Mb at 6q22.31-q23.2, which includes the EYA4 gene. EYA4 is one of four vertebrate orthologs of the Drosophila melanogaster gene, eyes absent. EYA4 was co-immunoprecipitated with SIX3, the product of one of the known HPE genes. Moreover, the EYA4 protein was observed to be recruited to the nucleus by the nuclear protein SIX3 under a confocal microscope. EYA4 is a transcriptional coactivator, and was shown to cooperate with transcription factor SIX3 by reporter gene assays. These results demonstrate physical and functional association between EYA4 and SIX3, suggesting that EYA4 is a novel candidate gene of HPE, whose haploinsufficiency leads to HPE through the compromised function of SIX3.","container-title":"Human Mutation","DOI":"10.1002/humu.21094","ISSN":"1098-1004","issue":"10","journalAbbreviation":"Hum Mutat","language":"eng","note":"PMID: 19606496","page":"E946-955","source":"PubMed","title":"EYA4, deleted in a case with middle interhemispheric variant of holoprosencephaly, interacts with SIX3 both physically and functionally","volume":"30","author":[{"family":"Abe","given":"Yuichi"},{"family":"Oka","given":"Akira"},{"family":"Mizuguchi","given":"Masashi"},{"family":"Igarashi","given":"Takashi"},{"family":"Ishikawa","given":"Shumpei"},{"family":"Aburatani","given":"Hiroyuki"},{"family":"Yokoyama","given":"Shigetoshi"},{"family":"Asahara","given":"Hiroshi"},{"family":"Nagao","given":"Kazuaki"},{"family":"Yamada","given":"Masao"},{"family":"Miyashita","given":"Toshiyuki"}],"issued":{"date-parts":[["2009",10]]}}}],"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[41]</w:t>
            </w:r>
            <w:r>
              <w:rPr>
                <w:rFonts w:ascii="Times New Roman" w:hAnsi="Times New Roman" w:cs="Times New Roman"/>
                <w:sz w:val="16"/>
                <w:szCs w:val="16"/>
              </w:rPr>
              <w:fldChar w:fldCharType="end"/>
            </w:r>
          </w:p>
        </w:tc>
      </w:tr>
      <w:tr w:rsidR="00A6485A" w14:paraId="6017E0AE" w14:textId="77777777">
        <w:trPr>
          <w:trHeight w:val="454"/>
        </w:trPr>
        <w:tc>
          <w:tcPr>
            <w:tcW w:w="1980" w:type="dxa"/>
            <w:shd w:val="clear" w:color="auto" w:fill="auto"/>
            <w:noWrap/>
            <w:vAlign w:val="center"/>
          </w:tcPr>
          <w:p w14:paraId="7FFB94D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 xml:space="preserve">Deletion 3.7 </w:t>
            </w:r>
            <w:r>
              <w:rPr>
                <w:rFonts w:ascii="Times New Roman" w:hAnsi="Times New Roman" w:cs="Times New Roman" w:hint="eastAsia"/>
                <w:sz w:val="16"/>
                <w:szCs w:val="16"/>
              </w:rPr>
              <w:t>mb</w:t>
            </w:r>
          </w:p>
        </w:tc>
        <w:tc>
          <w:tcPr>
            <w:tcW w:w="992" w:type="dxa"/>
            <w:shd w:val="clear" w:color="auto" w:fill="auto"/>
            <w:vAlign w:val="center"/>
          </w:tcPr>
          <w:p w14:paraId="718A3FE4"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Ex1–20</w:t>
            </w:r>
          </w:p>
        </w:tc>
        <w:tc>
          <w:tcPr>
            <w:tcW w:w="1276" w:type="dxa"/>
            <w:shd w:val="clear" w:color="auto" w:fill="auto"/>
            <w:noWrap/>
            <w:vAlign w:val="center"/>
          </w:tcPr>
          <w:p w14:paraId="5FC1FFCB"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CNV</w:t>
            </w:r>
          </w:p>
        </w:tc>
        <w:tc>
          <w:tcPr>
            <w:tcW w:w="1139" w:type="dxa"/>
            <w:shd w:val="clear" w:color="auto" w:fill="auto"/>
            <w:noWrap/>
            <w:vAlign w:val="center"/>
          </w:tcPr>
          <w:p w14:paraId="307EF33A" w14:textId="77777777" w:rsidR="00A6485A" w:rsidRDefault="00A6485A">
            <w:pPr>
              <w:spacing w:line="360" w:lineRule="auto"/>
              <w:rPr>
                <w:rFonts w:ascii="Times New Roman" w:hAnsi="Times New Roman" w:cs="Times New Roman"/>
                <w:sz w:val="16"/>
                <w:szCs w:val="16"/>
              </w:rPr>
            </w:pPr>
          </w:p>
        </w:tc>
        <w:tc>
          <w:tcPr>
            <w:tcW w:w="1755" w:type="dxa"/>
            <w:shd w:val="clear" w:color="auto" w:fill="auto"/>
            <w:noWrap/>
            <w:vAlign w:val="center"/>
          </w:tcPr>
          <w:p w14:paraId="1145C1CE" w14:textId="77777777" w:rsidR="00A6485A" w:rsidRDefault="00A6485A">
            <w:pPr>
              <w:spacing w:line="360" w:lineRule="auto"/>
              <w:rPr>
                <w:rFonts w:ascii="Times New Roman" w:hAnsi="Times New Roman" w:cs="Times New Roman"/>
                <w:sz w:val="16"/>
                <w:szCs w:val="16"/>
              </w:rPr>
            </w:pPr>
          </w:p>
        </w:tc>
        <w:tc>
          <w:tcPr>
            <w:tcW w:w="1134" w:type="dxa"/>
            <w:shd w:val="clear" w:color="auto" w:fill="auto"/>
            <w:noWrap/>
            <w:vAlign w:val="center"/>
          </w:tcPr>
          <w:p w14:paraId="3C28A51F"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hint="eastAsia"/>
                <w:sz w:val="16"/>
                <w:szCs w:val="16"/>
              </w:rPr>
              <w:t>NA</w:t>
            </w:r>
          </w:p>
        </w:tc>
        <w:tc>
          <w:tcPr>
            <w:tcW w:w="1531" w:type="dxa"/>
            <w:shd w:val="clear" w:color="auto" w:fill="auto"/>
            <w:noWrap/>
            <w:vAlign w:val="center"/>
          </w:tcPr>
          <w:p w14:paraId="7E537352"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OTFCS</w:t>
            </w:r>
            <w:r>
              <w:rPr>
                <w:rFonts w:ascii="Times New Roman" w:hAnsi="Times New Roman" w:cs="Times New Roman" w:hint="eastAsia"/>
                <w:sz w:val="16"/>
                <w:szCs w:val="16"/>
              </w:rPr>
              <w:t>+SNHL(Mild)</w:t>
            </w:r>
          </w:p>
        </w:tc>
        <w:tc>
          <w:tcPr>
            <w:tcW w:w="1531" w:type="dxa"/>
            <w:shd w:val="clear" w:color="auto" w:fill="auto"/>
            <w:noWrap/>
            <w:vAlign w:val="center"/>
          </w:tcPr>
          <w:p w14:paraId="627C018E" w14:textId="77777777" w:rsidR="00A6485A" w:rsidRDefault="00A6485A">
            <w:pPr>
              <w:spacing w:line="360" w:lineRule="auto"/>
              <w:rPr>
                <w:rFonts w:ascii="Times New Roman" w:hAnsi="Times New Roman" w:cs="Times New Roman"/>
                <w:sz w:val="16"/>
                <w:szCs w:val="16"/>
              </w:rPr>
            </w:pPr>
          </w:p>
        </w:tc>
        <w:tc>
          <w:tcPr>
            <w:tcW w:w="992" w:type="dxa"/>
            <w:shd w:val="clear" w:color="auto" w:fill="auto"/>
            <w:noWrap/>
            <w:vAlign w:val="center"/>
          </w:tcPr>
          <w:p w14:paraId="4A548CA9" w14:textId="77777777" w:rsidR="00A6485A" w:rsidRDefault="00000000">
            <w:pPr>
              <w:spacing w:line="360" w:lineRule="auto"/>
              <w:rPr>
                <w:rFonts w:ascii="Times New Roman" w:hAnsi="Times New Roman" w:cs="Times New Roman"/>
                <w:sz w:val="16"/>
                <w:szCs w:val="16"/>
              </w:rPr>
            </w:pPr>
            <w:r>
              <w:rPr>
                <w:rFonts w:ascii="Times New Roman" w:hAnsi="Times New Roman" w:cs="Times New Roman"/>
                <w:sz w:val="16"/>
                <w:szCs w:val="16"/>
              </w:rPr>
              <w:t>Italian</w:t>
            </w:r>
          </w:p>
        </w:tc>
        <w:tc>
          <w:tcPr>
            <w:tcW w:w="1904" w:type="dxa"/>
            <w:shd w:val="clear" w:color="auto" w:fill="auto"/>
            <w:vAlign w:val="center"/>
          </w:tcPr>
          <w:p w14:paraId="28A514B3" w14:textId="77777777" w:rsidR="00A6485A" w:rsidRDefault="00000000">
            <w:pPr>
              <w:spacing w:line="360" w:lineRule="auto"/>
              <w:jc w:val="left"/>
              <w:rPr>
                <w:rFonts w:ascii="Times New Roman" w:hAnsi="Times New Roman" w:cs="Times New Roman"/>
                <w:sz w:val="16"/>
                <w:szCs w:val="16"/>
              </w:rPr>
            </w:pPr>
            <w:r>
              <w:rPr>
                <w:rFonts w:ascii="Times New Roman" w:hAnsi="Times New Roman" w:cs="Times New Roman"/>
                <w:sz w:val="16"/>
                <w:szCs w:val="16"/>
              </w:rPr>
              <w:t>Gana et al.2019</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{"citationID":"RHpmWLBa","properties":{"formattedCitation":"[42]","plainCitation":"[42]","noteIndex":0},"citationItems":[{"id":295,"uris":["http://zotero.org/users/13427954/items/CLPWB4XM"],"itemData":{"id":295,"type":"article-journal","abstract":"We report on a 34-year-old woman and her mother who both have clinical features suggestive for otofaciocervical syndrome (OTFCS), a disorder characterized by a combination of facial dysmorphisms, ear abnormalities with hearing loss, and shoulder girdle anomalies. OTFCS presents overlapping features with branchiootorenal spectrum disorders, including branchiootorenal syndrome and branchiootic syndrome. These disorders have been described as clinically distinct entities, but molecular studies have shown that all the causative genes belong to the Pax-Six-Eya-Dach network (PSEDN). So far, the genetic diagnosis of OTFCS has been performed only in very few cases and involves two genes, EYA1 and PAX1; thus, it is likely that other genes have still to be identified. In the present patient, array CGH analysis showed a 3.7-Mb deletion in 6q23; a smaller 1.9-Mb deletion in the same region was detected in her mother. The minimal overlapping region harbors the EYA4 gene. The cases here described are interesting, since they all showed the typical clinical features of OTFCS, associated with a deletion in 6q23.2. Even if we cannot exclude the contribution of other genes to the phenotype, EYA4 is a good candidate for OTFCS according to its pattern of expression, its sequence similarity to EYA1, and its involvement in PSEDN.","container-title":"Frontiers in Genetics","DOI":"10.3389/fgene.2019.00650","ISSN":"1664-8021","journalAbbreviation":"Front Genet","language":"eng","note":"PMID: 31379922\nPMCID: PMC6656857","page":"650","source":"PubMed","title":"Familial Interstitial 6q23.2 Deletion Including Eya4 Associated With Otofaciocervical Syndrome","volume":"10","author":[{"family":"Gana","given":"Simone"},{"family":"Valetto","given":"Angelo"},{"family":"Toschi","given":"Benedetta"},{"family":"Sardelli","given":"Irene"},{"family":"Cappelli","given":"Susanna"},{"family":"Peroni","given":"Diego"},{"family":"Bertini","given":"Veronica"}],"issued":{"date-parts":[["2019"]]}}}],"schema":"https://github.com/citation-style-language/schema/raw/master/csl-citation.json"} </w:instrText>
            </w:r>
            <w:r>
              <w:rPr>
                <w:rFonts w:ascii="Times New Roman" w:hAnsi="Times New Roman" w:cs="Times New Roman"/>
                <w:sz w:val="16"/>
                <w:szCs w:val="16"/>
              </w:rPr>
              <w:fldChar w:fldCharType="separate"/>
            </w:r>
            <w:r>
              <w:rPr>
                <w:rFonts w:ascii="Times New Roman" w:hAnsi="Times New Roman" w:cs="Times New Roman"/>
                <w:sz w:val="16"/>
              </w:rPr>
              <w:t>[42]</w:t>
            </w:r>
            <w:r>
              <w:rPr>
                <w:rFonts w:ascii="Times New Roman" w:hAnsi="Times New Roman" w:cs="Times New Roman"/>
                <w:sz w:val="16"/>
                <w:szCs w:val="16"/>
              </w:rPr>
              <w:fldChar w:fldCharType="end"/>
            </w:r>
          </w:p>
        </w:tc>
      </w:tr>
    </w:tbl>
    <w:p w14:paraId="0F136242" w14:textId="77777777" w:rsidR="00A6485A" w:rsidRDefault="00000000">
      <w:pPr>
        <w:widowControl/>
        <w:spacing w:line="360" w:lineRule="auto"/>
        <w:jc w:val="left"/>
        <w:rPr>
          <w:rFonts w:ascii="Times New Roman" w:hAnsi="Times New Roman" w:cs="Times New Roman"/>
          <w:sz w:val="18"/>
          <w:szCs w:val="18"/>
        </w:rPr>
      </w:pPr>
      <w:r>
        <w:rPr>
          <w:rFonts w:ascii="Times New Roman" w:hAnsi="Times New Roman" w:cs="Times New Roman"/>
          <w:sz w:val="18"/>
          <w:szCs w:val="18"/>
        </w:rPr>
        <w:t>Abbreviations: N/A, not available; CNV, copy number variation; SNHL, sensorineural hearing loss; HL, hearing loss; HF, high-frequency hearing loss; LF, low-frequncy hearing loss;  DCM, dilated cardiomyopathy</w:t>
      </w:r>
      <w:r>
        <w:rPr>
          <w:rFonts w:ascii="Times New Roman" w:hAnsi="Times New Roman" w:cs="Times New Roman" w:hint="eastAsia"/>
          <w:sz w:val="18"/>
          <w:szCs w:val="18"/>
        </w:rPr>
        <w:t>; OTFCS(</w:t>
      </w:r>
      <w:r>
        <w:rPr>
          <w:rFonts w:ascii="Times New Roman" w:hAnsi="Times New Roman" w:cs="Times New Roman"/>
          <w:sz w:val="16"/>
          <w:szCs w:val="16"/>
        </w:rPr>
        <w:t>(Otofaciocervical syndrome)</w:t>
      </w:r>
      <w:r>
        <w:rPr>
          <w:rFonts w:ascii="Times New Roman" w:hAnsi="Times New Roman" w:cs="Times New Roman" w:hint="eastAsia"/>
          <w:sz w:val="18"/>
          <w:szCs w:val="18"/>
        </w:rPr>
        <w:t>)</w:t>
      </w:r>
    </w:p>
    <w:sectPr w:rsidR="00A6485A">
      <w:pgSz w:w="16838" w:h="11906" w:orient="landscape"/>
      <w:pgMar w:top="1797" w:right="1440" w:bottom="1797" w:left="144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FangSong_GB2312">
    <w:altName w:val="FangSong"/>
    <w:charset w:val="86"/>
    <w:family w:val="modern"/>
    <w:pitch w:val="default"/>
    <w:sig w:usb0="00000000" w:usb1="0000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6F3F84"/>
    <w:multiLevelType w:val="multilevel"/>
    <w:tmpl w:val="766F3F84"/>
    <w:lvl w:ilvl="0">
      <w:start w:val="1"/>
      <w:numFmt w:val="lowerLetter"/>
      <w:pStyle w:val="ListParagraph"/>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481699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BD017C"/>
    <w:rsid w:val="00006578"/>
    <w:rsid w:val="00011C39"/>
    <w:rsid w:val="00011C64"/>
    <w:rsid w:val="00016F1A"/>
    <w:rsid w:val="000201D0"/>
    <w:rsid w:val="00020650"/>
    <w:rsid w:val="00022486"/>
    <w:rsid w:val="0003454D"/>
    <w:rsid w:val="00036F94"/>
    <w:rsid w:val="00045FF6"/>
    <w:rsid w:val="00053568"/>
    <w:rsid w:val="00075455"/>
    <w:rsid w:val="00086C35"/>
    <w:rsid w:val="000974C7"/>
    <w:rsid w:val="000A29E5"/>
    <w:rsid w:val="000B1989"/>
    <w:rsid w:val="000D47E9"/>
    <w:rsid w:val="000D5D37"/>
    <w:rsid w:val="000D75B3"/>
    <w:rsid w:val="000E0717"/>
    <w:rsid w:val="000E0971"/>
    <w:rsid w:val="000E13CE"/>
    <w:rsid w:val="000E316B"/>
    <w:rsid w:val="000E77F9"/>
    <w:rsid w:val="000F4162"/>
    <w:rsid w:val="000F7863"/>
    <w:rsid w:val="00103E09"/>
    <w:rsid w:val="0010455A"/>
    <w:rsid w:val="00116404"/>
    <w:rsid w:val="00125FF9"/>
    <w:rsid w:val="00126CF9"/>
    <w:rsid w:val="00140F47"/>
    <w:rsid w:val="00155B96"/>
    <w:rsid w:val="00163124"/>
    <w:rsid w:val="00173CD3"/>
    <w:rsid w:val="00175AE8"/>
    <w:rsid w:val="001765B6"/>
    <w:rsid w:val="00181F38"/>
    <w:rsid w:val="001A4CDF"/>
    <w:rsid w:val="001A64C4"/>
    <w:rsid w:val="001B01D5"/>
    <w:rsid w:val="001B342D"/>
    <w:rsid w:val="001C5CC2"/>
    <w:rsid w:val="001C608F"/>
    <w:rsid w:val="001E116D"/>
    <w:rsid w:val="002056A5"/>
    <w:rsid w:val="00205B31"/>
    <w:rsid w:val="002118A4"/>
    <w:rsid w:val="00211A7F"/>
    <w:rsid w:val="00213964"/>
    <w:rsid w:val="00214C6A"/>
    <w:rsid w:val="00216A82"/>
    <w:rsid w:val="002174C4"/>
    <w:rsid w:val="002275F6"/>
    <w:rsid w:val="00231A0B"/>
    <w:rsid w:val="00232A07"/>
    <w:rsid w:val="00242EDF"/>
    <w:rsid w:val="00254461"/>
    <w:rsid w:val="00254489"/>
    <w:rsid w:val="00264819"/>
    <w:rsid w:val="0026697E"/>
    <w:rsid w:val="00266C4A"/>
    <w:rsid w:val="0029443D"/>
    <w:rsid w:val="002A3A77"/>
    <w:rsid w:val="002B17C5"/>
    <w:rsid w:val="002B1FC2"/>
    <w:rsid w:val="002B3F6B"/>
    <w:rsid w:val="002C249F"/>
    <w:rsid w:val="002D3B18"/>
    <w:rsid w:val="002F75F6"/>
    <w:rsid w:val="002F7901"/>
    <w:rsid w:val="003007D9"/>
    <w:rsid w:val="0032715D"/>
    <w:rsid w:val="00332D80"/>
    <w:rsid w:val="00344D3A"/>
    <w:rsid w:val="0034542F"/>
    <w:rsid w:val="00352260"/>
    <w:rsid w:val="00352B33"/>
    <w:rsid w:val="00353C14"/>
    <w:rsid w:val="00353DBB"/>
    <w:rsid w:val="00364572"/>
    <w:rsid w:val="00371CFA"/>
    <w:rsid w:val="00381040"/>
    <w:rsid w:val="003813AA"/>
    <w:rsid w:val="00385F42"/>
    <w:rsid w:val="00391D15"/>
    <w:rsid w:val="00393B56"/>
    <w:rsid w:val="003A28D3"/>
    <w:rsid w:val="003A4E17"/>
    <w:rsid w:val="003B5EEC"/>
    <w:rsid w:val="003C4B1B"/>
    <w:rsid w:val="003D4E9B"/>
    <w:rsid w:val="003D7719"/>
    <w:rsid w:val="003E1D55"/>
    <w:rsid w:val="003E2A1B"/>
    <w:rsid w:val="003E40AB"/>
    <w:rsid w:val="003E67B7"/>
    <w:rsid w:val="003E7937"/>
    <w:rsid w:val="003F35AB"/>
    <w:rsid w:val="0040242A"/>
    <w:rsid w:val="0040444D"/>
    <w:rsid w:val="00420ECF"/>
    <w:rsid w:val="00424A09"/>
    <w:rsid w:val="00432CB7"/>
    <w:rsid w:val="004355A8"/>
    <w:rsid w:val="00436B49"/>
    <w:rsid w:val="0044137B"/>
    <w:rsid w:val="00445F27"/>
    <w:rsid w:val="0045411D"/>
    <w:rsid w:val="00457157"/>
    <w:rsid w:val="0048129C"/>
    <w:rsid w:val="00486C8E"/>
    <w:rsid w:val="00492E36"/>
    <w:rsid w:val="004A2972"/>
    <w:rsid w:val="004A4563"/>
    <w:rsid w:val="004B120E"/>
    <w:rsid w:val="004B1D7A"/>
    <w:rsid w:val="004C234B"/>
    <w:rsid w:val="004C4494"/>
    <w:rsid w:val="004D0037"/>
    <w:rsid w:val="004D264B"/>
    <w:rsid w:val="004D2BC8"/>
    <w:rsid w:val="004D2DFA"/>
    <w:rsid w:val="004D4265"/>
    <w:rsid w:val="004E180A"/>
    <w:rsid w:val="004E7406"/>
    <w:rsid w:val="00504BEB"/>
    <w:rsid w:val="00512584"/>
    <w:rsid w:val="00515C5E"/>
    <w:rsid w:val="00520906"/>
    <w:rsid w:val="00524B40"/>
    <w:rsid w:val="00525ACE"/>
    <w:rsid w:val="00532839"/>
    <w:rsid w:val="005474B7"/>
    <w:rsid w:val="005510B8"/>
    <w:rsid w:val="00556201"/>
    <w:rsid w:val="005613AA"/>
    <w:rsid w:val="00573A75"/>
    <w:rsid w:val="00590648"/>
    <w:rsid w:val="00591E68"/>
    <w:rsid w:val="0059555F"/>
    <w:rsid w:val="005A3CFD"/>
    <w:rsid w:val="005B0414"/>
    <w:rsid w:val="005B2B55"/>
    <w:rsid w:val="005B6FCA"/>
    <w:rsid w:val="005C341C"/>
    <w:rsid w:val="005C6B9E"/>
    <w:rsid w:val="005D78C8"/>
    <w:rsid w:val="005E52D7"/>
    <w:rsid w:val="005F5804"/>
    <w:rsid w:val="006029CF"/>
    <w:rsid w:val="0060572D"/>
    <w:rsid w:val="0061486E"/>
    <w:rsid w:val="00624696"/>
    <w:rsid w:val="006404F8"/>
    <w:rsid w:val="00643044"/>
    <w:rsid w:val="0064447F"/>
    <w:rsid w:val="00644875"/>
    <w:rsid w:val="00647ACE"/>
    <w:rsid w:val="0065063E"/>
    <w:rsid w:val="006510D8"/>
    <w:rsid w:val="00651DBC"/>
    <w:rsid w:val="00664A3F"/>
    <w:rsid w:val="00665596"/>
    <w:rsid w:val="006759A3"/>
    <w:rsid w:val="00675F88"/>
    <w:rsid w:val="0068128F"/>
    <w:rsid w:val="0068792C"/>
    <w:rsid w:val="00694AAD"/>
    <w:rsid w:val="00695831"/>
    <w:rsid w:val="006A004E"/>
    <w:rsid w:val="006A0845"/>
    <w:rsid w:val="006A4D5E"/>
    <w:rsid w:val="006A5D3B"/>
    <w:rsid w:val="006B0C0D"/>
    <w:rsid w:val="006B2711"/>
    <w:rsid w:val="006B3412"/>
    <w:rsid w:val="006B51D4"/>
    <w:rsid w:val="006C14D3"/>
    <w:rsid w:val="006C5FCB"/>
    <w:rsid w:val="006D0FCB"/>
    <w:rsid w:val="006D63DA"/>
    <w:rsid w:val="006E05A2"/>
    <w:rsid w:val="006E51C3"/>
    <w:rsid w:val="006E61FE"/>
    <w:rsid w:val="006F16B3"/>
    <w:rsid w:val="006F2DE2"/>
    <w:rsid w:val="006F6C77"/>
    <w:rsid w:val="0070207C"/>
    <w:rsid w:val="00704C20"/>
    <w:rsid w:val="0073785B"/>
    <w:rsid w:val="00741887"/>
    <w:rsid w:val="00745836"/>
    <w:rsid w:val="00764499"/>
    <w:rsid w:val="00764933"/>
    <w:rsid w:val="00776604"/>
    <w:rsid w:val="007955CF"/>
    <w:rsid w:val="007A02FF"/>
    <w:rsid w:val="007A0356"/>
    <w:rsid w:val="007A247A"/>
    <w:rsid w:val="007A54D4"/>
    <w:rsid w:val="007B1887"/>
    <w:rsid w:val="007B58E1"/>
    <w:rsid w:val="007D425B"/>
    <w:rsid w:val="007E7421"/>
    <w:rsid w:val="007F53C6"/>
    <w:rsid w:val="007F628A"/>
    <w:rsid w:val="008005C3"/>
    <w:rsid w:val="00803AA0"/>
    <w:rsid w:val="00804FEA"/>
    <w:rsid w:val="00817884"/>
    <w:rsid w:val="00840369"/>
    <w:rsid w:val="008477B6"/>
    <w:rsid w:val="00855324"/>
    <w:rsid w:val="00862040"/>
    <w:rsid w:val="00866029"/>
    <w:rsid w:val="00866ED7"/>
    <w:rsid w:val="008738F0"/>
    <w:rsid w:val="00874D2D"/>
    <w:rsid w:val="00877B7F"/>
    <w:rsid w:val="00884160"/>
    <w:rsid w:val="00891689"/>
    <w:rsid w:val="00893BFC"/>
    <w:rsid w:val="0089509E"/>
    <w:rsid w:val="008976C3"/>
    <w:rsid w:val="008A3E25"/>
    <w:rsid w:val="008A743F"/>
    <w:rsid w:val="008B45B3"/>
    <w:rsid w:val="008B5351"/>
    <w:rsid w:val="008B618F"/>
    <w:rsid w:val="008C3521"/>
    <w:rsid w:val="008D4ADB"/>
    <w:rsid w:val="008E509D"/>
    <w:rsid w:val="008E5946"/>
    <w:rsid w:val="008E5AE7"/>
    <w:rsid w:val="008E74D9"/>
    <w:rsid w:val="00907C48"/>
    <w:rsid w:val="00921DC3"/>
    <w:rsid w:val="00924E75"/>
    <w:rsid w:val="00925C39"/>
    <w:rsid w:val="00926484"/>
    <w:rsid w:val="00927EEA"/>
    <w:rsid w:val="009334FB"/>
    <w:rsid w:val="0094363A"/>
    <w:rsid w:val="0096698D"/>
    <w:rsid w:val="00981E54"/>
    <w:rsid w:val="0098388D"/>
    <w:rsid w:val="00984AE1"/>
    <w:rsid w:val="00986232"/>
    <w:rsid w:val="009865FF"/>
    <w:rsid w:val="009A689F"/>
    <w:rsid w:val="009D7C02"/>
    <w:rsid w:val="009F6C7E"/>
    <w:rsid w:val="00A04C39"/>
    <w:rsid w:val="00A05E87"/>
    <w:rsid w:val="00A10A4E"/>
    <w:rsid w:val="00A150E7"/>
    <w:rsid w:val="00A1584C"/>
    <w:rsid w:val="00A27048"/>
    <w:rsid w:val="00A31D9F"/>
    <w:rsid w:val="00A32767"/>
    <w:rsid w:val="00A3459C"/>
    <w:rsid w:val="00A34DC9"/>
    <w:rsid w:val="00A36FB0"/>
    <w:rsid w:val="00A46B97"/>
    <w:rsid w:val="00A53495"/>
    <w:rsid w:val="00A5627A"/>
    <w:rsid w:val="00A56DBF"/>
    <w:rsid w:val="00A6485A"/>
    <w:rsid w:val="00A66372"/>
    <w:rsid w:val="00A668FB"/>
    <w:rsid w:val="00A937C9"/>
    <w:rsid w:val="00AA0254"/>
    <w:rsid w:val="00AA77E7"/>
    <w:rsid w:val="00AB1ACF"/>
    <w:rsid w:val="00AB2930"/>
    <w:rsid w:val="00AB2C4B"/>
    <w:rsid w:val="00AB4F99"/>
    <w:rsid w:val="00AB714B"/>
    <w:rsid w:val="00AB77DE"/>
    <w:rsid w:val="00AC0717"/>
    <w:rsid w:val="00AD2943"/>
    <w:rsid w:val="00AD67E1"/>
    <w:rsid w:val="00AE2751"/>
    <w:rsid w:val="00AE53B5"/>
    <w:rsid w:val="00B04A4C"/>
    <w:rsid w:val="00B06C0D"/>
    <w:rsid w:val="00B10412"/>
    <w:rsid w:val="00B14E63"/>
    <w:rsid w:val="00B338DB"/>
    <w:rsid w:val="00B52157"/>
    <w:rsid w:val="00B53EED"/>
    <w:rsid w:val="00B64DED"/>
    <w:rsid w:val="00B65EFB"/>
    <w:rsid w:val="00B77285"/>
    <w:rsid w:val="00B80AC1"/>
    <w:rsid w:val="00B85D70"/>
    <w:rsid w:val="00B95B48"/>
    <w:rsid w:val="00BA0D47"/>
    <w:rsid w:val="00BA5C71"/>
    <w:rsid w:val="00BA77BA"/>
    <w:rsid w:val="00BB32AB"/>
    <w:rsid w:val="00BB42A9"/>
    <w:rsid w:val="00BB6E2C"/>
    <w:rsid w:val="00BC6E25"/>
    <w:rsid w:val="00BD017C"/>
    <w:rsid w:val="00BD6009"/>
    <w:rsid w:val="00BD6CF9"/>
    <w:rsid w:val="00BF32AD"/>
    <w:rsid w:val="00BF614F"/>
    <w:rsid w:val="00C02AFF"/>
    <w:rsid w:val="00C04510"/>
    <w:rsid w:val="00C11434"/>
    <w:rsid w:val="00C11F04"/>
    <w:rsid w:val="00C20BD8"/>
    <w:rsid w:val="00C24BE8"/>
    <w:rsid w:val="00C2786E"/>
    <w:rsid w:val="00C34E4F"/>
    <w:rsid w:val="00C36AD8"/>
    <w:rsid w:val="00C41BD5"/>
    <w:rsid w:val="00C54BD3"/>
    <w:rsid w:val="00C60264"/>
    <w:rsid w:val="00C62F34"/>
    <w:rsid w:val="00C64C4B"/>
    <w:rsid w:val="00C74721"/>
    <w:rsid w:val="00C750D7"/>
    <w:rsid w:val="00C863C3"/>
    <w:rsid w:val="00C873E2"/>
    <w:rsid w:val="00C930AE"/>
    <w:rsid w:val="00C94092"/>
    <w:rsid w:val="00C9743D"/>
    <w:rsid w:val="00CB25FF"/>
    <w:rsid w:val="00CB5435"/>
    <w:rsid w:val="00CB6022"/>
    <w:rsid w:val="00CC39EB"/>
    <w:rsid w:val="00CC64E9"/>
    <w:rsid w:val="00CE733F"/>
    <w:rsid w:val="00CF3DDE"/>
    <w:rsid w:val="00CF67C1"/>
    <w:rsid w:val="00D2256D"/>
    <w:rsid w:val="00D243B6"/>
    <w:rsid w:val="00D25AF1"/>
    <w:rsid w:val="00D26CAE"/>
    <w:rsid w:val="00D35451"/>
    <w:rsid w:val="00D42395"/>
    <w:rsid w:val="00D43843"/>
    <w:rsid w:val="00D45A42"/>
    <w:rsid w:val="00D509B3"/>
    <w:rsid w:val="00D510D8"/>
    <w:rsid w:val="00D76FA5"/>
    <w:rsid w:val="00D8252F"/>
    <w:rsid w:val="00D8599A"/>
    <w:rsid w:val="00D87D33"/>
    <w:rsid w:val="00DA0DD0"/>
    <w:rsid w:val="00DB211D"/>
    <w:rsid w:val="00DB4044"/>
    <w:rsid w:val="00DB4FC2"/>
    <w:rsid w:val="00DC2F10"/>
    <w:rsid w:val="00DD0710"/>
    <w:rsid w:val="00DF3EAF"/>
    <w:rsid w:val="00DF48DF"/>
    <w:rsid w:val="00E025B8"/>
    <w:rsid w:val="00E07628"/>
    <w:rsid w:val="00E102CA"/>
    <w:rsid w:val="00E11A0E"/>
    <w:rsid w:val="00E15199"/>
    <w:rsid w:val="00E303A4"/>
    <w:rsid w:val="00E3364E"/>
    <w:rsid w:val="00E3642A"/>
    <w:rsid w:val="00E45417"/>
    <w:rsid w:val="00E52960"/>
    <w:rsid w:val="00E738D1"/>
    <w:rsid w:val="00E77E3C"/>
    <w:rsid w:val="00E82BCC"/>
    <w:rsid w:val="00E86A41"/>
    <w:rsid w:val="00E92A63"/>
    <w:rsid w:val="00EA110D"/>
    <w:rsid w:val="00EA1AC3"/>
    <w:rsid w:val="00EC226C"/>
    <w:rsid w:val="00EC7168"/>
    <w:rsid w:val="00ED0240"/>
    <w:rsid w:val="00EE5918"/>
    <w:rsid w:val="00EE78EC"/>
    <w:rsid w:val="00EF7EED"/>
    <w:rsid w:val="00F04FA7"/>
    <w:rsid w:val="00F10875"/>
    <w:rsid w:val="00F114DA"/>
    <w:rsid w:val="00F25ECE"/>
    <w:rsid w:val="00F30E58"/>
    <w:rsid w:val="00F56060"/>
    <w:rsid w:val="00F61515"/>
    <w:rsid w:val="00F625DB"/>
    <w:rsid w:val="00F675B2"/>
    <w:rsid w:val="00F714A2"/>
    <w:rsid w:val="00F74764"/>
    <w:rsid w:val="00F75202"/>
    <w:rsid w:val="00F85923"/>
    <w:rsid w:val="00F93512"/>
    <w:rsid w:val="00F974F7"/>
    <w:rsid w:val="00FA0095"/>
    <w:rsid w:val="00FB29F8"/>
    <w:rsid w:val="00FB722E"/>
    <w:rsid w:val="00FC17A1"/>
    <w:rsid w:val="00FD4434"/>
    <w:rsid w:val="00FE19A2"/>
    <w:rsid w:val="00FE220C"/>
    <w:rsid w:val="00FF2406"/>
    <w:rsid w:val="00FF5742"/>
    <w:rsid w:val="0160084E"/>
    <w:rsid w:val="016F45ED"/>
    <w:rsid w:val="0192652E"/>
    <w:rsid w:val="01D408F4"/>
    <w:rsid w:val="028247F4"/>
    <w:rsid w:val="02D54924"/>
    <w:rsid w:val="02EE59E6"/>
    <w:rsid w:val="035717DD"/>
    <w:rsid w:val="04C17856"/>
    <w:rsid w:val="04F55751"/>
    <w:rsid w:val="04FC263C"/>
    <w:rsid w:val="05237BC9"/>
    <w:rsid w:val="05972365"/>
    <w:rsid w:val="059E36F3"/>
    <w:rsid w:val="05C94AC3"/>
    <w:rsid w:val="06052CB4"/>
    <w:rsid w:val="06147E59"/>
    <w:rsid w:val="06E11AE9"/>
    <w:rsid w:val="07943000"/>
    <w:rsid w:val="07AB0349"/>
    <w:rsid w:val="08E65ADD"/>
    <w:rsid w:val="090B72F2"/>
    <w:rsid w:val="09265ED9"/>
    <w:rsid w:val="09C21BD0"/>
    <w:rsid w:val="0ADE7BA4"/>
    <w:rsid w:val="0AE918B4"/>
    <w:rsid w:val="0B204BAA"/>
    <w:rsid w:val="0B293A5F"/>
    <w:rsid w:val="0B9C6927"/>
    <w:rsid w:val="0C2B3807"/>
    <w:rsid w:val="0C474AE5"/>
    <w:rsid w:val="0CBF0B1F"/>
    <w:rsid w:val="0D6276FC"/>
    <w:rsid w:val="0D9378B6"/>
    <w:rsid w:val="0DCB34F3"/>
    <w:rsid w:val="0E6D2E8A"/>
    <w:rsid w:val="0E9878EC"/>
    <w:rsid w:val="0FCE72CB"/>
    <w:rsid w:val="0FD77F2D"/>
    <w:rsid w:val="0FF52AA9"/>
    <w:rsid w:val="106A2B50"/>
    <w:rsid w:val="10EF12A7"/>
    <w:rsid w:val="123A03FD"/>
    <w:rsid w:val="12AF0CEE"/>
    <w:rsid w:val="12D20E80"/>
    <w:rsid w:val="12EC1F42"/>
    <w:rsid w:val="13517FF7"/>
    <w:rsid w:val="13685340"/>
    <w:rsid w:val="13D529D6"/>
    <w:rsid w:val="150D619F"/>
    <w:rsid w:val="152754B3"/>
    <w:rsid w:val="157601E9"/>
    <w:rsid w:val="15D078F9"/>
    <w:rsid w:val="16E318AE"/>
    <w:rsid w:val="16E55626"/>
    <w:rsid w:val="17650515"/>
    <w:rsid w:val="17712A16"/>
    <w:rsid w:val="17773DA4"/>
    <w:rsid w:val="17BF5E77"/>
    <w:rsid w:val="17E7717C"/>
    <w:rsid w:val="17F673BF"/>
    <w:rsid w:val="18910E95"/>
    <w:rsid w:val="18C63235"/>
    <w:rsid w:val="1A474E2D"/>
    <w:rsid w:val="1A516B2E"/>
    <w:rsid w:val="1A703458"/>
    <w:rsid w:val="1A7867B1"/>
    <w:rsid w:val="1B5C1C2F"/>
    <w:rsid w:val="1BBE1FA1"/>
    <w:rsid w:val="1BDB0DA5"/>
    <w:rsid w:val="1C3861F8"/>
    <w:rsid w:val="1C5F19D6"/>
    <w:rsid w:val="1C6B037B"/>
    <w:rsid w:val="1CBD494F"/>
    <w:rsid w:val="1D2422D8"/>
    <w:rsid w:val="1D271DC8"/>
    <w:rsid w:val="1D526E45"/>
    <w:rsid w:val="1D990F18"/>
    <w:rsid w:val="1E6257AE"/>
    <w:rsid w:val="1F3E1D77"/>
    <w:rsid w:val="1FB45B95"/>
    <w:rsid w:val="1FC41B50"/>
    <w:rsid w:val="20E57FD0"/>
    <w:rsid w:val="20F621DE"/>
    <w:rsid w:val="213F1DD6"/>
    <w:rsid w:val="214747E7"/>
    <w:rsid w:val="219914E7"/>
    <w:rsid w:val="21B75E11"/>
    <w:rsid w:val="21C4408A"/>
    <w:rsid w:val="22525B39"/>
    <w:rsid w:val="22F83FEB"/>
    <w:rsid w:val="232079E6"/>
    <w:rsid w:val="23294AEC"/>
    <w:rsid w:val="243C084F"/>
    <w:rsid w:val="24637B8A"/>
    <w:rsid w:val="24997A50"/>
    <w:rsid w:val="25657932"/>
    <w:rsid w:val="25965D3D"/>
    <w:rsid w:val="25E371D4"/>
    <w:rsid w:val="272E26D1"/>
    <w:rsid w:val="27337CE7"/>
    <w:rsid w:val="279369D8"/>
    <w:rsid w:val="286640ED"/>
    <w:rsid w:val="28C50E13"/>
    <w:rsid w:val="294C6E3F"/>
    <w:rsid w:val="299F78B6"/>
    <w:rsid w:val="29CC61D1"/>
    <w:rsid w:val="29DB01C2"/>
    <w:rsid w:val="29E057D9"/>
    <w:rsid w:val="29E452C9"/>
    <w:rsid w:val="2A3049B2"/>
    <w:rsid w:val="2B1C0A93"/>
    <w:rsid w:val="2B6C1A1A"/>
    <w:rsid w:val="2BC76C50"/>
    <w:rsid w:val="2CA945A8"/>
    <w:rsid w:val="2EBA2A9C"/>
    <w:rsid w:val="2EC61441"/>
    <w:rsid w:val="2EDE2C2F"/>
    <w:rsid w:val="2EE45D6B"/>
    <w:rsid w:val="2F1228D8"/>
    <w:rsid w:val="2FA33530"/>
    <w:rsid w:val="300264A9"/>
    <w:rsid w:val="302503E9"/>
    <w:rsid w:val="3050190A"/>
    <w:rsid w:val="30703D5A"/>
    <w:rsid w:val="307F7AFA"/>
    <w:rsid w:val="30DF2C8E"/>
    <w:rsid w:val="31197F4E"/>
    <w:rsid w:val="316311C9"/>
    <w:rsid w:val="31C75BFC"/>
    <w:rsid w:val="31D64091"/>
    <w:rsid w:val="31E92154"/>
    <w:rsid w:val="32454D73"/>
    <w:rsid w:val="32B83797"/>
    <w:rsid w:val="32C97752"/>
    <w:rsid w:val="32DF0D23"/>
    <w:rsid w:val="32F83B93"/>
    <w:rsid w:val="330A3599"/>
    <w:rsid w:val="33134E71"/>
    <w:rsid w:val="34496D9C"/>
    <w:rsid w:val="34525525"/>
    <w:rsid w:val="346911EC"/>
    <w:rsid w:val="352275ED"/>
    <w:rsid w:val="354237EC"/>
    <w:rsid w:val="35521C81"/>
    <w:rsid w:val="358856A2"/>
    <w:rsid w:val="35D46B3A"/>
    <w:rsid w:val="3619279E"/>
    <w:rsid w:val="36462E68"/>
    <w:rsid w:val="365657A0"/>
    <w:rsid w:val="36603F29"/>
    <w:rsid w:val="366D6646"/>
    <w:rsid w:val="36783969"/>
    <w:rsid w:val="36A22794"/>
    <w:rsid w:val="36D93CDC"/>
    <w:rsid w:val="371371EE"/>
    <w:rsid w:val="37F836B7"/>
    <w:rsid w:val="37F963E3"/>
    <w:rsid w:val="38AF73EA"/>
    <w:rsid w:val="38B844F1"/>
    <w:rsid w:val="38B93DC5"/>
    <w:rsid w:val="39E76710"/>
    <w:rsid w:val="3A0F6392"/>
    <w:rsid w:val="3A443B62"/>
    <w:rsid w:val="3A976388"/>
    <w:rsid w:val="3AB46F3A"/>
    <w:rsid w:val="3AE55345"/>
    <w:rsid w:val="3AFB2473"/>
    <w:rsid w:val="3B5F50F7"/>
    <w:rsid w:val="3C1A101E"/>
    <w:rsid w:val="3C2B4FD9"/>
    <w:rsid w:val="3C7324DC"/>
    <w:rsid w:val="3C88242C"/>
    <w:rsid w:val="3CB72D11"/>
    <w:rsid w:val="3CC176EC"/>
    <w:rsid w:val="3D2D6B2F"/>
    <w:rsid w:val="3D402D06"/>
    <w:rsid w:val="3D94095C"/>
    <w:rsid w:val="3DC01751"/>
    <w:rsid w:val="3E0E6961"/>
    <w:rsid w:val="3E111FAD"/>
    <w:rsid w:val="3E907A7A"/>
    <w:rsid w:val="3EAE5A4E"/>
    <w:rsid w:val="3F220916"/>
    <w:rsid w:val="3FA80E97"/>
    <w:rsid w:val="3FBA6DA0"/>
    <w:rsid w:val="3FD17C46"/>
    <w:rsid w:val="40896772"/>
    <w:rsid w:val="40955117"/>
    <w:rsid w:val="40C61775"/>
    <w:rsid w:val="40F77B80"/>
    <w:rsid w:val="41623789"/>
    <w:rsid w:val="43016A94"/>
    <w:rsid w:val="430B346F"/>
    <w:rsid w:val="43543068"/>
    <w:rsid w:val="43851473"/>
    <w:rsid w:val="43D9531B"/>
    <w:rsid w:val="44000AFA"/>
    <w:rsid w:val="440F6F8F"/>
    <w:rsid w:val="4475773A"/>
    <w:rsid w:val="44AE0556"/>
    <w:rsid w:val="4504286C"/>
    <w:rsid w:val="45596713"/>
    <w:rsid w:val="45AC718B"/>
    <w:rsid w:val="45F91CA4"/>
    <w:rsid w:val="463D4287"/>
    <w:rsid w:val="46821C9A"/>
    <w:rsid w:val="46F96400"/>
    <w:rsid w:val="47503B46"/>
    <w:rsid w:val="477A0BC3"/>
    <w:rsid w:val="477E6905"/>
    <w:rsid w:val="481334F1"/>
    <w:rsid w:val="48D12A65"/>
    <w:rsid w:val="4A49144C"/>
    <w:rsid w:val="4A985F30"/>
    <w:rsid w:val="4ADB406F"/>
    <w:rsid w:val="4AE64EED"/>
    <w:rsid w:val="4AFA62A3"/>
    <w:rsid w:val="4B5F6A4E"/>
    <w:rsid w:val="4C52210E"/>
    <w:rsid w:val="4CB16E35"/>
    <w:rsid w:val="4CFD207A"/>
    <w:rsid w:val="4D5E0E4F"/>
    <w:rsid w:val="4D6C7200"/>
    <w:rsid w:val="4DA70238"/>
    <w:rsid w:val="4DED6593"/>
    <w:rsid w:val="4E105DDD"/>
    <w:rsid w:val="4E361CE8"/>
    <w:rsid w:val="4F0771E0"/>
    <w:rsid w:val="4F6F4D85"/>
    <w:rsid w:val="4F732AC8"/>
    <w:rsid w:val="4FF754A7"/>
    <w:rsid w:val="50373AF5"/>
    <w:rsid w:val="503C110B"/>
    <w:rsid w:val="503C55AF"/>
    <w:rsid w:val="505226DD"/>
    <w:rsid w:val="50724B2D"/>
    <w:rsid w:val="525C7843"/>
    <w:rsid w:val="5373753A"/>
    <w:rsid w:val="538232D9"/>
    <w:rsid w:val="538C05FC"/>
    <w:rsid w:val="53B06098"/>
    <w:rsid w:val="53D224B3"/>
    <w:rsid w:val="54106B37"/>
    <w:rsid w:val="54177EC5"/>
    <w:rsid w:val="54D9161F"/>
    <w:rsid w:val="55366A71"/>
    <w:rsid w:val="555B64D8"/>
    <w:rsid w:val="564B3E56"/>
    <w:rsid w:val="56586573"/>
    <w:rsid w:val="57EE371D"/>
    <w:rsid w:val="58BA52C3"/>
    <w:rsid w:val="5939268C"/>
    <w:rsid w:val="59965D30"/>
    <w:rsid w:val="5A6E45B7"/>
    <w:rsid w:val="5A89319F"/>
    <w:rsid w:val="5A987886"/>
    <w:rsid w:val="5AD05272"/>
    <w:rsid w:val="5B5437AD"/>
    <w:rsid w:val="5B547C51"/>
    <w:rsid w:val="5B647768"/>
    <w:rsid w:val="5BA069F2"/>
    <w:rsid w:val="5C0F5926"/>
    <w:rsid w:val="5C11169E"/>
    <w:rsid w:val="5CBD5382"/>
    <w:rsid w:val="5D292A17"/>
    <w:rsid w:val="5D63417B"/>
    <w:rsid w:val="5DE03A1E"/>
    <w:rsid w:val="5E5E2B95"/>
    <w:rsid w:val="5F2142EE"/>
    <w:rsid w:val="5F36141C"/>
    <w:rsid w:val="5FB00E6F"/>
    <w:rsid w:val="6057789C"/>
    <w:rsid w:val="60936B26"/>
    <w:rsid w:val="60CB2763"/>
    <w:rsid w:val="61192B74"/>
    <w:rsid w:val="616B35FF"/>
    <w:rsid w:val="61A30FEA"/>
    <w:rsid w:val="621C6FEF"/>
    <w:rsid w:val="622540F5"/>
    <w:rsid w:val="627666FF"/>
    <w:rsid w:val="627C183B"/>
    <w:rsid w:val="63464323"/>
    <w:rsid w:val="64041AE8"/>
    <w:rsid w:val="6416019A"/>
    <w:rsid w:val="64216B3E"/>
    <w:rsid w:val="645667E8"/>
    <w:rsid w:val="64C37BF6"/>
    <w:rsid w:val="65206DF6"/>
    <w:rsid w:val="65530F79"/>
    <w:rsid w:val="65BF03BD"/>
    <w:rsid w:val="65D025CA"/>
    <w:rsid w:val="65D379C4"/>
    <w:rsid w:val="65D5373C"/>
    <w:rsid w:val="65E9368C"/>
    <w:rsid w:val="65E9543A"/>
    <w:rsid w:val="66410DD2"/>
    <w:rsid w:val="66650F64"/>
    <w:rsid w:val="66E005EB"/>
    <w:rsid w:val="67334BBF"/>
    <w:rsid w:val="67B57CC9"/>
    <w:rsid w:val="67CE2B39"/>
    <w:rsid w:val="680D3662"/>
    <w:rsid w:val="683C7AA3"/>
    <w:rsid w:val="68582403"/>
    <w:rsid w:val="69CE62BB"/>
    <w:rsid w:val="6A9516EC"/>
    <w:rsid w:val="6AAE27AE"/>
    <w:rsid w:val="6AD42215"/>
    <w:rsid w:val="6AE85CC0"/>
    <w:rsid w:val="6B5E5F82"/>
    <w:rsid w:val="6B7E4876"/>
    <w:rsid w:val="6B8579B3"/>
    <w:rsid w:val="6BDF70C3"/>
    <w:rsid w:val="6C375151"/>
    <w:rsid w:val="6C635F46"/>
    <w:rsid w:val="6D2154B9"/>
    <w:rsid w:val="6D6A3304"/>
    <w:rsid w:val="6DC522E8"/>
    <w:rsid w:val="6DF8446C"/>
    <w:rsid w:val="6E46167B"/>
    <w:rsid w:val="6E5A6ED5"/>
    <w:rsid w:val="6E82467D"/>
    <w:rsid w:val="70111815"/>
    <w:rsid w:val="701B2694"/>
    <w:rsid w:val="70D50A94"/>
    <w:rsid w:val="70DF7B65"/>
    <w:rsid w:val="70F80491"/>
    <w:rsid w:val="71353C29"/>
    <w:rsid w:val="71922E29"/>
    <w:rsid w:val="720F447A"/>
    <w:rsid w:val="726E11A1"/>
    <w:rsid w:val="72842772"/>
    <w:rsid w:val="74844CAB"/>
    <w:rsid w:val="74B60BDD"/>
    <w:rsid w:val="74E35DC7"/>
    <w:rsid w:val="75091655"/>
    <w:rsid w:val="753366D1"/>
    <w:rsid w:val="75530B22"/>
    <w:rsid w:val="75610B49"/>
    <w:rsid w:val="75B710B1"/>
    <w:rsid w:val="75DC0B17"/>
    <w:rsid w:val="76562678"/>
    <w:rsid w:val="76CA4E14"/>
    <w:rsid w:val="76CC293A"/>
    <w:rsid w:val="77274014"/>
    <w:rsid w:val="774E77F3"/>
    <w:rsid w:val="776E39F1"/>
    <w:rsid w:val="77976AA4"/>
    <w:rsid w:val="77D221D2"/>
    <w:rsid w:val="77F739E6"/>
    <w:rsid w:val="77FE4D75"/>
    <w:rsid w:val="782A7918"/>
    <w:rsid w:val="788A6608"/>
    <w:rsid w:val="78B95140"/>
    <w:rsid w:val="78C0202A"/>
    <w:rsid w:val="78D21D5D"/>
    <w:rsid w:val="78EA70A7"/>
    <w:rsid w:val="790C526F"/>
    <w:rsid w:val="79725A1A"/>
    <w:rsid w:val="797A042B"/>
    <w:rsid w:val="79BC4EE7"/>
    <w:rsid w:val="7A5E7D4D"/>
    <w:rsid w:val="7A6A04A0"/>
    <w:rsid w:val="7A8B7E49"/>
    <w:rsid w:val="7B2A7C2F"/>
    <w:rsid w:val="7B4C229B"/>
    <w:rsid w:val="7B5A49B8"/>
    <w:rsid w:val="7B9A4DB4"/>
    <w:rsid w:val="7C016BE2"/>
    <w:rsid w:val="7C43544C"/>
    <w:rsid w:val="7C444D20"/>
    <w:rsid w:val="7C4F2043"/>
    <w:rsid w:val="7CEA3B1A"/>
    <w:rsid w:val="7CF76237"/>
    <w:rsid w:val="7D580A83"/>
    <w:rsid w:val="7D9D293A"/>
    <w:rsid w:val="7DA43CC8"/>
    <w:rsid w:val="7DC26844"/>
    <w:rsid w:val="7DCC76C3"/>
    <w:rsid w:val="7DD50326"/>
    <w:rsid w:val="7E2E7A36"/>
    <w:rsid w:val="7E3E236F"/>
    <w:rsid w:val="7E7318ED"/>
    <w:rsid w:val="7E77762F"/>
    <w:rsid w:val="7EC860DC"/>
    <w:rsid w:val="7FA44454"/>
    <w:rsid w:val="7FC20D7E"/>
    <w:rsid w:val="7FD14B1D"/>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DD5414E"/>
  <w15:docId w15:val="{227C9FE2-A404-4E26-982C-DCCBC132E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sz w:val="18"/>
      <w:szCs w:val="18"/>
    </w:rPr>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link w:val="FootnoteTextChar"/>
    <w:autoRedefine/>
    <w:uiPriority w:val="99"/>
    <w:semiHidden/>
    <w:unhideWhenUsed/>
    <w:qFormat/>
    <w:pPr>
      <w:snapToGrid w:val="0"/>
      <w:jc w:val="left"/>
    </w:pPr>
    <w:rPr>
      <w:sz w:val="18"/>
      <w:szCs w:val="18"/>
    </w:rPr>
  </w:style>
  <w:style w:type="paragraph" w:styleId="NormalWeb">
    <w:name w:val="Normal (Web)"/>
    <w:basedOn w:val="Normal"/>
    <w:uiPriority w:val="99"/>
    <w:unhideWhenUsed/>
    <w:pPr>
      <w:spacing w:beforeAutospacing="1" w:afterAutospacing="1"/>
      <w:jc w:val="left"/>
    </w:pPr>
    <w:rPr>
      <w:rFonts w:cs="Times New Roman"/>
      <w:kern w:val="0"/>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u w:val="single"/>
    </w:rPr>
  </w:style>
  <w:style w:type="character" w:styleId="FootnoteReference">
    <w:name w:val="footnote reference"/>
    <w:basedOn w:val="DefaultParagraphFont"/>
    <w:autoRedefine/>
    <w:uiPriority w:val="99"/>
    <w:semiHidden/>
    <w:unhideWhenUsed/>
    <w:qFormat/>
    <w:rPr>
      <w:vertAlign w:val="superscript"/>
    </w:rPr>
  </w:style>
  <w:style w:type="character" w:styleId="PlaceholderText">
    <w:name w:val="Placeholder Text"/>
    <w:basedOn w:val="DefaultParagraphFont"/>
    <w:autoRedefine/>
    <w:uiPriority w:val="99"/>
    <w:semiHidden/>
    <w:qFormat/>
    <w:rPr>
      <w:color w:val="808080"/>
    </w:rPr>
  </w:style>
  <w:style w:type="character" w:customStyle="1" w:styleId="fontstyle01">
    <w:name w:val="fontstyle01"/>
    <w:basedOn w:val="DefaultParagraphFont"/>
    <w:autoRedefine/>
    <w:qFormat/>
    <w:rPr>
      <w:rFonts w:ascii="FangSong_GB2312" w:hAnsi="FangSong_GB2312" w:hint="default"/>
      <w:color w:val="000000"/>
      <w:sz w:val="24"/>
      <w:szCs w:val="24"/>
    </w:rPr>
  </w:style>
  <w:style w:type="paragraph" w:customStyle="1" w:styleId="1">
    <w:name w:val="修订1"/>
    <w:hidden/>
    <w:uiPriority w:val="99"/>
    <w:unhideWhenUsed/>
    <w:rPr>
      <w:rFonts w:asciiTheme="minorHAnsi" w:eastAsiaTheme="minorEastAsia" w:hAnsiTheme="minorHAnsi" w:cstheme="minorBidi"/>
      <w:kern w:val="2"/>
      <w:sz w:val="21"/>
      <w:szCs w:val="22"/>
    </w:rPr>
  </w:style>
  <w:style w:type="character" w:customStyle="1" w:styleId="BalloonTextChar">
    <w:name w:val="Balloon Text Char"/>
    <w:basedOn w:val="DefaultParagraphFont"/>
    <w:link w:val="BalloonText"/>
    <w:uiPriority w:val="99"/>
    <w:semiHidden/>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rPr>
      <w:rFonts w:asciiTheme="minorHAnsi" w:eastAsiaTheme="minorEastAsia" w:hAnsiTheme="minorHAnsi" w:cstheme="minorBidi"/>
      <w:kern w:val="2"/>
      <w:sz w:val="18"/>
      <w:szCs w:val="18"/>
    </w:rPr>
  </w:style>
  <w:style w:type="character" w:customStyle="1" w:styleId="HeaderChar">
    <w:name w:val="Header Char"/>
    <w:basedOn w:val="DefaultParagraphFont"/>
    <w:link w:val="Header"/>
    <w:uiPriority w:val="99"/>
    <w:qFormat/>
    <w:rPr>
      <w:rFonts w:asciiTheme="minorHAnsi" w:eastAsiaTheme="minorEastAsia" w:hAnsiTheme="minorHAnsi" w:cstheme="minorBidi"/>
      <w:kern w:val="2"/>
      <w:sz w:val="18"/>
      <w:szCs w:val="18"/>
    </w:rPr>
  </w:style>
  <w:style w:type="character" w:customStyle="1" w:styleId="FootnoteTextChar">
    <w:name w:val="Footnote Text Char"/>
    <w:basedOn w:val="DefaultParagraphFont"/>
    <w:link w:val="FootnoteText"/>
    <w:uiPriority w:val="99"/>
    <w:semiHidden/>
    <w:qFormat/>
    <w:rPr>
      <w:rFonts w:asciiTheme="minorHAnsi" w:eastAsiaTheme="minorEastAsia" w:hAnsiTheme="minorHAnsi" w:cstheme="minorBidi"/>
      <w:kern w:val="2"/>
      <w:sz w:val="18"/>
      <w:szCs w:val="18"/>
    </w:rPr>
  </w:style>
  <w:style w:type="paragraph" w:styleId="ListParagraph">
    <w:name w:val="List Paragraph"/>
    <w:basedOn w:val="Normal"/>
    <w:autoRedefine/>
    <w:uiPriority w:val="34"/>
    <w:qFormat/>
    <w:pPr>
      <w:numPr>
        <w:numId w:val="1"/>
      </w:numPr>
      <w:spacing w:line="360" w:lineRule="auto"/>
    </w:pPr>
  </w:style>
  <w:style w:type="paragraph" w:customStyle="1" w:styleId="10">
    <w:name w:val="书目1"/>
    <w:basedOn w:val="Normal"/>
    <w:next w:val="Normal"/>
    <w:uiPriority w:val="37"/>
    <w:unhideWhenUsed/>
    <w:pPr>
      <w:tabs>
        <w:tab w:val="left" w:pos="504"/>
      </w:tabs>
      <w:ind w:left="504" w:hanging="504"/>
    </w:pPr>
  </w:style>
  <w:style w:type="paragraph" w:customStyle="1" w:styleId="2">
    <w:name w:val="书目2"/>
    <w:basedOn w:val="Normal"/>
    <w:next w:val="Normal"/>
    <w:uiPriority w:val="37"/>
    <w:unhideWhenUsed/>
    <w:pPr>
      <w:spacing w:after="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3625BF4-919A-47DC-8C55-5BD015EF3615}">
  <we:reference id="wa200001361" version="2.2.1.0" store="zh-CN" storeType="OMEX"/>
  <we:alternateReferences>
    <we:reference id="wa200001361" version="2.2.1.0" store="wa200001361" storeType="OMEX"/>
  </we:alternateReferences>
  <we:properties>
    <we:property name="paperpal-document-id" value="&quot;558ff62a-476c-4984-abf8-708bd63f85f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FE7882E0-97F1-4A8A-B664-38964E5F6A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23803</Words>
  <Characters>135679</Characters>
  <Application>Microsoft Office Word</Application>
  <DocSecurity>0</DocSecurity>
  <Lines>1130</Lines>
  <Paragraphs>318</Paragraphs>
  <ScaleCrop>false</ScaleCrop>
  <Company/>
  <LinksUpToDate>false</LinksUpToDate>
  <CharactersWithSpaces>159164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Fang</dc:creator>
  <cp:lastModifiedBy>Nilesh Nawale</cp:lastModifiedBy>
  <cp:revision>2</cp:revision>
  <dcterms:created xsi:type="dcterms:W3CDTF">2024-03-25T08:28:00Z</dcterms:created>
  <dcterms:modified xsi:type="dcterms:W3CDTF">2024-03-25T08:28:00Z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D77A8D4660A94D27A7D8224497CBE9B4_12</vt:lpwstr>
  </property>
  <property fmtid="{D5CDD505-2E9C-101B-9397-08002B2CF9AE}" pid="4" name="ZOTERO_PREF_1">
    <vt:lpwstr>&lt;data data-version="3" zotero-version="6.0.35"&gt;&lt;session id="q0Jsagwd"/&gt;&lt;style id="http://www.zotero.org/styles/bmc-medical-genomics" hasBibliography="1" bibliographyStyleHasBeenSet="1"/&gt;&lt;prefs&gt;&lt;pref name="fieldType" value="Field"/&gt;&lt;/prefs&gt;&lt;/data&gt;</vt:lpwstr>
  </property>
</Properties>
</file>