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D06849" w14:textId="77777777" w:rsidR="00FB561C" w:rsidRPr="00535972" w:rsidRDefault="00FB561C" w:rsidP="00FB561C">
      <w:pPr>
        <w:pStyle w:val="P1"/>
        <w:spacing w:line="240" w:lineRule="atLeast"/>
        <w:rPr>
          <w:b/>
          <w:sz w:val="24"/>
        </w:rPr>
      </w:pPr>
      <w:r w:rsidRPr="00535972">
        <w:rPr>
          <w:b/>
          <w:sz w:val="24"/>
        </w:rPr>
        <w:t>Entry for the Table of Contents</w:t>
      </w:r>
    </w:p>
    <w:p w14:paraId="153D8CF7" w14:textId="6FAC180F" w:rsidR="00FB561C" w:rsidRPr="001B3BBF" w:rsidRDefault="00FB561C" w:rsidP="00FB561C">
      <w:pPr>
        <w:pStyle w:val="TableOfContentText"/>
        <w:spacing w:line="240" w:lineRule="atLeast"/>
        <w:jc w:val="center"/>
        <w:rPr>
          <w:rFonts w:eastAsia="DengXian"/>
          <w:color w:val="auto"/>
          <w:sz w:val="36"/>
          <w:szCs w:val="36"/>
          <w:lang w:val="en-US" w:eastAsia="zh-CN"/>
        </w:rPr>
      </w:pPr>
      <w:r w:rsidRPr="004647E9">
        <w:rPr>
          <w:noProof/>
          <w:lang w:eastAsia="x-none" w:bidi="x-none"/>
        </w:rPr>
        <w:drawing>
          <wp:inline distT="0" distB="0" distL="0" distR="0" wp14:anchorId="740DADC6" wp14:editId="3823E944">
            <wp:extent cx="3038475" cy="1971675"/>
            <wp:effectExtent l="0" t="0" r="9525" b="9525"/>
            <wp:docPr id="16317981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5AE67" w14:textId="77777777" w:rsidR="00FB561C" w:rsidRPr="002D007F" w:rsidRDefault="00FB561C" w:rsidP="00FB561C">
      <w:pPr>
        <w:spacing w:after="60" w:line="300" w:lineRule="exact"/>
        <w:ind w:firstLineChars="200" w:firstLine="380"/>
        <w:rPr>
          <w:sz w:val="19"/>
          <w:szCs w:val="19"/>
          <w:lang w:eastAsia="zh-CN"/>
        </w:rPr>
      </w:pPr>
      <w:r w:rsidRPr="002D007F">
        <w:rPr>
          <w:rFonts w:ascii="Arial" w:hAnsi="Arial" w:cs="Arial"/>
          <w:color w:val="000000"/>
          <w:sz w:val="19"/>
          <w:szCs w:val="19"/>
        </w:rPr>
        <w:t>A novel dual-functional Cu-MOFs catalyst, synthesized using a simple reflux device, demonstrates remarkable versatility in enabling late-stage functionalization of multiple drug molecules. Thirty 1,1-diaryl compounds were successfully synthesized with yields ranging from favorable to excellent, reaching up to 98%. Notably, the catalyst exhibits excellent reusability, retaining its effectiveness for up to six cycles with consistent desired yields. Furthermore, the reaction conditions remain mild, allowing compatibility with a diverse range of functional groups and complex molecules</w:t>
      </w:r>
      <w:r w:rsidRPr="002D007F">
        <w:rPr>
          <w:rFonts w:ascii="Arial" w:hAnsi="Arial" w:cs="Arial" w:hint="eastAsia"/>
          <w:color w:val="000000"/>
          <w:sz w:val="19"/>
          <w:szCs w:val="19"/>
          <w:lang w:eastAsia="zh-CN"/>
        </w:rPr>
        <w:t>.</w:t>
      </w:r>
    </w:p>
    <w:p w14:paraId="73109AFA" w14:textId="77777777" w:rsidR="00FB561C" w:rsidRPr="002D007F" w:rsidRDefault="00FB561C" w:rsidP="00FB561C">
      <w:pPr>
        <w:spacing w:after="0" w:line="300" w:lineRule="exact"/>
        <w:rPr>
          <w:rFonts w:ascii="Arial" w:hAnsi="Arial" w:cs="Arial"/>
          <w:sz w:val="19"/>
          <w:szCs w:val="19"/>
          <w:lang w:eastAsia="zh-CN"/>
        </w:rPr>
      </w:pPr>
    </w:p>
    <w:p w14:paraId="295A7FC6" w14:textId="77777777" w:rsidR="00110104" w:rsidRDefault="00110104"/>
    <w:sectPr w:rsidR="00110104" w:rsidSect="00F717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61C"/>
    <w:rsid w:val="00110104"/>
    <w:rsid w:val="0021090F"/>
    <w:rsid w:val="00220E4E"/>
    <w:rsid w:val="003A76DF"/>
    <w:rsid w:val="00C52827"/>
    <w:rsid w:val="00DB1091"/>
    <w:rsid w:val="00F6645F"/>
    <w:rsid w:val="00F71726"/>
    <w:rsid w:val="00FB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B3AD8"/>
  <w15:chartTrackingRefBased/>
  <w15:docId w15:val="{DC6E93A1-FCA7-4ECF-9188-E3B2EDE1C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561C"/>
    <w:pPr>
      <w:spacing w:after="200" w:line="240" w:lineRule="auto"/>
      <w:jc w:val="both"/>
    </w:pPr>
    <w:rPr>
      <w:rFonts w:ascii="Times" w:eastAsia="DengXian" w:hAnsi="Times" w:cs="Times New Roman"/>
      <w:kern w:val="0"/>
      <w:sz w:val="24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link w:val="P10"/>
    <w:qFormat/>
    <w:rsid w:val="00FB561C"/>
    <w:pPr>
      <w:spacing w:after="0" w:line="225" w:lineRule="exact"/>
    </w:pPr>
    <w:rPr>
      <w:rFonts w:ascii="Arial" w:eastAsia="MS Mincho" w:hAnsi="Arial"/>
      <w:sz w:val="17"/>
      <w:szCs w:val="24"/>
      <w:lang w:eastAsia="ja-JP"/>
    </w:rPr>
  </w:style>
  <w:style w:type="character" w:customStyle="1" w:styleId="P10">
    <w:name w:val="P1 字符"/>
    <w:link w:val="P1"/>
    <w:rsid w:val="00FB561C"/>
    <w:rPr>
      <w:rFonts w:ascii="Arial" w:eastAsia="MS Mincho" w:hAnsi="Arial" w:cs="Times New Roman"/>
      <w:kern w:val="0"/>
      <w:sz w:val="17"/>
      <w:szCs w:val="24"/>
      <w:lang w:eastAsia="ja-JP"/>
      <w14:ligatures w14:val="none"/>
    </w:rPr>
  </w:style>
  <w:style w:type="paragraph" w:customStyle="1" w:styleId="TableOfContentText">
    <w:name w:val="TableOfContentText"/>
    <w:basedOn w:val="Normal"/>
    <w:rsid w:val="00FB561C"/>
    <w:pPr>
      <w:spacing w:before="120" w:after="0" w:line="225" w:lineRule="atLeast"/>
      <w:jc w:val="left"/>
    </w:pPr>
    <w:rPr>
      <w:rFonts w:ascii="Arial" w:eastAsia="MS Mincho" w:hAnsi="Arial"/>
      <w:color w:val="000000"/>
      <w:sz w:val="17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532</Characters>
  <Application>Microsoft Office Word</Application>
  <DocSecurity>0</DocSecurity>
  <Lines>4</Lines>
  <Paragraphs>1</Paragraphs>
  <ScaleCrop>false</ScaleCrop>
  <Company>Springer Nature</Company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2024-04-16T16:19:00Z</dcterms:created>
  <dcterms:modified xsi:type="dcterms:W3CDTF">2024-04-16T16:19:00Z</dcterms:modified>
</cp:coreProperties>
</file>