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FEE0F" w14:textId="2AE767F6" w:rsidR="00F25534" w:rsidRPr="000B3495" w:rsidRDefault="000B3495" w:rsidP="00F25534">
      <w:pPr>
        <w:jc w:val="center"/>
        <w:rPr>
          <w:rFonts w:ascii="Times New Roman" w:eastAsia="黑体" w:hAnsi="Times New Roman" w:cs="Times New Roman" w:hint="eastAsia"/>
          <w:sz w:val="30"/>
          <w:szCs w:val="30"/>
        </w:rPr>
      </w:pPr>
      <w:bookmarkStart w:id="0" w:name="OLE_LINK19"/>
      <w:r w:rsidRPr="000B3495">
        <w:rPr>
          <w:rFonts w:ascii="Times New Roman" w:eastAsia="黑体" w:hAnsi="Times New Roman" w:cs="Times New Roman" w:hint="eastAsia"/>
          <w:sz w:val="30"/>
          <w:szCs w:val="30"/>
        </w:rPr>
        <w:t>Supplemental methods</w:t>
      </w:r>
    </w:p>
    <w:p w14:paraId="786E17AA" w14:textId="17E07D49" w:rsidR="00534780" w:rsidRPr="000B3495" w:rsidRDefault="000B3495" w:rsidP="000B3495">
      <w:pPr>
        <w:spacing w:line="360" w:lineRule="auto"/>
        <w:rPr>
          <w:rFonts w:ascii="Times New Roman" w:hAnsi="Times New Roman" w:cs="Times New Roman"/>
          <w:b/>
          <w:bCs/>
          <w:sz w:val="20"/>
          <w:szCs w:val="20"/>
        </w:rPr>
      </w:pPr>
      <w:r w:rsidRPr="00A82739">
        <w:rPr>
          <w:rFonts w:ascii="Times New Roman" w:hAnsi="Times New Roman" w:cs="Times New Roman"/>
          <w:sz w:val="20"/>
          <w:szCs w:val="20"/>
        </w:rPr>
        <w:t>T</w:t>
      </w:r>
      <w:r w:rsidRPr="00A82739">
        <w:rPr>
          <w:rFonts w:ascii="Times New Roman" w:hAnsi="Times New Roman" w:cs="Times New Roman" w:hint="eastAsia"/>
          <w:sz w:val="20"/>
          <w:szCs w:val="20"/>
        </w:rPr>
        <w:t>h</w:t>
      </w:r>
      <w:r w:rsidRPr="00A82739">
        <w:rPr>
          <w:rFonts w:ascii="Times New Roman" w:hAnsi="Times New Roman" w:cs="Times New Roman"/>
          <w:sz w:val="20"/>
          <w:szCs w:val="20"/>
        </w:rPr>
        <w:t>e inclusion criteria of CHASE study</w:t>
      </w:r>
      <w:r>
        <w:rPr>
          <w:rFonts w:ascii="Times New Roman" w:hAnsi="Times New Roman" w:cs="Times New Roman" w:hint="eastAsia"/>
          <w:b/>
          <w:bCs/>
          <w:sz w:val="20"/>
          <w:szCs w:val="20"/>
        </w:rPr>
        <w:t xml:space="preserve"> </w:t>
      </w:r>
      <w:r w:rsidR="00534780" w:rsidRPr="00A82739">
        <w:rPr>
          <w:rFonts w:ascii="Times New Roman" w:hAnsi="Times New Roman" w:cs="Times New Roman"/>
          <w:sz w:val="20"/>
          <w:szCs w:val="20"/>
        </w:rPr>
        <w:t>were as follows:</w:t>
      </w:r>
      <w:bookmarkStart w:id="1" w:name="_Hlk147831641"/>
      <w:r w:rsidR="00534780" w:rsidRPr="00A82739">
        <w:rPr>
          <w:rFonts w:ascii="Times New Roman" w:hAnsi="Times New Roman" w:cs="Times New Roman"/>
          <w:sz w:val="20"/>
          <w:szCs w:val="20"/>
        </w:rPr>
        <w:t xml:space="preserve"> </w:t>
      </w:r>
      <w:bookmarkStart w:id="2" w:name="_Hlk147830465"/>
      <w:r w:rsidR="00534780" w:rsidRPr="00A82739">
        <w:rPr>
          <w:rFonts w:ascii="Times New Roman" w:hAnsi="Times New Roman" w:cs="Times New Roman"/>
          <w:sz w:val="20"/>
          <w:szCs w:val="20"/>
        </w:rPr>
        <w:t xml:space="preserve">(1) </w:t>
      </w:r>
      <w:bookmarkEnd w:id="1"/>
      <w:r w:rsidR="00565915" w:rsidRPr="00A82739">
        <w:rPr>
          <w:rFonts w:ascii="Times New Roman" w:hAnsi="Times New Roman" w:cs="Times New Roman"/>
          <w:sz w:val="20"/>
          <w:szCs w:val="20"/>
        </w:rPr>
        <w:t>A</w:t>
      </w:r>
      <w:r w:rsidR="00534780" w:rsidRPr="00A82739">
        <w:rPr>
          <w:rFonts w:ascii="Times New Roman" w:hAnsi="Times New Roman" w:cs="Times New Roman"/>
          <w:sz w:val="20"/>
          <w:szCs w:val="20"/>
        </w:rPr>
        <w:t xml:space="preserve">cute onset with one or more of the following 8 major presentations: psychosis, memory deficit, speech disturbance, seizures, movement disorder, disturbance of consciousness, autonomic dysfunction, and central </w:t>
      </w:r>
      <w:r w:rsidR="00565915" w:rsidRPr="00A82739">
        <w:rPr>
          <w:rFonts w:ascii="Times New Roman" w:hAnsi="Times New Roman" w:cs="Times New Roman"/>
          <w:sz w:val="20"/>
          <w:szCs w:val="20"/>
        </w:rPr>
        <w:t>hypoventilation.</w:t>
      </w:r>
      <w:r w:rsidR="00534780" w:rsidRPr="00A82739">
        <w:rPr>
          <w:rFonts w:ascii="Times New Roman" w:hAnsi="Times New Roman" w:cs="Times New Roman"/>
          <w:sz w:val="20"/>
          <w:szCs w:val="20"/>
        </w:rPr>
        <w:t xml:space="preserve"> (2) </w:t>
      </w:r>
      <w:bookmarkStart w:id="3" w:name="_Hlk149472980"/>
      <w:r w:rsidR="00565915" w:rsidRPr="00A82739">
        <w:rPr>
          <w:rFonts w:ascii="Times New Roman" w:hAnsi="Times New Roman" w:cs="Times New Roman"/>
          <w:sz w:val="20"/>
          <w:szCs w:val="20"/>
        </w:rPr>
        <w:t>C</w:t>
      </w:r>
      <w:r w:rsidR="00534780" w:rsidRPr="00A82739">
        <w:rPr>
          <w:rFonts w:ascii="Times New Roman" w:hAnsi="Times New Roman" w:cs="Times New Roman"/>
          <w:sz w:val="20"/>
          <w:szCs w:val="20"/>
        </w:rPr>
        <w:t xml:space="preserve">erebrospinal fluid (CSF) </w:t>
      </w:r>
      <w:r w:rsidR="00014816" w:rsidRPr="00A82739">
        <w:rPr>
          <w:rFonts w:ascii="Times New Roman" w:hAnsi="Times New Roman" w:cs="Times New Roman"/>
          <w:sz w:val="20"/>
          <w:szCs w:val="20"/>
        </w:rPr>
        <w:t xml:space="preserve">or serum </w:t>
      </w:r>
      <w:r w:rsidR="00534780" w:rsidRPr="00A82739">
        <w:rPr>
          <w:rFonts w:ascii="Times New Roman" w:hAnsi="Times New Roman" w:cs="Times New Roman"/>
          <w:sz w:val="20"/>
          <w:szCs w:val="20"/>
        </w:rPr>
        <w:t xml:space="preserve">tests positive for </w:t>
      </w:r>
      <w:r w:rsidR="00014816" w:rsidRPr="00A82739">
        <w:rPr>
          <w:rFonts w:ascii="Times New Roman" w:hAnsi="Times New Roman" w:cs="Times New Roman"/>
          <w:sz w:val="20"/>
          <w:szCs w:val="20"/>
        </w:rPr>
        <w:t xml:space="preserve">autoimmune encephalitis </w:t>
      </w:r>
      <w:r w:rsidR="00534780" w:rsidRPr="00A82739">
        <w:rPr>
          <w:rFonts w:ascii="Times New Roman" w:hAnsi="Times New Roman" w:cs="Times New Roman"/>
          <w:sz w:val="20"/>
          <w:szCs w:val="20"/>
        </w:rPr>
        <w:t>antibodies (cell-based assay)</w:t>
      </w:r>
      <w:r w:rsidR="00565915" w:rsidRPr="00A82739">
        <w:rPr>
          <w:rFonts w:ascii="Times New Roman" w:hAnsi="Times New Roman" w:cs="Times New Roman"/>
          <w:sz w:val="20"/>
          <w:szCs w:val="20"/>
        </w:rPr>
        <w:t>.</w:t>
      </w:r>
      <w:r w:rsidR="00534780" w:rsidRPr="00A82739">
        <w:rPr>
          <w:rFonts w:ascii="Times New Roman" w:hAnsi="Times New Roman" w:cs="Times New Roman"/>
          <w:sz w:val="20"/>
          <w:szCs w:val="20"/>
        </w:rPr>
        <w:t xml:space="preserve"> </w:t>
      </w:r>
      <w:bookmarkEnd w:id="3"/>
      <w:r w:rsidR="00534780" w:rsidRPr="00A82739">
        <w:rPr>
          <w:rFonts w:ascii="Times New Roman" w:hAnsi="Times New Roman" w:cs="Times New Roman"/>
          <w:sz w:val="20"/>
          <w:szCs w:val="20"/>
        </w:rPr>
        <w:t>(</w:t>
      </w:r>
      <w:r w:rsidR="004147B9" w:rsidRPr="00A82739">
        <w:rPr>
          <w:rFonts w:ascii="Times New Roman" w:hAnsi="Times New Roman" w:cs="Times New Roman"/>
          <w:sz w:val="20"/>
          <w:szCs w:val="20"/>
        </w:rPr>
        <w:t>3</w:t>
      </w:r>
      <w:r w:rsidR="00534780" w:rsidRPr="00A82739">
        <w:rPr>
          <w:rFonts w:ascii="Times New Roman" w:hAnsi="Times New Roman" w:cs="Times New Roman"/>
          <w:sz w:val="20"/>
          <w:szCs w:val="20"/>
        </w:rPr>
        <w:t>)</w:t>
      </w:r>
      <w:r w:rsidR="00565915" w:rsidRPr="00A82739">
        <w:rPr>
          <w:rFonts w:ascii="Times New Roman" w:hAnsi="Times New Roman" w:cs="Times New Roman"/>
          <w:sz w:val="20"/>
          <w:szCs w:val="20"/>
        </w:rPr>
        <w:t xml:space="preserve"> Probable antibody-negative autoimmune encephalitis: Absence of well characterized autoantibodies in serum and CSF, and at least two of the following: MRI abnormalities suggesting autoimmune encephalitis, CSF abnormalities (pleocytosis, CSF-</w:t>
      </w:r>
      <w:proofErr w:type="spellStart"/>
      <w:r w:rsidR="00565915" w:rsidRPr="00A82739">
        <w:rPr>
          <w:rFonts w:ascii="Times New Roman" w:hAnsi="Times New Roman" w:cs="Times New Roman"/>
          <w:sz w:val="20"/>
          <w:szCs w:val="20"/>
        </w:rPr>
        <w:t>speciffc</w:t>
      </w:r>
      <w:proofErr w:type="spellEnd"/>
      <w:r w:rsidR="00565915" w:rsidRPr="00A82739">
        <w:rPr>
          <w:rFonts w:ascii="Times New Roman" w:hAnsi="Times New Roman" w:cs="Times New Roman"/>
          <w:sz w:val="20"/>
          <w:szCs w:val="20"/>
        </w:rPr>
        <w:t xml:space="preserve"> oligoclonal bands, or elevated CSF IgG index), brain biopsy showing inflammatory infiltrates and excluding other disorders (</w:t>
      </w:r>
      <w:proofErr w:type="spellStart"/>
      <w:r w:rsidR="00565915" w:rsidRPr="00A82739">
        <w:rPr>
          <w:rFonts w:ascii="Times New Roman" w:hAnsi="Times New Roman" w:cs="Times New Roman"/>
          <w:sz w:val="20"/>
          <w:szCs w:val="20"/>
        </w:rPr>
        <w:t>eg</w:t>
      </w:r>
      <w:proofErr w:type="spellEnd"/>
      <w:r w:rsidR="00565915" w:rsidRPr="00A82739">
        <w:rPr>
          <w:rFonts w:ascii="Times New Roman" w:hAnsi="Times New Roman" w:cs="Times New Roman"/>
          <w:sz w:val="20"/>
          <w:szCs w:val="20"/>
        </w:rPr>
        <w:t xml:space="preserve">, vasculitis or tumor); (4) </w:t>
      </w:r>
      <w:r w:rsidR="00534780" w:rsidRPr="00A82739">
        <w:rPr>
          <w:rFonts w:ascii="Times New Roman" w:hAnsi="Times New Roman" w:cs="Times New Roman"/>
          <w:sz w:val="20"/>
          <w:szCs w:val="20"/>
        </w:rPr>
        <w:t>reasonable exclusion of other diseases</w:t>
      </w:r>
      <w:bookmarkEnd w:id="2"/>
      <w:r w:rsidR="00534780" w:rsidRPr="00A82739">
        <w:rPr>
          <w:rFonts w:ascii="Times New Roman" w:hAnsi="Times New Roman" w:cs="Times New Roman"/>
          <w:sz w:val="20"/>
          <w:szCs w:val="20"/>
        </w:rPr>
        <w:t>; (</w:t>
      </w:r>
      <w:r w:rsidR="00565915" w:rsidRPr="00A82739">
        <w:rPr>
          <w:rFonts w:ascii="Times New Roman" w:hAnsi="Times New Roman" w:cs="Times New Roman"/>
          <w:sz w:val="20"/>
          <w:szCs w:val="20"/>
        </w:rPr>
        <w:t>5</w:t>
      </w:r>
      <w:r w:rsidR="00534780" w:rsidRPr="00A82739">
        <w:rPr>
          <w:rFonts w:ascii="Times New Roman" w:hAnsi="Times New Roman" w:cs="Times New Roman"/>
          <w:sz w:val="20"/>
          <w:szCs w:val="20"/>
        </w:rPr>
        <w:t xml:space="preserve">) admission to one of three large comprehensive neurological centers: </w:t>
      </w:r>
      <w:bookmarkStart w:id="4" w:name="OLE_LINK2"/>
      <w:r w:rsidR="00534780" w:rsidRPr="00A82739">
        <w:rPr>
          <w:rFonts w:ascii="Times New Roman" w:hAnsi="Times New Roman" w:cs="Times New Roman"/>
          <w:sz w:val="20"/>
          <w:szCs w:val="20"/>
        </w:rPr>
        <w:t xml:space="preserve">West China Hospital of Sichuan University, West China Tianfu Hospital of Sichuan University, Chengdu </w:t>
      </w:r>
      <w:proofErr w:type="spellStart"/>
      <w:r w:rsidR="00534780" w:rsidRPr="00A82739">
        <w:rPr>
          <w:rFonts w:ascii="Times New Roman" w:hAnsi="Times New Roman" w:cs="Times New Roman"/>
          <w:sz w:val="20"/>
          <w:szCs w:val="20"/>
        </w:rPr>
        <w:t>Shangjin</w:t>
      </w:r>
      <w:proofErr w:type="spellEnd"/>
      <w:r w:rsidR="00534780" w:rsidRPr="00A82739">
        <w:rPr>
          <w:rFonts w:ascii="Times New Roman" w:hAnsi="Times New Roman" w:cs="Times New Roman"/>
          <w:sz w:val="20"/>
          <w:szCs w:val="20"/>
        </w:rPr>
        <w:t xml:space="preserve"> </w:t>
      </w:r>
      <w:proofErr w:type="spellStart"/>
      <w:r w:rsidR="00534780" w:rsidRPr="00A82739">
        <w:rPr>
          <w:rFonts w:ascii="Times New Roman" w:hAnsi="Times New Roman" w:cs="Times New Roman"/>
          <w:sz w:val="20"/>
          <w:szCs w:val="20"/>
        </w:rPr>
        <w:t>Nanfu</w:t>
      </w:r>
      <w:proofErr w:type="spellEnd"/>
      <w:r w:rsidR="00534780" w:rsidRPr="00A82739">
        <w:rPr>
          <w:rFonts w:ascii="Times New Roman" w:hAnsi="Times New Roman" w:cs="Times New Roman"/>
          <w:sz w:val="20"/>
          <w:szCs w:val="20"/>
        </w:rPr>
        <w:t xml:space="preserve"> Hospital. </w:t>
      </w:r>
      <w:bookmarkStart w:id="5" w:name="OLE_LINK15"/>
      <w:bookmarkEnd w:id="4"/>
      <w:r w:rsidR="00534780" w:rsidRPr="00A82739">
        <w:rPr>
          <w:rFonts w:ascii="Times New Roman" w:hAnsi="Times New Roman" w:cs="Times New Roman"/>
          <w:sz w:val="20"/>
          <w:szCs w:val="20"/>
        </w:rPr>
        <w:t xml:space="preserve">The study protocol received approval from the institutional review boards of the participating centers. </w:t>
      </w:r>
      <w:bookmarkEnd w:id="5"/>
      <w:r w:rsidR="00534780" w:rsidRPr="00A82739">
        <w:rPr>
          <w:rFonts w:ascii="Times New Roman" w:hAnsi="Times New Roman" w:cs="Times New Roman"/>
          <w:sz w:val="20"/>
          <w:szCs w:val="20"/>
        </w:rPr>
        <w:t xml:space="preserve">Informed consent was waived by all institutional review boards. </w:t>
      </w:r>
      <w:r w:rsidR="008D64F2" w:rsidRPr="00A82739">
        <w:rPr>
          <w:rFonts w:ascii="Times New Roman" w:hAnsi="Times New Roman" w:cs="Times New Roman"/>
          <w:sz w:val="20"/>
          <w:szCs w:val="20"/>
        </w:rPr>
        <w:t>For patients with a history of epilepsy, we confirmed that they were either controlled with antiepileptic drugs or stably off medication, and any seizures that occurred at the onset of encephalitis were considered baseline changes.</w:t>
      </w:r>
      <w:r w:rsidR="006648DE" w:rsidRPr="00A82739">
        <w:rPr>
          <w:rFonts w:ascii="Times New Roman" w:hAnsi="Times New Roman" w:cs="Times New Roman"/>
          <w:sz w:val="20"/>
          <w:szCs w:val="20"/>
        </w:rPr>
        <w:t xml:space="preserve"> Prior to the onset of encephalitis symptoms, mental illnesses (including depression, anxiety, or other primary psychiatric disorders) have been confirmed to be stable or under medication control.</w:t>
      </w:r>
    </w:p>
    <w:p w14:paraId="5D44E93E" w14:textId="7B017379" w:rsidR="00E83D36" w:rsidRPr="00A82739" w:rsidRDefault="00534780" w:rsidP="00E06D3C">
      <w:pPr>
        <w:spacing w:line="360" w:lineRule="auto"/>
        <w:ind w:firstLineChars="150" w:firstLine="300"/>
        <w:rPr>
          <w:rFonts w:ascii="Times New Roman" w:hAnsi="Times New Roman" w:cs="Times New Roman"/>
          <w:sz w:val="20"/>
          <w:szCs w:val="20"/>
        </w:rPr>
      </w:pPr>
      <w:bookmarkStart w:id="6" w:name="_Hlk161438671"/>
      <w:r w:rsidRPr="00A82739">
        <w:rPr>
          <w:rFonts w:ascii="Times New Roman" w:hAnsi="Times New Roman" w:cs="Times New Roman"/>
          <w:sz w:val="20"/>
          <w:szCs w:val="20"/>
        </w:rPr>
        <w:t xml:space="preserve">The exclusion criteria were as follows: </w:t>
      </w:r>
      <w:bookmarkStart w:id="7" w:name="_Hlk149472864"/>
      <w:r w:rsidRPr="00A82739">
        <w:rPr>
          <w:rFonts w:ascii="Times New Roman" w:hAnsi="Times New Roman" w:cs="Times New Roman"/>
          <w:sz w:val="20"/>
          <w:szCs w:val="20"/>
        </w:rPr>
        <w:t>(1) lacking follow-up data</w:t>
      </w:r>
      <w:r w:rsidR="00E06D3C" w:rsidRPr="00A82739">
        <w:rPr>
          <w:rFonts w:ascii="Times New Roman" w:hAnsi="Times New Roman" w:cs="Times New Roman"/>
          <w:sz w:val="20"/>
          <w:szCs w:val="20"/>
        </w:rPr>
        <w:t>,</w:t>
      </w:r>
      <w:r w:rsidRPr="00A82739">
        <w:rPr>
          <w:rFonts w:ascii="Times New Roman" w:hAnsi="Times New Roman" w:cs="Times New Roman"/>
          <w:sz w:val="20"/>
          <w:szCs w:val="20"/>
        </w:rPr>
        <w:t xml:space="preserve"> (</w:t>
      </w:r>
      <w:r w:rsidR="004147B9" w:rsidRPr="00A82739">
        <w:rPr>
          <w:rFonts w:ascii="Times New Roman" w:hAnsi="Times New Roman" w:cs="Times New Roman"/>
          <w:sz w:val="20"/>
          <w:szCs w:val="20"/>
        </w:rPr>
        <w:t>2</w:t>
      </w:r>
      <w:r w:rsidRPr="00A82739">
        <w:rPr>
          <w:rFonts w:ascii="Times New Roman" w:hAnsi="Times New Roman" w:cs="Times New Roman"/>
          <w:sz w:val="20"/>
          <w:szCs w:val="20"/>
        </w:rPr>
        <w:t>) lacking key clinical data</w:t>
      </w:r>
      <w:bookmarkEnd w:id="7"/>
      <w:r w:rsidR="00E06D3C" w:rsidRPr="00A82739">
        <w:rPr>
          <w:rFonts w:ascii="Times New Roman" w:hAnsi="Times New Roman" w:cs="Times New Roman"/>
          <w:sz w:val="20"/>
          <w:szCs w:val="20"/>
        </w:rPr>
        <w:t xml:space="preserve">, </w:t>
      </w:r>
      <w:r w:rsidRPr="00A82739">
        <w:rPr>
          <w:rFonts w:ascii="Times New Roman" w:hAnsi="Times New Roman" w:cs="Times New Roman"/>
          <w:sz w:val="20"/>
          <w:szCs w:val="20"/>
        </w:rPr>
        <w:t>(</w:t>
      </w:r>
      <w:r w:rsidR="004147B9" w:rsidRPr="00A82739">
        <w:rPr>
          <w:rFonts w:ascii="Times New Roman" w:hAnsi="Times New Roman" w:cs="Times New Roman"/>
          <w:sz w:val="20"/>
          <w:szCs w:val="20"/>
        </w:rPr>
        <w:t>3</w:t>
      </w:r>
      <w:r w:rsidRPr="00A82739">
        <w:rPr>
          <w:rFonts w:ascii="Times New Roman" w:hAnsi="Times New Roman" w:cs="Times New Roman"/>
          <w:sz w:val="20"/>
          <w:szCs w:val="20"/>
        </w:rPr>
        <w:t xml:space="preserve">) </w:t>
      </w:r>
      <w:r w:rsidR="00E06D3C" w:rsidRPr="00A82739">
        <w:rPr>
          <w:rFonts w:ascii="Times New Roman" w:hAnsi="Times New Roman" w:cs="Times New Roman"/>
          <w:sz w:val="20"/>
          <w:szCs w:val="20"/>
        </w:rPr>
        <w:t xml:space="preserve">patients with pre-existing developmental delay, (4) </w:t>
      </w:r>
      <w:r w:rsidRPr="00A82739">
        <w:rPr>
          <w:rFonts w:ascii="Times New Roman" w:hAnsi="Times New Roman" w:cs="Times New Roman"/>
          <w:sz w:val="20"/>
          <w:szCs w:val="20"/>
        </w:rPr>
        <w:t xml:space="preserve">patients with other etiologies of encephalitis that could potentially affect the prognosis, such as other epileptic disorders, infectious encephalitis, encephalitis of unknown cause, </w:t>
      </w:r>
      <w:r w:rsidR="00427015" w:rsidRPr="00A82739">
        <w:rPr>
          <w:rFonts w:ascii="Times New Roman" w:hAnsi="Times New Roman" w:cs="Times New Roman"/>
          <w:sz w:val="20"/>
          <w:szCs w:val="20"/>
        </w:rPr>
        <w:t xml:space="preserve">septic encephalopathy, </w:t>
      </w:r>
      <w:r w:rsidRPr="00A82739">
        <w:rPr>
          <w:rFonts w:ascii="Times New Roman" w:hAnsi="Times New Roman" w:cs="Times New Roman"/>
          <w:sz w:val="20"/>
          <w:szCs w:val="20"/>
        </w:rPr>
        <w:t xml:space="preserve">metabolic encephalopathy, </w:t>
      </w:r>
      <w:r w:rsidR="00427015" w:rsidRPr="00A82739">
        <w:rPr>
          <w:rFonts w:ascii="Times New Roman" w:hAnsi="Times New Roman" w:cs="Times New Roman"/>
          <w:sz w:val="20"/>
          <w:szCs w:val="20"/>
        </w:rPr>
        <w:t xml:space="preserve">drug toxicity, vasculitis, brain fog as a result of chemotherapy or post-COVID, </w:t>
      </w:r>
      <w:r w:rsidRPr="00A82739">
        <w:rPr>
          <w:rFonts w:ascii="Times New Roman" w:hAnsi="Times New Roman" w:cs="Times New Roman"/>
          <w:sz w:val="20"/>
          <w:szCs w:val="20"/>
        </w:rPr>
        <w:t xml:space="preserve">Bickerstaff encephalitis, Hashimoto’s encephalopathy, cerebral malaria, brain abscess, brain tumor, prion diseases, rheumatic diseases, mitochondrial diseases, Creutzfeldt-Jakob disease, </w:t>
      </w:r>
      <w:r w:rsidR="00427015" w:rsidRPr="00A82739">
        <w:rPr>
          <w:rFonts w:ascii="Times New Roman" w:hAnsi="Times New Roman" w:cs="Times New Roman"/>
          <w:sz w:val="20"/>
          <w:szCs w:val="20"/>
        </w:rPr>
        <w:t xml:space="preserve">Kleine-Levin syndrome, mitochondrial diseases, </w:t>
      </w:r>
      <w:r w:rsidRPr="00A82739">
        <w:rPr>
          <w:rFonts w:ascii="Times New Roman" w:hAnsi="Times New Roman" w:cs="Times New Roman"/>
          <w:sz w:val="20"/>
          <w:szCs w:val="20"/>
        </w:rPr>
        <w:t>or other neurological disorders</w:t>
      </w:r>
      <w:r w:rsidR="00E06D3C" w:rsidRPr="00A82739">
        <w:rPr>
          <w:rFonts w:ascii="Times New Roman" w:hAnsi="Times New Roman" w:cs="Times New Roman"/>
          <w:sz w:val="20"/>
          <w:szCs w:val="20"/>
        </w:rPr>
        <w:t>,</w:t>
      </w:r>
      <w:r w:rsidRPr="00A82739">
        <w:rPr>
          <w:rFonts w:ascii="Times New Roman" w:hAnsi="Times New Roman" w:cs="Times New Roman"/>
          <w:sz w:val="20"/>
          <w:szCs w:val="20"/>
        </w:rPr>
        <w:t xml:space="preserve"> (</w:t>
      </w:r>
      <w:r w:rsidR="00E06D3C" w:rsidRPr="00A82739">
        <w:rPr>
          <w:rFonts w:ascii="Times New Roman" w:hAnsi="Times New Roman" w:cs="Times New Roman"/>
          <w:sz w:val="20"/>
          <w:szCs w:val="20"/>
        </w:rPr>
        <w:t>5</w:t>
      </w:r>
      <w:r w:rsidRPr="00A82739">
        <w:rPr>
          <w:rFonts w:ascii="Times New Roman" w:hAnsi="Times New Roman" w:cs="Times New Roman"/>
          <w:sz w:val="20"/>
          <w:szCs w:val="20"/>
        </w:rPr>
        <w:t xml:space="preserve">) patients with laboratory evidence of infectious encephalitis, for example, viral [TORCH-IgM]; bacterial (CSF smear and culture), mycobacterial (acid fast stain), parasitic (antibody detection), or fungal and cryptococcal (CSF smear, culture and ink stain) meningitis; </w:t>
      </w:r>
    </w:p>
    <w:bookmarkEnd w:id="6"/>
    <w:p w14:paraId="72F282BC" w14:textId="77777777" w:rsidR="00160E77" w:rsidRPr="00A82739" w:rsidRDefault="00160E77">
      <w:pPr>
        <w:widowControl/>
        <w:jc w:val="left"/>
        <w:rPr>
          <w:rFonts w:ascii="Times New Roman" w:hAnsi="Times New Roman" w:cs="Times New Roman"/>
          <w:b/>
          <w:bCs/>
          <w:sz w:val="20"/>
          <w:szCs w:val="20"/>
        </w:rPr>
      </w:pPr>
      <w:r w:rsidRPr="00A82739">
        <w:rPr>
          <w:rFonts w:ascii="Times New Roman" w:hAnsi="Times New Roman" w:cs="Times New Roman"/>
          <w:b/>
          <w:bCs/>
          <w:sz w:val="20"/>
          <w:szCs w:val="20"/>
        </w:rPr>
        <w:br w:type="page"/>
      </w:r>
    </w:p>
    <w:p w14:paraId="63507620" w14:textId="53E1C952" w:rsidR="00160E77" w:rsidRPr="00A82739" w:rsidRDefault="00B23E1E" w:rsidP="000B3495">
      <w:pPr>
        <w:spacing w:line="360" w:lineRule="auto"/>
        <w:ind w:firstLineChars="150" w:firstLine="300"/>
        <w:rPr>
          <w:rFonts w:ascii="Times New Roman" w:hAnsi="Times New Roman" w:cs="Times New Roman"/>
          <w:b/>
          <w:bCs/>
          <w:sz w:val="20"/>
          <w:szCs w:val="20"/>
        </w:rPr>
      </w:pPr>
      <w:r w:rsidRPr="00A82739">
        <w:rPr>
          <w:rFonts w:ascii="Times New Roman" w:hAnsi="Times New Roman" w:cs="Times New Roman"/>
          <w:sz w:val="20"/>
          <w:szCs w:val="20"/>
        </w:rPr>
        <w:lastRenderedPageBreak/>
        <w:t>Standardized data collection includes: (1) epidemiological data, such as sex, age of onset, education level, residence, and ethnicity. Clinical data, such as typical symptoms (such as psychosis, memory deficit, speech disturbance, seizures, movement disorder, disturbance of consciousness, autonomic dysfunction, and central hypoventilation), cooccurrence of symptoms such as fever, headache, dizziness, vomiting, ICU admission (including severe anti-NMDAR encephalitis associated with ovarian teratoma requiring surgery, status epilepticus, requiring mechanical ventilation, and autonomic instability), other clinical phenotypes during the attacks, number of relapses, clinical phenotypes at relapse and at final follow-up, time to first relapse and time to total recovery; (2) biological data, such as CSF cell count (cell count increased &gt;5 cells/mm³), protein, and intracranial pressure; (3) MRI and EEG results</w:t>
      </w:r>
      <w:r w:rsidR="00373E71" w:rsidRPr="00A82739">
        <w:rPr>
          <w:rFonts w:ascii="Times New Roman" w:hAnsi="Times New Roman" w:cs="Times New Roman"/>
          <w:sz w:val="20"/>
          <w:szCs w:val="20"/>
        </w:rPr>
        <w:t xml:space="preserve"> (routine, video, or continuous monitoring)</w:t>
      </w:r>
      <w:r w:rsidRPr="00A82739">
        <w:rPr>
          <w:rFonts w:ascii="Times New Roman" w:hAnsi="Times New Roman" w:cs="Times New Roman"/>
          <w:sz w:val="20"/>
          <w:szCs w:val="20"/>
        </w:rPr>
        <w:t xml:space="preserve">; (4) immunotherapy, including first-line treatment (IVMP, either 1000mg or 500mg of methylprednisolone for </w:t>
      </w:r>
      <w:r w:rsidR="00F22483" w:rsidRPr="00A82739">
        <w:rPr>
          <w:rFonts w:ascii="Times New Roman" w:hAnsi="Times New Roman" w:cs="Times New Roman"/>
          <w:sz w:val="20"/>
          <w:szCs w:val="20"/>
        </w:rPr>
        <w:t>3-</w:t>
      </w:r>
      <w:r w:rsidRPr="00A82739">
        <w:rPr>
          <w:rFonts w:ascii="Times New Roman" w:hAnsi="Times New Roman" w:cs="Times New Roman"/>
          <w:sz w:val="20"/>
          <w:szCs w:val="20"/>
        </w:rPr>
        <w:t>5 days, IVIg,</w:t>
      </w:r>
      <w:r w:rsidR="008005EA" w:rsidRPr="00A82739">
        <w:rPr>
          <w:rFonts w:ascii="Times New Roman" w:hAnsi="Times New Roman" w:cs="Times New Roman"/>
          <w:sz w:val="20"/>
          <w:szCs w:val="20"/>
        </w:rPr>
        <w:t xml:space="preserve"> 0.4mg/kg/days</w:t>
      </w:r>
      <w:r w:rsidRPr="00A82739">
        <w:rPr>
          <w:rFonts w:ascii="Times New Roman" w:hAnsi="Times New Roman" w:cs="Times New Roman"/>
          <w:sz w:val="20"/>
          <w:szCs w:val="20"/>
        </w:rPr>
        <w:t xml:space="preserve"> for 5 days, and plasma exchange alone or in combination), and second-line treatment (mycophenolate mofetil [MMF], tacrolimus, rituximab [RTX], cyclophosphamide [CTX], ofatumumab alone or in combination), was administered. The oral prednisone dose </w:t>
      </w:r>
      <w:r w:rsidR="00591F17" w:rsidRPr="00A82739">
        <w:rPr>
          <w:rFonts w:ascii="Times New Roman" w:hAnsi="Times New Roman" w:cs="Times New Roman"/>
          <w:sz w:val="20"/>
          <w:szCs w:val="20"/>
        </w:rPr>
        <w:t>started at</w:t>
      </w:r>
      <w:r w:rsidRPr="00A82739">
        <w:rPr>
          <w:rFonts w:ascii="Times New Roman" w:hAnsi="Times New Roman" w:cs="Times New Roman"/>
          <w:sz w:val="20"/>
          <w:szCs w:val="20"/>
        </w:rPr>
        <w:t xml:space="preserve"> 1mg/kg/day.</w:t>
      </w:r>
    </w:p>
    <w:p w14:paraId="56EBF533" w14:textId="77777777" w:rsidR="00B30599" w:rsidRPr="00A82739" w:rsidRDefault="00B30599" w:rsidP="000B3495">
      <w:pPr>
        <w:spacing w:line="360" w:lineRule="auto"/>
        <w:ind w:firstLineChars="150" w:firstLine="300"/>
        <w:rPr>
          <w:rFonts w:ascii="Times New Roman" w:hAnsi="Times New Roman" w:cs="Times New Roman"/>
          <w:sz w:val="20"/>
          <w:szCs w:val="20"/>
        </w:rPr>
      </w:pPr>
      <w:r w:rsidRPr="00A82739">
        <w:rPr>
          <w:rFonts w:ascii="Times New Roman" w:hAnsi="Times New Roman" w:cs="Times New Roman"/>
          <w:sz w:val="20"/>
          <w:szCs w:val="20"/>
        </w:rPr>
        <w:t xml:space="preserve">The </w:t>
      </w:r>
      <w:proofErr w:type="spellStart"/>
      <w:r w:rsidRPr="00A82739">
        <w:rPr>
          <w:rFonts w:ascii="Times New Roman" w:hAnsi="Times New Roman" w:cs="Times New Roman"/>
          <w:sz w:val="20"/>
          <w:szCs w:val="20"/>
        </w:rPr>
        <w:t>mRS</w:t>
      </w:r>
      <w:proofErr w:type="spellEnd"/>
      <w:r w:rsidRPr="00A82739">
        <w:rPr>
          <w:rFonts w:ascii="Times New Roman" w:hAnsi="Times New Roman" w:cs="Times New Roman"/>
          <w:sz w:val="20"/>
          <w:szCs w:val="20"/>
        </w:rPr>
        <w:t xml:space="preserve"> scoring system categorizes patients as follows: those who can walk without assistance (</w:t>
      </w:r>
      <w:proofErr w:type="spellStart"/>
      <w:r w:rsidRPr="00A82739">
        <w:rPr>
          <w:rFonts w:ascii="Times New Roman" w:hAnsi="Times New Roman" w:cs="Times New Roman"/>
          <w:sz w:val="20"/>
          <w:szCs w:val="20"/>
        </w:rPr>
        <w:t>mRS</w:t>
      </w:r>
      <w:proofErr w:type="spellEnd"/>
      <w:r w:rsidRPr="00A82739">
        <w:rPr>
          <w:rFonts w:ascii="Times New Roman" w:hAnsi="Times New Roman" w:cs="Times New Roman"/>
          <w:sz w:val="20"/>
          <w:szCs w:val="20"/>
        </w:rPr>
        <w:t xml:space="preserve"> ≤ 2) and those who require assistance while walking (</w:t>
      </w:r>
      <w:proofErr w:type="spellStart"/>
      <w:r w:rsidRPr="00A82739">
        <w:rPr>
          <w:rFonts w:ascii="Times New Roman" w:hAnsi="Times New Roman" w:cs="Times New Roman"/>
          <w:sz w:val="20"/>
          <w:szCs w:val="20"/>
        </w:rPr>
        <w:t>mRS</w:t>
      </w:r>
      <w:proofErr w:type="spellEnd"/>
      <w:r w:rsidRPr="00A82739">
        <w:rPr>
          <w:rFonts w:ascii="Times New Roman" w:hAnsi="Times New Roman" w:cs="Times New Roman"/>
          <w:sz w:val="20"/>
          <w:szCs w:val="20"/>
        </w:rPr>
        <w:t xml:space="preserve"> ≥ 3). The </w:t>
      </w:r>
      <w:proofErr w:type="spellStart"/>
      <w:r w:rsidRPr="00A82739">
        <w:rPr>
          <w:rFonts w:ascii="Times New Roman" w:hAnsi="Times New Roman" w:cs="Times New Roman"/>
          <w:sz w:val="20"/>
          <w:szCs w:val="20"/>
        </w:rPr>
        <w:t>mRS</w:t>
      </w:r>
      <w:proofErr w:type="spellEnd"/>
      <w:r w:rsidRPr="00A82739">
        <w:rPr>
          <w:rFonts w:ascii="Times New Roman" w:hAnsi="Times New Roman" w:cs="Times New Roman"/>
          <w:sz w:val="20"/>
          <w:szCs w:val="20"/>
        </w:rPr>
        <w:t xml:space="preserve"> scoring system rates patients' conditions on a scale of 0 to 6 as follows: 0 (asymptomatic), 1 (nondisabling symptoms that do not interfere with lifestyle), 2 (minor disabling symptoms that lead to some restriction of lifestyle but do not prevent totally independent existence), 3 (symptoms significantly interfering with lifestyle or preventing totally independent existence), 4 (moderately severe disabling symptoms that clearly prevent independent existence with total support needed for basic daily activities), 5 (severe disabling symptoms, totally dependent and requiring constant attention day and night), and 6 (death due to neurologic symptoms).</w:t>
      </w:r>
    </w:p>
    <w:p w14:paraId="17746C3C" w14:textId="77777777" w:rsidR="000B3495" w:rsidRDefault="009576B9" w:rsidP="000B3495">
      <w:pPr>
        <w:widowControl/>
        <w:spacing w:line="360" w:lineRule="auto"/>
        <w:ind w:firstLineChars="200" w:firstLine="400"/>
        <w:jc w:val="left"/>
        <w:rPr>
          <w:rFonts w:ascii="Times New Roman" w:hAnsi="Times New Roman" w:cs="Times New Roman"/>
          <w:b/>
          <w:bCs/>
          <w:sz w:val="20"/>
          <w:szCs w:val="20"/>
        </w:rPr>
      </w:pPr>
      <w:r w:rsidRPr="00A82739">
        <w:rPr>
          <w:rFonts w:ascii="Times New Roman" w:hAnsi="Times New Roman" w:cs="Times New Roman"/>
          <w:sz w:val="20"/>
          <w:szCs w:val="20"/>
        </w:rPr>
        <w:t>For anti-NMDAR IgG antibody detection, both serum and CSF specimens were assessed using indirect immunofluorescence (IIF) on EU 90 cells immobilized on BIOCHIPs (</w:t>
      </w:r>
      <w:proofErr w:type="spellStart"/>
      <w:r w:rsidRPr="00A82739">
        <w:rPr>
          <w:rFonts w:ascii="Times New Roman" w:hAnsi="Times New Roman" w:cs="Times New Roman"/>
          <w:sz w:val="20"/>
          <w:szCs w:val="20"/>
        </w:rPr>
        <w:t>euroimmunAG</w:t>
      </w:r>
      <w:proofErr w:type="spellEnd"/>
      <w:r w:rsidRPr="00A82739">
        <w:rPr>
          <w:rFonts w:ascii="Times New Roman" w:hAnsi="Times New Roman" w:cs="Times New Roman"/>
          <w:sz w:val="20"/>
          <w:szCs w:val="20"/>
        </w:rPr>
        <w:t xml:space="preserve">, Germany), following established protocols </w:t>
      </w:r>
      <w:r w:rsidRPr="00A82739">
        <w:rPr>
          <w:rFonts w:ascii="Times New Roman" w:hAnsi="Times New Roman" w:cs="Times New Roman"/>
          <w:sz w:val="20"/>
          <w:szCs w:val="20"/>
        </w:rPr>
        <w:fldChar w:fldCharType="begin"/>
      </w:r>
      <w:r w:rsidRPr="00A82739">
        <w:rPr>
          <w:rFonts w:ascii="Times New Roman" w:hAnsi="Times New Roman" w:cs="Times New Roman"/>
          <w:sz w:val="20"/>
          <w:szCs w:val="20"/>
        </w:rPr>
        <w:instrText xml:space="preserve"> ADDIN EN.CITE &lt;EndNote&gt;&lt;Cite&gt;&lt;Author&gt;Gong&lt;/Author&gt;&lt;Year&gt;2022&lt;/Year&gt;&lt;RecNum&gt;10359&lt;/RecNum&gt;&lt;DisplayText&gt;&lt;style face="superscript"&gt;1&lt;/style&gt;&lt;/DisplayText&gt;&lt;record&gt;&lt;rec-number&gt;10359&lt;/rec-number&gt;&lt;foreign-keys&gt;&lt;key app="EN" db-id="ervdxxw5r2x9e4eda9cvfpxkxw92w5z0axre" timestamp="1690733304"&gt;10359&lt;/key&gt;&lt;key app="ENWeb" db-id=""&gt;0&lt;/key&gt;&lt;/foreign-keys&gt;&lt;ref-type name="Journal Article"&gt;17&lt;/ref-type&gt;&lt;contributors&gt;&lt;authors&gt;&lt;author&gt;Gong, Xue&lt;/author&gt;&lt;author&gt;Luo, Rong&lt;/author&gt;&lt;author&gt;Liu, Jie&lt;/author&gt;&lt;author&gt;Guo, Kundian&lt;/author&gt;&lt;author&gt;Li, Aiqing&lt;/author&gt;&lt;author&gt;Liu, Xu&lt;/author&gt;&lt;author&gt;Liu, Yue&lt;/author&gt;&lt;author&gt;Zhou, Dong&lt;/author&gt;&lt;author&gt;Hong, Zhen&lt;/author&gt;&lt;/authors&gt;&lt;/contributors&gt;&lt;titles&gt;&lt;title&gt;Efficacy and tolerability of intravenous immunoglobulin versus intravenous </w:instrText>
      </w:r>
      <w:r w:rsidRPr="00A82739">
        <w:rPr>
          <w:rFonts w:ascii="Times New Roman" w:hAnsi="Times New Roman" w:cs="Times New Roman" w:hint="eastAsia"/>
          <w:sz w:val="20"/>
          <w:szCs w:val="20"/>
        </w:rPr>
        <w:instrText>methylprednisolone treatment in anti</w:instrText>
      </w:r>
      <w:r w:rsidRPr="00A82739">
        <w:rPr>
          <w:rFonts w:ascii="Times New Roman" w:hAnsi="Times New Roman" w:cs="Times New Roman" w:hint="eastAsia"/>
          <w:sz w:val="20"/>
          <w:szCs w:val="20"/>
        </w:rPr>
        <w:instrText>‐</w:instrText>
      </w:r>
      <w:r w:rsidRPr="00A82739">
        <w:rPr>
          <w:rFonts w:ascii="Times New Roman" w:hAnsi="Times New Roman" w:cs="Times New Roman" w:hint="eastAsia"/>
          <w:sz w:val="20"/>
          <w:szCs w:val="20"/>
        </w:rPr>
        <w:instrText>N</w:instrText>
      </w:r>
      <w:r w:rsidRPr="00A82739">
        <w:rPr>
          <w:rFonts w:ascii="Times New Roman" w:hAnsi="Times New Roman" w:cs="Times New Roman" w:hint="eastAsia"/>
          <w:sz w:val="20"/>
          <w:szCs w:val="20"/>
        </w:rPr>
        <w:instrText>‐</w:instrText>
      </w:r>
      <w:r w:rsidRPr="00A82739">
        <w:rPr>
          <w:rFonts w:ascii="Times New Roman" w:hAnsi="Times New Roman" w:cs="Times New Roman" w:hint="eastAsia"/>
          <w:sz w:val="20"/>
          <w:szCs w:val="20"/>
        </w:rPr>
        <w:instrText>methyl</w:instrText>
      </w:r>
      <w:r w:rsidRPr="00A82739">
        <w:rPr>
          <w:rFonts w:ascii="Times New Roman" w:hAnsi="Times New Roman" w:cs="Times New Roman" w:hint="eastAsia"/>
          <w:sz w:val="20"/>
          <w:szCs w:val="20"/>
        </w:rPr>
        <w:instrText>‐</w:instrText>
      </w:r>
      <w:r w:rsidRPr="00A82739">
        <w:rPr>
          <w:rFonts w:ascii="Times New Roman" w:hAnsi="Times New Roman" w:cs="Times New Roman" w:hint="eastAsia"/>
          <w:sz w:val="20"/>
          <w:szCs w:val="20"/>
        </w:rPr>
        <w:instrText>d</w:instrText>
      </w:r>
      <w:r w:rsidRPr="00A82739">
        <w:rPr>
          <w:rFonts w:ascii="Times New Roman" w:hAnsi="Times New Roman" w:cs="Times New Roman" w:hint="eastAsia"/>
          <w:sz w:val="20"/>
          <w:szCs w:val="20"/>
        </w:rPr>
        <w:instrText>‐</w:instrText>
      </w:r>
      <w:r w:rsidRPr="00A82739">
        <w:rPr>
          <w:rFonts w:ascii="Times New Roman" w:hAnsi="Times New Roman" w:cs="Times New Roman" w:hint="eastAsia"/>
          <w:sz w:val="20"/>
          <w:szCs w:val="20"/>
        </w:rPr>
        <w:instrText>aspartate receptor encephalitis&lt;/title&gt;&lt;secondary-title&gt;European Journal of Neurology&lt;/secondary-title&gt;&lt;/titles&gt;&lt;periodical&gt;&lt;full-title&gt;Eur J Neurol&lt;/full-title&gt;&lt;abbr-1&gt;European journal of neurology&lt;/abbr-1&gt;</w:instrText>
      </w:r>
      <w:r w:rsidRPr="00A82739">
        <w:rPr>
          <w:rFonts w:ascii="Times New Roman" w:hAnsi="Times New Roman" w:cs="Times New Roman"/>
          <w:sz w:val="20"/>
          <w:szCs w:val="20"/>
        </w:rPr>
        <w:instrText>&lt;/periodical&gt;&lt;pages&gt;1117-1127&lt;/pages&gt;&lt;volume&gt;29&lt;/volume&gt;&lt;number&gt;4&lt;/number&gt;&lt;section&gt;1117&lt;/section&gt;&lt;dates&gt;&lt;year&gt;2022&lt;/year&gt;&lt;/dates&gt;&lt;isbn&gt;1351-5101&amp;#xD;1468-1331&lt;/isbn&gt;&lt;urls&gt;&lt;/urls&gt;&lt;electronic-resource-num&gt;10.1111/ene.15214&lt;/electronic-resource-num&gt;&lt;/record&gt;&lt;/Cite&gt;&lt;/EndNote&gt;</w:instrText>
      </w:r>
      <w:r w:rsidRPr="00A82739">
        <w:rPr>
          <w:rFonts w:ascii="Times New Roman" w:hAnsi="Times New Roman" w:cs="Times New Roman"/>
          <w:sz w:val="20"/>
          <w:szCs w:val="20"/>
        </w:rPr>
        <w:fldChar w:fldCharType="separate"/>
      </w:r>
      <w:r w:rsidRPr="00A82739">
        <w:rPr>
          <w:rFonts w:ascii="Times New Roman" w:hAnsi="Times New Roman" w:cs="Times New Roman"/>
          <w:noProof/>
          <w:sz w:val="20"/>
          <w:szCs w:val="20"/>
          <w:vertAlign w:val="superscript"/>
        </w:rPr>
        <w:t>1</w:t>
      </w:r>
      <w:r w:rsidRPr="00A82739">
        <w:rPr>
          <w:rFonts w:ascii="Times New Roman" w:hAnsi="Times New Roman" w:cs="Times New Roman"/>
          <w:sz w:val="20"/>
          <w:szCs w:val="20"/>
        </w:rPr>
        <w:fldChar w:fldCharType="end"/>
      </w:r>
      <w:r w:rsidRPr="00A82739">
        <w:rPr>
          <w:rFonts w:ascii="Times New Roman" w:hAnsi="Times New Roman" w:cs="Times New Roman"/>
          <w:sz w:val="20"/>
          <w:szCs w:val="20"/>
        </w:rPr>
        <w:t xml:space="preserve">. </w:t>
      </w:r>
      <w:r w:rsidR="00F43EE0" w:rsidRPr="00A82739">
        <w:rPr>
          <w:rFonts w:ascii="Times New Roman" w:hAnsi="Times New Roman" w:cs="Times New Roman"/>
          <w:sz w:val="20"/>
          <w:szCs w:val="20"/>
        </w:rPr>
        <w:t xml:space="preserve">The antibody detection methods were as follows: initially, undiluted CSF or serum samples were incubated at a 1:10 dilution and analyzed as per the manufacturer's instructions. Following incubation with transfected or </w:t>
      </w:r>
      <w:proofErr w:type="spellStart"/>
      <w:r w:rsidR="00F43EE0" w:rsidRPr="00A82739">
        <w:rPr>
          <w:rFonts w:ascii="Times New Roman" w:hAnsi="Times New Roman" w:cs="Times New Roman"/>
          <w:sz w:val="20"/>
          <w:szCs w:val="20"/>
        </w:rPr>
        <w:t>untransfected</w:t>
      </w:r>
      <w:proofErr w:type="spellEnd"/>
      <w:r w:rsidR="00F43EE0" w:rsidRPr="00A82739">
        <w:rPr>
          <w:rFonts w:ascii="Times New Roman" w:hAnsi="Times New Roman" w:cs="Times New Roman"/>
          <w:sz w:val="20"/>
          <w:szCs w:val="20"/>
        </w:rPr>
        <w:t xml:space="preserve"> cell lines, slides were washed and stained using fluorescein-labeled anti-human IgG antibodies. The stained slides were examined under a fluorescence microscope, and sample categorization as positive or negative was </w:t>
      </w:r>
      <w:r w:rsidR="00F43EE0" w:rsidRPr="00A82739">
        <w:rPr>
          <w:rFonts w:ascii="Times New Roman" w:hAnsi="Times New Roman" w:cs="Times New Roman"/>
          <w:sz w:val="20"/>
          <w:szCs w:val="20"/>
        </w:rPr>
        <w:lastRenderedPageBreak/>
        <w:t>based on the intensity of surface immunofluorescence of the transfected cells compared to the non-transfected cells, following the manufacturer's provided guidelines for reading and interpretation.</w:t>
      </w:r>
    </w:p>
    <w:p w14:paraId="2B900389" w14:textId="0CAB01E5" w:rsidR="00C34A1E" w:rsidRPr="000B3495" w:rsidRDefault="00C34A1E" w:rsidP="000B3495">
      <w:pPr>
        <w:widowControl/>
        <w:spacing w:line="360" w:lineRule="auto"/>
        <w:ind w:firstLineChars="200" w:firstLine="400"/>
        <w:jc w:val="left"/>
        <w:rPr>
          <w:rFonts w:ascii="Times New Roman" w:hAnsi="Times New Roman" w:cs="Times New Roman"/>
          <w:b/>
          <w:bCs/>
          <w:sz w:val="20"/>
          <w:szCs w:val="20"/>
        </w:rPr>
      </w:pPr>
      <w:r w:rsidRPr="00A82739">
        <w:rPr>
          <w:rFonts w:ascii="Times New Roman" w:hAnsi="Times New Roman" w:cs="Times New Roman"/>
          <w:sz w:val="20"/>
          <w:szCs w:val="20"/>
        </w:rPr>
        <w:t xml:space="preserve">Propensity scores were calculated using a logistic regression model. Patients were matched in a 1:1:1 variable ratio without replacement, using caliper matching with a caliper of 0.2 SD of the propensity score. Baseline characteristics used to generate the propensity score included age at onset, sex, disturbance of consciousness, CSF antibody titers, IVIG use simultaneously at the first episode, immunosuppressant use simultaneously at the first episode, PE use simultaneously at the first episode, time from onset to treatment, and the number of IVMP. Standardized differences for all covariates were calculated before and after matching, with a difference of 10% or more considered indicative of imbalance </w:t>
      </w:r>
      <w:r w:rsidRPr="00A82739">
        <w:rPr>
          <w:rFonts w:ascii="Times New Roman" w:hAnsi="Times New Roman" w:cs="Times New Roman"/>
          <w:sz w:val="20"/>
          <w:szCs w:val="20"/>
        </w:rPr>
        <w:fldChar w:fldCharType="begin"/>
      </w:r>
      <w:r w:rsidRPr="00A82739">
        <w:rPr>
          <w:rFonts w:ascii="Times New Roman" w:hAnsi="Times New Roman" w:cs="Times New Roman"/>
          <w:sz w:val="20"/>
          <w:szCs w:val="20"/>
        </w:rPr>
        <w:instrText xml:space="preserve"> ADDIN EN.CITE &lt;EndNote&gt;&lt;Cite&gt;&lt;Author&gt;Austin&lt;/Author&gt;&lt;Year&gt;2009&lt;/Year&gt;&lt;RecNum&gt;10465&lt;/RecNum&gt;&lt;DisplayText&gt;&lt;style face="superscript"&gt;2&lt;/style&gt;&lt;/DisplayText&gt;&lt;record&gt;&lt;rec-number&gt;10465&lt;/rec-number&gt;&lt;foreign-keys&gt;&lt;key app="EN" db-id="ervdxxw5r2x9e4eda9cvfpxkxw92w5z0axre" timestamp="1697452657"&gt;10465&lt;/key&gt;&lt;/foreign-keys&gt;&lt;ref-type name="Journal Article"&gt;17&lt;/ref-type&gt;&lt;contributors&gt;&lt;authors&gt;&lt;author&gt;Austin, P. C.&lt;/author&gt;&lt;/authors&gt;&lt;/contributors&gt;&lt;auth-address&gt;Institute for Clinical Evaluative Sciences, G1 06, 2075 Bayview Avenue, Toronto, Ontario, Canada M4N 3M5. peter.austin@ices.on.ca&lt;/auth-address&gt;&lt;titles&gt;&lt;title&gt;Balance diagnostics for comparing the distribution of baseline covariates between treatment groups in propensity-score matched samples&lt;/title&gt;&lt;secondary-title&gt;Stat Med&lt;/secondary-title&gt;&lt;alt-title&gt;Statistics in medicine&lt;/alt-title&gt;&lt;/titles&gt;&lt;periodical&gt;&lt;full-title&gt;Stat Med&lt;/full-title&gt;&lt;abbr-1&gt;Statistics in medicine&lt;/abbr-1&gt;&lt;/periodical&gt;&lt;alt-periodical&gt;&lt;full-title&gt;Stat Med&lt;/full-title&gt;&lt;abbr-1&gt;Statistics in medicine&lt;/abbr-1&gt;&lt;/alt-periodical&gt;&lt;pages&gt;3083-107&lt;/pages&gt;&lt;volume&gt;28&lt;/volume&gt;&lt;number&gt;25&lt;/number&gt;&lt;edition&gt;2009/09/17&lt;/edition&gt;&lt;keywords&gt;&lt;keyword&gt;Aged&lt;/keyword&gt;&lt;keyword&gt;Biometry/*methods&lt;/keyword&gt;&lt;keyword&gt;*Computer Simulation&lt;/keyword&gt;&lt;keyword&gt;Female&lt;/keyword&gt;&lt;keyword&gt;Humans&lt;/keyword&gt;&lt;keyword&gt;Hydroxymethylglutaryl-CoA Reductase Inhibitors/administration &amp;amp;&lt;/keyword&gt;&lt;keyword&gt;dosage/therapeutic use&lt;/keyword&gt;&lt;keyword&gt;Male&lt;/keyword&gt;&lt;keyword&gt;Middle Aged&lt;/keyword&gt;&lt;keyword&gt;*Models, Statistical&lt;/keyword&gt;&lt;keyword&gt;Myocardial Infarction/drug therapy/prevention &amp;amp; control&lt;/keyword&gt;&lt;keyword&gt;*Propensity Score&lt;/keyword&gt;&lt;/keywords&gt;&lt;dates&gt;&lt;year&gt;2009&lt;/year&gt;&lt;pub-dates&gt;&lt;date&gt;Nov 10&lt;/date&gt;&lt;/pub-dates&gt;&lt;/dates&gt;&lt;isbn&gt;0277-6715 (Print)&amp;#xD;0277-6715&lt;/isbn&gt;&lt;accession-num&gt;19757444&lt;/accession-num&gt;&lt;urls&gt;&lt;/urls&gt;&lt;custom2&gt;PMC3472075&lt;/custom2&gt;&lt;electronic-resource-num&gt;10.1002/sim.3697&lt;/electronic-resource-num&gt;&lt;remote-database-provider&gt;NLM&lt;/remote-database-provider&gt;&lt;language&gt;eng&lt;/language&gt;&lt;/record&gt;&lt;/Cite&gt;&lt;/EndNote&gt;</w:instrText>
      </w:r>
      <w:r w:rsidRPr="00A82739">
        <w:rPr>
          <w:rFonts w:ascii="Times New Roman" w:hAnsi="Times New Roman" w:cs="Times New Roman"/>
          <w:sz w:val="20"/>
          <w:szCs w:val="20"/>
        </w:rPr>
        <w:fldChar w:fldCharType="separate"/>
      </w:r>
      <w:r w:rsidRPr="00A82739">
        <w:rPr>
          <w:rFonts w:ascii="Times New Roman" w:hAnsi="Times New Roman" w:cs="Times New Roman"/>
          <w:noProof/>
          <w:sz w:val="20"/>
          <w:szCs w:val="20"/>
          <w:vertAlign w:val="superscript"/>
        </w:rPr>
        <w:t>2</w:t>
      </w:r>
      <w:r w:rsidRPr="00A82739">
        <w:rPr>
          <w:rFonts w:ascii="Times New Roman" w:hAnsi="Times New Roman" w:cs="Times New Roman"/>
          <w:sz w:val="20"/>
          <w:szCs w:val="20"/>
        </w:rPr>
        <w:fldChar w:fldCharType="end"/>
      </w:r>
      <w:r w:rsidRPr="00A82739">
        <w:rPr>
          <w:rFonts w:ascii="Times New Roman" w:hAnsi="Times New Roman" w:cs="Times New Roman"/>
          <w:sz w:val="20"/>
          <w:szCs w:val="20"/>
        </w:rPr>
        <w:t>. Subsequent analyses were performed in paired models, weighted for the matching ratio. We used the Friedman test to compare the OPT groups after matching.</w:t>
      </w:r>
    </w:p>
    <w:p w14:paraId="6D40E634" w14:textId="77777777" w:rsidR="00F25534" w:rsidRPr="00A82739" w:rsidRDefault="00F25534" w:rsidP="00E94383">
      <w:pPr>
        <w:rPr>
          <w:rFonts w:ascii="Times New Roman" w:hAnsi="Times New Roman" w:cs="Times New Roman"/>
          <w:sz w:val="20"/>
          <w:szCs w:val="20"/>
        </w:rPr>
      </w:pPr>
    </w:p>
    <w:p w14:paraId="11506297" w14:textId="77777777" w:rsidR="00D167A6" w:rsidRPr="00A82739" w:rsidRDefault="00D167A6" w:rsidP="00E94383">
      <w:pPr>
        <w:rPr>
          <w:rFonts w:ascii="Times New Roman" w:hAnsi="Times New Roman" w:cs="Times New Roman"/>
          <w:sz w:val="20"/>
          <w:szCs w:val="20"/>
        </w:rPr>
      </w:pPr>
    </w:p>
    <w:p w14:paraId="4608CB97" w14:textId="77777777" w:rsidR="00D167A6" w:rsidRPr="00A82739" w:rsidRDefault="00D167A6" w:rsidP="00E94383">
      <w:pPr>
        <w:rPr>
          <w:rFonts w:ascii="Times New Roman" w:hAnsi="Times New Roman" w:cs="Times New Roman"/>
          <w:sz w:val="20"/>
          <w:szCs w:val="20"/>
        </w:rPr>
      </w:pPr>
    </w:p>
    <w:p w14:paraId="2C65C265" w14:textId="77777777" w:rsidR="00D167A6" w:rsidRPr="00A82739" w:rsidRDefault="00D167A6" w:rsidP="00E94383">
      <w:pPr>
        <w:rPr>
          <w:rFonts w:ascii="Times New Roman" w:hAnsi="Times New Roman" w:cs="Times New Roman"/>
          <w:sz w:val="20"/>
          <w:szCs w:val="20"/>
        </w:rPr>
      </w:pPr>
    </w:p>
    <w:p w14:paraId="555776A3" w14:textId="77777777" w:rsidR="00D167A6" w:rsidRPr="00A82739" w:rsidRDefault="00D167A6" w:rsidP="00E94383">
      <w:pPr>
        <w:rPr>
          <w:rFonts w:ascii="Times New Roman" w:hAnsi="Times New Roman" w:cs="Times New Roman"/>
          <w:sz w:val="20"/>
          <w:szCs w:val="20"/>
        </w:rPr>
      </w:pPr>
    </w:p>
    <w:p w14:paraId="216B538A" w14:textId="77777777" w:rsidR="00D167A6" w:rsidRPr="00A82739" w:rsidRDefault="00D167A6" w:rsidP="00E94383">
      <w:pPr>
        <w:rPr>
          <w:rFonts w:ascii="Times New Roman" w:hAnsi="Times New Roman" w:cs="Times New Roman"/>
          <w:sz w:val="20"/>
          <w:szCs w:val="20"/>
        </w:rPr>
      </w:pPr>
    </w:p>
    <w:p w14:paraId="548B53EF" w14:textId="77777777" w:rsidR="00D167A6" w:rsidRPr="00A82739" w:rsidRDefault="00D167A6" w:rsidP="00E94383">
      <w:pPr>
        <w:rPr>
          <w:rFonts w:ascii="Times New Roman" w:hAnsi="Times New Roman" w:cs="Times New Roman"/>
          <w:sz w:val="20"/>
          <w:szCs w:val="20"/>
        </w:rPr>
      </w:pPr>
    </w:p>
    <w:p w14:paraId="6036D2DE" w14:textId="77777777" w:rsidR="00D167A6" w:rsidRPr="00A82739" w:rsidRDefault="00D167A6" w:rsidP="00E94383">
      <w:pPr>
        <w:rPr>
          <w:rFonts w:ascii="Times New Roman" w:hAnsi="Times New Roman" w:cs="Times New Roman"/>
          <w:sz w:val="20"/>
          <w:szCs w:val="20"/>
        </w:rPr>
      </w:pPr>
    </w:p>
    <w:p w14:paraId="0788AB08" w14:textId="77777777" w:rsidR="00D167A6" w:rsidRPr="00A82739" w:rsidRDefault="00D167A6" w:rsidP="00E94383">
      <w:pPr>
        <w:rPr>
          <w:rFonts w:ascii="Times New Roman" w:hAnsi="Times New Roman" w:cs="Times New Roman"/>
          <w:sz w:val="20"/>
          <w:szCs w:val="20"/>
        </w:rPr>
      </w:pPr>
    </w:p>
    <w:p w14:paraId="62528F5F" w14:textId="77777777" w:rsidR="00D167A6" w:rsidRPr="00A82739" w:rsidRDefault="00D167A6" w:rsidP="00E94383">
      <w:pPr>
        <w:rPr>
          <w:rFonts w:ascii="Times New Roman" w:hAnsi="Times New Roman" w:cs="Times New Roman"/>
          <w:sz w:val="20"/>
          <w:szCs w:val="20"/>
        </w:rPr>
      </w:pPr>
    </w:p>
    <w:p w14:paraId="518368E4" w14:textId="77777777" w:rsidR="00D167A6" w:rsidRPr="00A82739" w:rsidRDefault="00D167A6" w:rsidP="00E94383">
      <w:pPr>
        <w:rPr>
          <w:rFonts w:ascii="Times New Roman" w:hAnsi="Times New Roman" w:cs="Times New Roman"/>
          <w:sz w:val="20"/>
          <w:szCs w:val="20"/>
        </w:rPr>
      </w:pPr>
    </w:p>
    <w:p w14:paraId="2681C573" w14:textId="77777777" w:rsidR="0035356D" w:rsidRPr="00A82739" w:rsidRDefault="0035356D" w:rsidP="00E94383">
      <w:pPr>
        <w:rPr>
          <w:rFonts w:ascii="Times New Roman" w:hAnsi="Times New Roman" w:cs="Times New Roman"/>
          <w:sz w:val="20"/>
          <w:szCs w:val="20"/>
        </w:rPr>
      </w:pPr>
    </w:p>
    <w:p w14:paraId="70CCD558" w14:textId="77777777" w:rsidR="0035356D" w:rsidRPr="00A82739" w:rsidRDefault="0035356D" w:rsidP="00E94383">
      <w:pPr>
        <w:rPr>
          <w:rFonts w:ascii="Times New Roman" w:hAnsi="Times New Roman" w:cs="Times New Roman"/>
          <w:sz w:val="20"/>
          <w:szCs w:val="20"/>
        </w:rPr>
      </w:pPr>
    </w:p>
    <w:p w14:paraId="0B01DFCA" w14:textId="77777777" w:rsidR="0035356D" w:rsidRPr="00A82739" w:rsidRDefault="0035356D" w:rsidP="00E94383">
      <w:pPr>
        <w:rPr>
          <w:rFonts w:ascii="Times New Roman" w:hAnsi="Times New Roman" w:cs="Times New Roman"/>
          <w:sz w:val="20"/>
          <w:szCs w:val="20"/>
        </w:rPr>
      </w:pPr>
    </w:p>
    <w:p w14:paraId="3FEECD07" w14:textId="77777777" w:rsidR="0035356D" w:rsidRPr="00A82739" w:rsidRDefault="0035356D" w:rsidP="00E94383">
      <w:pPr>
        <w:rPr>
          <w:rFonts w:ascii="Times New Roman" w:hAnsi="Times New Roman" w:cs="Times New Roman"/>
          <w:sz w:val="20"/>
          <w:szCs w:val="20"/>
        </w:rPr>
      </w:pPr>
    </w:p>
    <w:p w14:paraId="71EA86DB" w14:textId="77777777" w:rsidR="0035356D" w:rsidRPr="00A82739" w:rsidRDefault="0035356D" w:rsidP="00E94383">
      <w:pPr>
        <w:rPr>
          <w:rFonts w:ascii="Times New Roman" w:hAnsi="Times New Roman" w:cs="Times New Roman"/>
          <w:sz w:val="20"/>
          <w:szCs w:val="20"/>
        </w:rPr>
      </w:pPr>
    </w:p>
    <w:p w14:paraId="58AF6488" w14:textId="77777777" w:rsidR="0035356D" w:rsidRPr="00A82739" w:rsidRDefault="0035356D" w:rsidP="00E94383">
      <w:pPr>
        <w:rPr>
          <w:rFonts w:ascii="Times New Roman" w:hAnsi="Times New Roman" w:cs="Times New Roman"/>
          <w:sz w:val="20"/>
          <w:szCs w:val="20"/>
        </w:rPr>
      </w:pPr>
    </w:p>
    <w:p w14:paraId="23316A7F" w14:textId="77777777" w:rsidR="0035356D" w:rsidRPr="00A82739" w:rsidRDefault="0035356D" w:rsidP="00E94383">
      <w:pPr>
        <w:rPr>
          <w:rFonts w:ascii="Times New Roman" w:hAnsi="Times New Roman" w:cs="Times New Roman"/>
          <w:sz w:val="20"/>
          <w:szCs w:val="20"/>
        </w:rPr>
      </w:pPr>
    </w:p>
    <w:p w14:paraId="5FBA935A" w14:textId="77777777" w:rsidR="0035356D" w:rsidRPr="00A82739" w:rsidRDefault="0035356D" w:rsidP="00E94383">
      <w:pPr>
        <w:rPr>
          <w:rFonts w:ascii="Times New Roman" w:hAnsi="Times New Roman" w:cs="Times New Roman"/>
          <w:sz w:val="20"/>
          <w:szCs w:val="20"/>
        </w:rPr>
      </w:pPr>
    </w:p>
    <w:p w14:paraId="71D9DE2C" w14:textId="77777777" w:rsidR="0035356D" w:rsidRPr="00A82739" w:rsidRDefault="0035356D" w:rsidP="00E94383">
      <w:pPr>
        <w:rPr>
          <w:rFonts w:ascii="Times New Roman" w:hAnsi="Times New Roman" w:cs="Times New Roman"/>
          <w:sz w:val="20"/>
          <w:szCs w:val="20"/>
        </w:rPr>
      </w:pPr>
    </w:p>
    <w:p w14:paraId="35844E1E" w14:textId="77777777" w:rsidR="0035356D" w:rsidRPr="00A82739" w:rsidRDefault="0035356D" w:rsidP="00E94383">
      <w:pPr>
        <w:rPr>
          <w:rFonts w:ascii="Times New Roman" w:hAnsi="Times New Roman" w:cs="Times New Roman"/>
          <w:sz w:val="20"/>
          <w:szCs w:val="20"/>
        </w:rPr>
      </w:pPr>
    </w:p>
    <w:p w14:paraId="67CC7C87" w14:textId="77777777" w:rsidR="0035356D" w:rsidRPr="00A82739" w:rsidRDefault="0035356D" w:rsidP="00E94383">
      <w:pPr>
        <w:rPr>
          <w:rFonts w:ascii="Times New Roman" w:hAnsi="Times New Roman" w:cs="Times New Roman"/>
          <w:sz w:val="20"/>
          <w:szCs w:val="20"/>
        </w:rPr>
      </w:pPr>
    </w:p>
    <w:p w14:paraId="5EF2F9D8" w14:textId="77777777" w:rsidR="0035356D" w:rsidRPr="00A82739" w:rsidRDefault="0035356D" w:rsidP="00E94383">
      <w:pPr>
        <w:rPr>
          <w:rFonts w:ascii="Times New Roman" w:hAnsi="Times New Roman" w:cs="Times New Roman"/>
          <w:sz w:val="20"/>
          <w:szCs w:val="20"/>
        </w:rPr>
      </w:pPr>
    </w:p>
    <w:p w14:paraId="678D1491" w14:textId="77777777" w:rsidR="0035356D" w:rsidRPr="00A82739" w:rsidRDefault="0035356D" w:rsidP="00E94383">
      <w:pPr>
        <w:rPr>
          <w:rFonts w:ascii="Times New Roman" w:hAnsi="Times New Roman" w:cs="Times New Roman"/>
          <w:sz w:val="20"/>
          <w:szCs w:val="20"/>
        </w:rPr>
      </w:pPr>
    </w:p>
    <w:p w14:paraId="7C395A37" w14:textId="77777777" w:rsidR="0035356D" w:rsidRPr="00A82739" w:rsidRDefault="0035356D" w:rsidP="00E94383">
      <w:pPr>
        <w:rPr>
          <w:rFonts w:ascii="Times New Roman" w:hAnsi="Times New Roman" w:cs="Times New Roman"/>
          <w:sz w:val="20"/>
          <w:szCs w:val="20"/>
        </w:rPr>
      </w:pPr>
    </w:p>
    <w:p w14:paraId="1CDB4B08" w14:textId="77777777" w:rsidR="0035356D" w:rsidRPr="00A82739" w:rsidRDefault="0035356D" w:rsidP="00E94383">
      <w:pPr>
        <w:rPr>
          <w:rFonts w:ascii="Times New Roman" w:hAnsi="Times New Roman" w:cs="Times New Roman"/>
          <w:sz w:val="20"/>
          <w:szCs w:val="20"/>
        </w:rPr>
      </w:pPr>
    </w:p>
    <w:p w14:paraId="0509790F" w14:textId="77777777" w:rsidR="0035356D" w:rsidRPr="00A82739" w:rsidRDefault="0035356D" w:rsidP="00E94383">
      <w:pPr>
        <w:rPr>
          <w:rFonts w:ascii="Times New Roman" w:hAnsi="Times New Roman" w:cs="Times New Roman"/>
          <w:sz w:val="20"/>
          <w:szCs w:val="20"/>
        </w:rPr>
      </w:pPr>
    </w:p>
    <w:bookmarkEnd w:id="0"/>
    <w:p w14:paraId="51E1CA91" w14:textId="04CA5AEB" w:rsidR="00160E77" w:rsidRPr="00A82739" w:rsidRDefault="00160E77">
      <w:pPr>
        <w:widowControl/>
        <w:jc w:val="left"/>
        <w:rPr>
          <w:rFonts w:ascii="Times New Roman" w:hAnsi="Times New Roman" w:cs="Times New Roman"/>
          <w:b/>
          <w:bCs/>
          <w:sz w:val="20"/>
          <w:szCs w:val="20"/>
        </w:rPr>
      </w:pPr>
    </w:p>
    <w:sectPr w:rsidR="00160E77" w:rsidRPr="00A827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319EA" w14:textId="77777777" w:rsidR="00354825" w:rsidRDefault="00354825" w:rsidP="00747B49">
      <w:r>
        <w:separator/>
      </w:r>
    </w:p>
  </w:endnote>
  <w:endnote w:type="continuationSeparator" w:id="0">
    <w:p w14:paraId="2E00CBC2" w14:textId="77777777" w:rsidR="00354825" w:rsidRDefault="00354825" w:rsidP="00747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76DEA" w14:textId="77777777" w:rsidR="00354825" w:rsidRDefault="00354825" w:rsidP="00747B49">
      <w:r>
        <w:separator/>
      </w:r>
    </w:p>
  </w:footnote>
  <w:footnote w:type="continuationSeparator" w:id="0">
    <w:p w14:paraId="7E89891B" w14:textId="77777777" w:rsidR="00354825" w:rsidRDefault="00354825" w:rsidP="00747B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AMA&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vdxxw5r2x9e4eda9cvfpxkxw92w5z0axre&quot;&gt;My EndNote Library&lt;record-ids&gt;&lt;item&gt;10359&lt;/item&gt;&lt;item&gt;10465&lt;/item&gt;&lt;/record-ids&gt;&lt;/item&gt;&lt;/Libraries&gt;"/>
  </w:docVars>
  <w:rsids>
    <w:rsidRoot w:val="008960B8"/>
    <w:rsid w:val="0000021D"/>
    <w:rsid w:val="00014816"/>
    <w:rsid w:val="000150DC"/>
    <w:rsid w:val="00017385"/>
    <w:rsid w:val="00021CE6"/>
    <w:rsid w:val="000449DE"/>
    <w:rsid w:val="00066C21"/>
    <w:rsid w:val="00076A2B"/>
    <w:rsid w:val="000776A1"/>
    <w:rsid w:val="000804F4"/>
    <w:rsid w:val="000816CF"/>
    <w:rsid w:val="00086097"/>
    <w:rsid w:val="000971C8"/>
    <w:rsid w:val="000A67D4"/>
    <w:rsid w:val="000A6A10"/>
    <w:rsid w:val="000A6B23"/>
    <w:rsid w:val="000B3495"/>
    <w:rsid w:val="000C2F42"/>
    <w:rsid w:val="000C5972"/>
    <w:rsid w:val="000F1C9E"/>
    <w:rsid w:val="000F51B0"/>
    <w:rsid w:val="001127F0"/>
    <w:rsid w:val="001222F9"/>
    <w:rsid w:val="00127660"/>
    <w:rsid w:val="00127D26"/>
    <w:rsid w:val="0014160C"/>
    <w:rsid w:val="00142F7B"/>
    <w:rsid w:val="00143BBB"/>
    <w:rsid w:val="0014729C"/>
    <w:rsid w:val="00155380"/>
    <w:rsid w:val="00155FFA"/>
    <w:rsid w:val="00156743"/>
    <w:rsid w:val="00160632"/>
    <w:rsid w:val="00160E77"/>
    <w:rsid w:val="001667B5"/>
    <w:rsid w:val="00171575"/>
    <w:rsid w:val="00171628"/>
    <w:rsid w:val="00185D36"/>
    <w:rsid w:val="00190383"/>
    <w:rsid w:val="001959E7"/>
    <w:rsid w:val="001A4A7C"/>
    <w:rsid w:val="001A6995"/>
    <w:rsid w:val="001B7870"/>
    <w:rsid w:val="001D047A"/>
    <w:rsid w:val="001D6A21"/>
    <w:rsid w:val="001E3182"/>
    <w:rsid w:val="001E570A"/>
    <w:rsid w:val="001F7EFE"/>
    <w:rsid w:val="00205331"/>
    <w:rsid w:val="00212287"/>
    <w:rsid w:val="00213A4A"/>
    <w:rsid w:val="00214028"/>
    <w:rsid w:val="002146C8"/>
    <w:rsid w:val="00216823"/>
    <w:rsid w:val="00216B66"/>
    <w:rsid w:val="00224E21"/>
    <w:rsid w:val="00230BA3"/>
    <w:rsid w:val="002319D0"/>
    <w:rsid w:val="00231D75"/>
    <w:rsid w:val="00244D5D"/>
    <w:rsid w:val="00246189"/>
    <w:rsid w:val="0025535D"/>
    <w:rsid w:val="00261890"/>
    <w:rsid w:val="002715E5"/>
    <w:rsid w:val="0027266C"/>
    <w:rsid w:val="002808FA"/>
    <w:rsid w:val="002821DC"/>
    <w:rsid w:val="00284985"/>
    <w:rsid w:val="00287321"/>
    <w:rsid w:val="002910FD"/>
    <w:rsid w:val="00295EE6"/>
    <w:rsid w:val="0029607E"/>
    <w:rsid w:val="002A3217"/>
    <w:rsid w:val="002A3671"/>
    <w:rsid w:val="002A65C1"/>
    <w:rsid w:val="002B23C2"/>
    <w:rsid w:val="002C2392"/>
    <w:rsid w:val="002C2F19"/>
    <w:rsid w:val="002D273F"/>
    <w:rsid w:val="002F078A"/>
    <w:rsid w:val="002F2A55"/>
    <w:rsid w:val="0031267E"/>
    <w:rsid w:val="00315213"/>
    <w:rsid w:val="003203FF"/>
    <w:rsid w:val="00340359"/>
    <w:rsid w:val="00343B96"/>
    <w:rsid w:val="0035356D"/>
    <w:rsid w:val="0035428C"/>
    <w:rsid w:val="00354825"/>
    <w:rsid w:val="00356129"/>
    <w:rsid w:val="003561FA"/>
    <w:rsid w:val="00361D35"/>
    <w:rsid w:val="00364410"/>
    <w:rsid w:val="00373E71"/>
    <w:rsid w:val="003750DF"/>
    <w:rsid w:val="00376857"/>
    <w:rsid w:val="00390231"/>
    <w:rsid w:val="00391118"/>
    <w:rsid w:val="003962F7"/>
    <w:rsid w:val="003A376A"/>
    <w:rsid w:val="003A4D49"/>
    <w:rsid w:val="003B21F8"/>
    <w:rsid w:val="003B467B"/>
    <w:rsid w:val="003C0104"/>
    <w:rsid w:val="003C1019"/>
    <w:rsid w:val="003C5163"/>
    <w:rsid w:val="003D05E3"/>
    <w:rsid w:val="003D1D42"/>
    <w:rsid w:val="003D27D3"/>
    <w:rsid w:val="003D5E4A"/>
    <w:rsid w:val="003E0274"/>
    <w:rsid w:val="003E0C40"/>
    <w:rsid w:val="003E2456"/>
    <w:rsid w:val="003E763F"/>
    <w:rsid w:val="003F45D8"/>
    <w:rsid w:val="003F4815"/>
    <w:rsid w:val="003F69F2"/>
    <w:rsid w:val="003F6AB9"/>
    <w:rsid w:val="003F704E"/>
    <w:rsid w:val="004022A8"/>
    <w:rsid w:val="00403B60"/>
    <w:rsid w:val="00412CAD"/>
    <w:rsid w:val="0041411F"/>
    <w:rsid w:val="00414622"/>
    <w:rsid w:val="004147B9"/>
    <w:rsid w:val="00415FBC"/>
    <w:rsid w:val="00420855"/>
    <w:rsid w:val="00427015"/>
    <w:rsid w:val="00440C94"/>
    <w:rsid w:val="00445067"/>
    <w:rsid w:val="004630F5"/>
    <w:rsid w:val="004632E3"/>
    <w:rsid w:val="00487AB1"/>
    <w:rsid w:val="004924AA"/>
    <w:rsid w:val="0049268D"/>
    <w:rsid w:val="00497F95"/>
    <w:rsid w:val="004A5278"/>
    <w:rsid w:val="004A53D3"/>
    <w:rsid w:val="004A5713"/>
    <w:rsid w:val="004C531B"/>
    <w:rsid w:val="004D68CF"/>
    <w:rsid w:val="004D6CD4"/>
    <w:rsid w:val="004D740C"/>
    <w:rsid w:val="004F0ADE"/>
    <w:rsid w:val="004F2341"/>
    <w:rsid w:val="004F4F0D"/>
    <w:rsid w:val="004F5435"/>
    <w:rsid w:val="005038CD"/>
    <w:rsid w:val="005072D3"/>
    <w:rsid w:val="005211C9"/>
    <w:rsid w:val="00523B45"/>
    <w:rsid w:val="00534780"/>
    <w:rsid w:val="00534F16"/>
    <w:rsid w:val="00550231"/>
    <w:rsid w:val="005563BF"/>
    <w:rsid w:val="00565915"/>
    <w:rsid w:val="0058196D"/>
    <w:rsid w:val="005824E5"/>
    <w:rsid w:val="00591F17"/>
    <w:rsid w:val="005A0D63"/>
    <w:rsid w:val="005A5C67"/>
    <w:rsid w:val="005B4CD8"/>
    <w:rsid w:val="005B6B72"/>
    <w:rsid w:val="005C1E64"/>
    <w:rsid w:val="005C4220"/>
    <w:rsid w:val="005D793C"/>
    <w:rsid w:val="00614E19"/>
    <w:rsid w:val="006155E0"/>
    <w:rsid w:val="00625596"/>
    <w:rsid w:val="00627D8A"/>
    <w:rsid w:val="006348D4"/>
    <w:rsid w:val="006427D6"/>
    <w:rsid w:val="00661E23"/>
    <w:rsid w:val="00662C4F"/>
    <w:rsid w:val="006648DE"/>
    <w:rsid w:val="00667902"/>
    <w:rsid w:val="006710FE"/>
    <w:rsid w:val="006712BC"/>
    <w:rsid w:val="00675F0D"/>
    <w:rsid w:val="0068752C"/>
    <w:rsid w:val="00691608"/>
    <w:rsid w:val="00693477"/>
    <w:rsid w:val="0069405E"/>
    <w:rsid w:val="00696AB2"/>
    <w:rsid w:val="006977FA"/>
    <w:rsid w:val="006A1A6F"/>
    <w:rsid w:val="006A398D"/>
    <w:rsid w:val="006B2F5A"/>
    <w:rsid w:val="006C60D9"/>
    <w:rsid w:val="006D0A44"/>
    <w:rsid w:val="006D4009"/>
    <w:rsid w:val="006D724D"/>
    <w:rsid w:val="006E35C5"/>
    <w:rsid w:val="006E6725"/>
    <w:rsid w:val="006F0348"/>
    <w:rsid w:val="006F0613"/>
    <w:rsid w:val="006F58E3"/>
    <w:rsid w:val="00735EEA"/>
    <w:rsid w:val="0074057D"/>
    <w:rsid w:val="007432FF"/>
    <w:rsid w:val="00747B49"/>
    <w:rsid w:val="00751744"/>
    <w:rsid w:val="00754EEE"/>
    <w:rsid w:val="00757B4C"/>
    <w:rsid w:val="00762B2D"/>
    <w:rsid w:val="00766AEA"/>
    <w:rsid w:val="00781445"/>
    <w:rsid w:val="007815BA"/>
    <w:rsid w:val="007828D8"/>
    <w:rsid w:val="00784503"/>
    <w:rsid w:val="00790E60"/>
    <w:rsid w:val="007929A0"/>
    <w:rsid w:val="007A02CD"/>
    <w:rsid w:val="007A227D"/>
    <w:rsid w:val="007A3414"/>
    <w:rsid w:val="007A3F50"/>
    <w:rsid w:val="007A43A2"/>
    <w:rsid w:val="007B135F"/>
    <w:rsid w:val="007B5EBA"/>
    <w:rsid w:val="007C20AA"/>
    <w:rsid w:val="007C26C0"/>
    <w:rsid w:val="007D1708"/>
    <w:rsid w:val="007D4028"/>
    <w:rsid w:val="007E2446"/>
    <w:rsid w:val="007E6650"/>
    <w:rsid w:val="007F6C30"/>
    <w:rsid w:val="007F6C5C"/>
    <w:rsid w:val="007F7FCB"/>
    <w:rsid w:val="008005EA"/>
    <w:rsid w:val="00805AC2"/>
    <w:rsid w:val="008225DF"/>
    <w:rsid w:val="008253F5"/>
    <w:rsid w:val="00830927"/>
    <w:rsid w:val="00835B46"/>
    <w:rsid w:val="008418B5"/>
    <w:rsid w:val="00843CC4"/>
    <w:rsid w:val="00846406"/>
    <w:rsid w:val="00847ACE"/>
    <w:rsid w:val="00847F36"/>
    <w:rsid w:val="00847F3F"/>
    <w:rsid w:val="00852056"/>
    <w:rsid w:val="00852716"/>
    <w:rsid w:val="00856009"/>
    <w:rsid w:val="0086108D"/>
    <w:rsid w:val="0086159C"/>
    <w:rsid w:val="00873CB6"/>
    <w:rsid w:val="00892D60"/>
    <w:rsid w:val="00892EF1"/>
    <w:rsid w:val="00893429"/>
    <w:rsid w:val="008960B8"/>
    <w:rsid w:val="008A41B7"/>
    <w:rsid w:val="008A5647"/>
    <w:rsid w:val="008B1801"/>
    <w:rsid w:val="008D56B4"/>
    <w:rsid w:val="008D5CB0"/>
    <w:rsid w:val="008D64F2"/>
    <w:rsid w:val="008D796B"/>
    <w:rsid w:val="008E0AA9"/>
    <w:rsid w:val="008E7166"/>
    <w:rsid w:val="0091264D"/>
    <w:rsid w:val="00913AFC"/>
    <w:rsid w:val="009175E2"/>
    <w:rsid w:val="0092234E"/>
    <w:rsid w:val="00931BA5"/>
    <w:rsid w:val="009403EE"/>
    <w:rsid w:val="00941797"/>
    <w:rsid w:val="0094408D"/>
    <w:rsid w:val="00945B8F"/>
    <w:rsid w:val="009463A9"/>
    <w:rsid w:val="0095076F"/>
    <w:rsid w:val="009507A3"/>
    <w:rsid w:val="009551D4"/>
    <w:rsid w:val="009576B9"/>
    <w:rsid w:val="0096039E"/>
    <w:rsid w:val="009618C5"/>
    <w:rsid w:val="00962004"/>
    <w:rsid w:val="00963DF7"/>
    <w:rsid w:val="009654C7"/>
    <w:rsid w:val="00982C1C"/>
    <w:rsid w:val="00984D34"/>
    <w:rsid w:val="00991075"/>
    <w:rsid w:val="00991D20"/>
    <w:rsid w:val="009932B0"/>
    <w:rsid w:val="009A0558"/>
    <w:rsid w:val="009A08C2"/>
    <w:rsid w:val="009A20DC"/>
    <w:rsid w:val="009A36FD"/>
    <w:rsid w:val="009B2689"/>
    <w:rsid w:val="009B3243"/>
    <w:rsid w:val="009B458E"/>
    <w:rsid w:val="009C40C0"/>
    <w:rsid w:val="009C4C2F"/>
    <w:rsid w:val="009D3D93"/>
    <w:rsid w:val="009D5F18"/>
    <w:rsid w:val="009E1C2E"/>
    <w:rsid w:val="009F0329"/>
    <w:rsid w:val="009F1FDA"/>
    <w:rsid w:val="00A01F6B"/>
    <w:rsid w:val="00A0786E"/>
    <w:rsid w:val="00A153A8"/>
    <w:rsid w:val="00A15738"/>
    <w:rsid w:val="00A20CD6"/>
    <w:rsid w:val="00A21EFC"/>
    <w:rsid w:val="00A2382E"/>
    <w:rsid w:val="00A23BFB"/>
    <w:rsid w:val="00A25552"/>
    <w:rsid w:val="00A403F7"/>
    <w:rsid w:val="00A44D96"/>
    <w:rsid w:val="00A46357"/>
    <w:rsid w:val="00A53DCC"/>
    <w:rsid w:val="00A55465"/>
    <w:rsid w:val="00A647AD"/>
    <w:rsid w:val="00A65CCD"/>
    <w:rsid w:val="00A71983"/>
    <w:rsid w:val="00A73611"/>
    <w:rsid w:val="00A81781"/>
    <w:rsid w:val="00A82739"/>
    <w:rsid w:val="00A946C6"/>
    <w:rsid w:val="00A97FC8"/>
    <w:rsid w:val="00AA3995"/>
    <w:rsid w:val="00AB2639"/>
    <w:rsid w:val="00AB712D"/>
    <w:rsid w:val="00AC36EE"/>
    <w:rsid w:val="00AC7FD3"/>
    <w:rsid w:val="00AF588C"/>
    <w:rsid w:val="00B00797"/>
    <w:rsid w:val="00B05F20"/>
    <w:rsid w:val="00B12A61"/>
    <w:rsid w:val="00B21BBA"/>
    <w:rsid w:val="00B22192"/>
    <w:rsid w:val="00B23E1E"/>
    <w:rsid w:val="00B30599"/>
    <w:rsid w:val="00B3136B"/>
    <w:rsid w:val="00B32A2D"/>
    <w:rsid w:val="00B403C0"/>
    <w:rsid w:val="00B54B37"/>
    <w:rsid w:val="00B65526"/>
    <w:rsid w:val="00B7033E"/>
    <w:rsid w:val="00B737BA"/>
    <w:rsid w:val="00B753A0"/>
    <w:rsid w:val="00B7540E"/>
    <w:rsid w:val="00B815D5"/>
    <w:rsid w:val="00B9166A"/>
    <w:rsid w:val="00B94247"/>
    <w:rsid w:val="00B95DDD"/>
    <w:rsid w:val="00BB069E"/>
    <w:rsid w:val="00BB4B4A"/>
    <w:rsid w:val="00BC1639"/>
    <w:rsid w:val="00BC2423"/>
    <w:rsid w:val="00BC2AF1"/>
    <w:rsid w:val="00BC62E2"/>
    <w:rsid w:val="00BC6F31"/>
    <w:rsid w:val="00BD7821"/>
    <w:rsid w:val="00BF4E89"/>
    <w:rsid w:val="00C07FFC"/>
    <w:rsid w:val="00C118FA"/>
    <w:rsid w:val="00C13ABC"/>
    <w:rsid w:val="00C14910"/>
    <w:rsid w:val="00C22E38"/>
    <w:rsid w:val="00C23E3E"/>
    <w:rsid w:val="00C31980"/>
    <w:rsid w:val="00C32404"/>
    <w:rsid w:val="00C34A1E"/>
    <w:rsid w:val="00C37E70"/>
    <w:rsid w:val="00C40305"/>
    <w:rsid w:val="00C443CC"/>
    <w:rsid w:val="00C5725D"/>
    <w:rsid w:val="00C65106"/>
    <w:rsid w:val="00C7449F"/>
    <w:rsid w:val="00CA0882"/>
    <w:rsid w:val="00CA1CAA"/>
    <w:rsid w:val="00CA326B"/>
    <w:rsid w:val="00CC2E43"/>
    <w:rsid w:val="00CD5C54"/>
    <w:rsid w:val="00CE1264"/>
    <w:rsid w:val="00CE5EC1"/>
    <w:rsid w:val="00CF4080"/>
    <w:rsid w:val="00CF4640"/>
    <w:rsid w:val="00CF4E45"/>
    <w:rsid w:val="00CF53D1"/>
    <w:rsid w:val="00CF695C"/>
    <w:rsid w:val="00D1530B"/>
    <w:rsid w:val="00D167A6"/>
    <w:rsid w:val="00D300A3"/>
    <w:rsid w:val="00D306CD"/>
    <w:rsid w:val="00D35264"/>
    <w:rsid w:val="00D4073A"/>
    <w:rsid w:val="00D45F70"/>
    <w:rsid w:val="00D52A9F"/>
    <w:rsid w:val="00D52D75"/>
    <w:rsid w:val="00D56D8E"/>
    <w:rsid w:val="00D63AE5"/>
    <w:rsid w:val="00D66BBC"/>
    <w:rsid w:val="00D67C65"/>
    <w:rsid w:val="00D741E6"/>
    <w:rsid w:val="00D8719F"/>
    <w:rsid w:val="00D9423C"/>
    <w:rsid w:val="00D948DB"/>
    <w:rsid w:val="00DA6084"/>
    <w:rsid w:val="00DB185F"/>
    <w:rsid w:val="00DB4E56"/>
    <w:rsid w:val="00DC5817"/>
    <w:rsid w:val="00DD7A3C"/>
    <w:rsid w:val="00DE399D"/>
    <w:rsid w:val="00DF24BE"/>
    <w:rsid w:val="00DF3366"/>
    <w:rsid w:val="00DF356E"/>
    <w:rsid w:val="00E0318C"/>
    <w:rsid w:val="00E05FDB"/>
    <w:rsid w:val="00E06D3C"/>
    <w:rsid w:val="00E07DF8"/>
    <w:rsid w:val="00E11351"/>
    <w:rsid w:val="00E16247"/>
    <w:rsid w:val="00E25605"/>
    <w:rsid w:val="00E3431A"/>
    <w:rsid w:val="00E47A93"/>
    <w:rsid w:val="00E5318D"/>
    <w:rsid w:val="00E535E9"/>
    <w:rsid w:val="00E56092"/>
    <w:rsid w:val="00E56C87"/>
    <w:rsid w:val="00E61B4B"/>
    <w:rsid w:val="00E66DA2"/>
    <w:rsid w:val="00E77FE5"/>
    <w:rsid w:val="00E83D36"/>
    <w:rsid w:val="00E83FAC"/>
    <w:rsid w:val="00E94383"/>
    <w:rsid w:val="00EA2D36"/>
    <w:rsid w:val="00EB0094"/>
    <w:rsid w:val="00EC13D6"/>
    <w:rsid w:val="00ED3478"/>
    <w:rsid w:val="00ED4F75"/>
    <w:rsid w:val="00ED723D"/>
    <w:rsid w:val="00EE280A"/>
    <w:rsid w:val="00EE34B6"/>
    <w:rsid w:val="00EF74B0"/>
    <w:rsid w:val="00F027D5"/>
    <w:rsid w:val="00F07148"/>
    <w:rsid w:val="00F135D2"/>
    <w:rsid w:val="00F16EBF"/>
    <w:rsid w:val="00F17E16"/>
    <w:rsid w:val="00F2221B"/>
    <w:rsid w:val="00F22483"/>
    <w:rsid w:val="00F25534"/>
    <w:rsid w:val="00F43EE0"/>
    <w:rsid w:val="00F45595"/>
    <w:rsid w:val="00F533BF"/>
    <w:rsid w:val="00F53E2D"/>
    <w:rsid w:val="00F634BE"/>
    <w:rsid w:val="00F634F0"/>
    <w:rsid w:val="00F837F5"/>
    <w:rsid w:val="00F93527"/>
    <w:rsid w:val="00FB5293"/>
    <w:rsid w:val="00FB7F0D"/>
    <w:rsid w:val="00FD3EB5"/>
    <w:rsid w:val="00FD6DFA"/>
    <w:rsid w:val="00FE2CA0"/>
    <w:rsid w:val="00FF435A"/>
    <w:rsid w:val="00FF461A"/>
    <w:rsid w:val="00FF495F"/>
    <w:rsid w:val="00FF7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54C382"/>
  <w15:docId w15:val="{F939C7F0-FB36-40C6-8769-17C65B39A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24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7B49"/>
    <w:pPr>
      <w:tabs>
        <w:tab w:val="center" w:pos="4153"/>
        <w:tab w:val="right" w:pos="8306"/>
      </w:tabs>
      <w:snapToGrid w:val="0"/>
      <w:jc w:val="center"/>
    </w:pPr>
    <w:rPr>
      <w:sz w:val="18"/>
      <w:szCs w:val="18"/>
    </w:rPr>
  </w:style>
  <w:style w:type="character" w:customStyle="1" w:styleId="a4">
    <w:name w:val="页眉 字符"/>
    <w:basedOn w:val="a0"/>
    <w:link w:val="a3"/>
    <w:uiPriority w:val="99"/>
    <w:rsid w:val="00747B49"/>
    <w:rPr>
      <w:sz w:val="18"/>
      <w:szCs w:val="18"/>
    </w:rPr>
  </w:style>
  <w:style w:type="paragraph" w:styleId="a5">
    <w:name w:val="footer"/>
    <w:basedOn w:val="a"/>
    <w:link w:val="a6"/>
    <w:uiPriority w:val="99"/>
    <w:unhideWhenUsed/>
    <w:rsid w:val="00747B49"/>
    <w:pPr>
      <w:tabs>
        <w:tab w:val="center" w:pos="4153"/>
        <w:tab w:val="right" w:pos="8306"/>
      </w:tabs>
      <w:snapToGrid w:val="0"/>
      <w:jc w:val="left"/>
    </w:pPr>
    <w:rPr>
      <w:sz w:val="18"/>
      <w:szCs w:val="18"/>
    </w:rPr>
  </w:style>
  <w:style w:type="character" w:customStyle="1" w:styleId="a6">
    <w:name w:val="页脚 字符"/>
    <w:basedOn w:val="a0"/>
    <w:link w:val="a5"/>
    <w:uiPriority w:val="99"/>
    <w:rsid w:val="00747B49"/>
    <w:rPr>
      <w:sz w:val="18"/>
      <w:szCs w:val="18"/>
    </w:rPr>
  </w:style>
  <w:style w:type="table" w:styleId="a7">
    <w:name w:val="Table Grid"/>
    <w:basedOn w:val="a1"/>
    <w:uiPriority w:val="39"/>
    <w:rsid w:val="00747B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9576B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576B9"/>
    <w:rPr>
      <w:rFonts w:ascii="等线" w:eastAsia="等线" w:hAnsi="等线"/>
      <w:noProof/>
      <w:sz w:val="20"/>
    </w:rPr>
  </w:style>
  <w:style w:type="paragraph" w:customStyle="1" w:styleId="EndNoteBibliography">
    <w:name w:val="EndNote Bibliography"/>
    <w:basedOn w:val="a"/>
    <w:link w:val="EndNoteBibliography0"/>
    <w:rsid w:val="009576B9"/>
    <w:rPr>
      <w:rFonts w:ascii="等线" w:eastAsia="等线" w:hAnsi="等线"/>
      <w:noProof/>
      <w:sz w:val="20"/>
    </w:rPr>
  </w:style>
  <w:style w:type="character" w:customStyle="1" w:styleId="EndNoteBibliography0">
    <w:name w:val="EndNote Bibliography 字符"/>
    <w:basedOn w:val="a0"/>
    <w:link w:val="EndNoteBibliography"/>
    <w:rsid w:val="009576B9"/>
    <w:rPr>
      <w:rFonts w:ascii="等线" w:eastAsia="等线" w:hAnsi="等线"/>
      <w:noProof/>
      <w:sz w:val="20"/>
    </w:rPr>
  </w:style>
  <w:style w:type="character" w:styleId="a8">
    <w:name w:val="annotation reference"/>
    <w:basedOn w:val="a0"/>
    <w:uiPriority w:val="99"/>
    <w:semiHidden/>
    <w:unhideWhenUsed/>
    <w:rsid w:val="00BC2423"/>
    <w:rPr>
      <w:sz w:val="21"/>
      <w:szCs w:val="21"/>
    </w:rPr>
  </w:style>
  <w:style w:type="paragraph" w:styleId="a9">
    <w:name w:val="annotation text"/>
    <w:basedOn w:val="a"/>
    <w:link w:val="aa"/>
    <w:uiPriority w:val="99"/>
    <w:semiHidden/>
    <w:unhideWhenUsed/>
    <w:rsid w:val="00BC2423"/>
    <w:pPr>
      <w:jc w:val="left"/>
    </w:pPr>
  </w:style>
  <w:style w:type="character" w:customStyle="1" w:styleId="aa">
    <w:name w:val="批注文字 字符"/>
    <w:basedOn w:val="a0"/>
    <w:link w:val="a9"/>
    <w:uiPriority w:val="99"/>
    <w:semiHidden/>
    <w:rsid w:val="00BC2423"/>
  </w:style>
  <w:style w:type="paragraph" w:styleId="ab">
    <w:name w:val="annotation subject"/>
    <w:basedOn w:val="a9"/>
    <w:next w:val="a9"/>
    <w:link w:val="ac"/>
    <w:uiPriority w:val="99"/>
    <w:semiHidden/>
    <w:unhideWhenUsed/>
    <w:rsid w:val="00BC2423"/>
    <w:rPr>
      <w:b/>
      <w:bCs/>
    </w:rPr>
  </w:style>
  <w:style w:type="character" w:customStyle="1" w:styleId="ac">
    <w:name w:val="批注主题 字符"/>
    <w:basedOn w:val="aa"/>
    <w:link w:val="ab"/>
    <w:uiPriority w:val="99"/>
    <w:semiHidden/>
    <w:rsid w:val="00BC24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8038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CAAB2-27E4-41E3-B3B1-ED6F02FC0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1483</Words>
  <Characters>8454</Characters>
  <Application>Microsoft Office Word</Application>
  <DocSecurity>0</DocSecurity>
  <Lines>70</Lines>
  <Paragraphs>19</Paragraphs>
  <ScaleCrop>false</ScaleCrop>
  <Company/>
  <LinksUpToDate>false</LinksUpToDate>
  <CharactersWithSpaces>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553775387@qq.com</dc:creator>
  <cp:keywords/>
  <dc:description/>
  <cp:lastModifiedBy>553775387@qq.com</cp:lastModifiedBy>
  <cp:revision>4</cp:revision>
  <dcterms:created xsi:type="dcterms:W3CDTF">2024-03-15T15:42:00Z</dcterms:created>
  <dcterms:modified xsi:type="dcterms:W3CDTF">2024-03-15T15:52:00Z</dcterms:modified>
</cp:coreProperties>
</file>