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C1038F1" w14:textId="66B521EC" w:rsidR="00837A07" w:rsidRPr="00837A07" w:rsidRDefault="00837A07" w:rsidP="003C6A85">
      <w:pPr>
        <w:ind w:firstLine="420"/>
        <w:jc w:val="left"/>
        <w:rPr>
          <w:noProof/>
        </w:rPr>
      </w:pPr>
      <w:r w:rsidRPr="003C6A85">
        <w:rPr>
          <w:rFonts w:ascii="Times New Roman" w:hAnsi="Times New Roman"/>
          <w:color w:val="000000"/>
          <w:sz w:val="24"/>
        </w:rPr>
        <w:t xml:space="preserve">In this study, </w:t>
      </w:r>
      <w:r w:rsidR="003C6A85" w:rsidRPr="003C6A85">
        <w:rPr>
          <w:rFonts w:ascii="Times New Roman" w:hAnsi="Times New Roman"/>
          <w:color w:val="000000"/>
          <w:sz w:val="24"/>
        </w:rPr>
        <w:t>a</w:t>
      </w:r>
      <w:r w:rsidR="003C6A85">
        <w:rPr>
          <w:rFonts w:ascii="Times New Roman" w:hAnsi="Times New Roman"/>
          <w:color w:val="000000"/>
          <w:sz w:val="24"/>
        </w:rPr>
        <w:t xml:space="preserve"> washing-free and rapid sandwich-type chemiluminescence immunoassay (CLIA) was developed for the clinical determination of cardiac troponin I (cTnI) in human whole blood. </w:t>
      </w:r>
    </w:p>
    <w:p w14:paraId="08343EA4" w14:textId="4F932AE8" w:rsidR="0049390C" w:rsidRDefault="000C6C67" w:rsidP="00837A07">
      <w:bookmarkStart w:id="0" w:name="_GoBack"/>
      <w:r>
        <w:rPr>
          <w:noProof/>
        </w:rPr>
        <w:drawing>
          <wp:inline distT="0" distB="0" distL="0" distR="0" wp14:anchorId="5BE1ED02" wp14:editId="054E40B2">
            <wp:extent cx="4952365" cy="679704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2365" cy="6797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58302A91" w14:textId="23FF7390" w:rsidR="00837A07" w:rsidRDefault="00837A07" w:rsidP="00837A07">
      <w:pPr>
        <w:jc w:val="center"/>
      </w:pPr>
    </w:p>
    <w:sectPr w:rsidR="00837A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DAF3692" w14:textId="77777777" w:rsidR="000A7AF1" w:rsidRDefault="000A7AF1" w:rsidP="00837A07">
      <w:r>
        <w:separator/>
      </w:r>
    </w:p>
  </w:endnote>
  <w:endnote w:type="continuationSeparator" w:id="0">
    <w:p w14:paraId="55EDD256" w14:textId="77777777" w:rsidR="000A7AF1" w:rsidRDefault="000A7AF1" w:rsidP="00837A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7F6FF3E" w14:textId="77777777" w:rsidR="000A7AF1" w:rsidRDefault="000A7AF1" w:rsidP="00837A07">
      <w:r>
        <w:separator/>
      </w:r>
    </w:p>
  </w:footnote>
  <w:footnote w:type="continuationSeparator" w:id="0">
    <w:p w14:paraId="56B217D6" w14:textId="77777777" w:rsidR="000A7AF1" w:rsidRDefault="000A7AF1" w:rsidP="00837A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I1NDExMLEwN7A0NDJT0lEKTi0uzszPAykwrAUA5WQDaiwAAAA="/>
  </w:docVars>
  <w:rsids>
    <w:rsidRoot w:val="005345A0"/>
    <w:rsid w:val="000A7AF1"/>
    <w:rsid w:val="000C6C67"/>
    <w:rsid w:val="003C6A85"/>
    <w:rsid w:val="0049390C"/>
    <w:rsid w:val="005345A0"/>
    <w:rsid w:val="007D6C48"/>
    <w:rsid w:val="00837A07"/>
    <w:rsid w:val="00BA10F8"/>
    <w:rsid w:val="00C07548"/>
    <w:rsid w:val="00EC4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42FE23"/>
  <w15:chartTrackingRefBased/>
  <w15:docId w15:val="{C98E2A6C-273A-4776-AFC1-731FAA3AAB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37A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37A0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37A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37A0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28</Words>
  <Characters>163</Characters>
  <Application>Microsoft Office Word</Application>
  <DocSecurity>0</DocSecurity>
  <Lines>1</Lines>
  <Paragraphs>1</Paragraphs>
  <ScaleCrop>false</ScaleCrop>
  <Company/>
  <LinksUpToDate>false</LinksUpToDate>
  <CharactersWithSpaces>190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赵欢</dc:creator>
  <cp:keywords/>
  <dc:description/>
  <cp:lastModifiedBy>刘 媛</cp:lastModifiedBy>
  <cp:revision>5</cp:revision>
  <dcterms:created xsi:type="dcterms:W3CDTF">2021-01-15T05:58:00Z</dcterms:created>
  <dcterms:modified xsi:type="dcterms:W3CDTF">2021-04-10T10:50:00Z</dcterms:modified>
</cp:coreProperties>
</file>