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1721" w:rsidRPr="00850757" w:rsidRDefault="00F85A7C" w:rsidP="00CD6DD4">
      <w:pPr>
        <w:spacing w:before="0" w:after="0"/>
        <w:jc w:val="center"/>
        <w:rPr>
          <w:rFonts w:ascii="Times New Roman" w:hAnsi="Times New Roman" w:cs="Times New Roman"/>
          <w:sz w:val="32"/>
          <w:szCs w:val="32"/>
        </w:rPr>
      </w:pPr>
      <w:r w:rsidRPr="00850757">
        <w:rPr>
          <w:rFonts w:ascii="Times New Roman" w:hAnsi="Times New Roman" w:cs="Times New Roman"/>
          <w:sz w:val="32"/>
          <w:szCs w:val="32"/>
        </w:rPr>
        <w:t>Supplementary information</w:t>
      </w:r>
    </w:p>
    <w:p w:rsidR="00777E5E" w:rsidRDefault="00777E5E" w:rsidP="00777E5E">
      <w:pPr>
        <w:spacing w:line="480" w:lineRule="auto"/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777E5E">
        <w:rPr>
          <w:rFonts w:ascii="Times New Roman" w:eastAsiaTheme="majorEastAsia" w:hAnsi="Times New Roman" w:cs="Times New Roman"/>
          <w:b/>
          <w:bCs/>
          <w:sz w:val="28"/>
          <w:szCs w:val="28"/>
        </w:rPr>
        <w:t>Engineering the catalyst interface enable</w:t>
      </w:r>
      <w:r w:rsidR="00B9406C">
        <w:rPr>
          <w:rFonts w:ascii="Times New Roman" w:eastAsiaTheme="majorEastAsia" w:hAnsi="Times New Roman" w:cs="Times New Roman"/>
          <w:b/>
          <w:bCs/>
          <w:sz w:val="28"/>
          <w:szCs w:val="28"/>
        </w:rPr>
        <w:t>s</w:t>
      </w:r>
      <w:r w:rsidRPr="00777E5E">
        <w:rPr>
          <w:rFonts w:ascii="Times New Roman" w:eastAsiaTheme="majorEastAsia" w:hAnsi="Times New Roman" w:cs="Times New Roman"/>
          <w:b/>
          <w:bCs/>
          <w:sz w:val="28"/>
          <w:szCs w:val="28"/>
        </w:rPr>
        <w:t xml:space="preserve"> high carbon efficiency in both cation-exchange and bipolar membrane electrolyzers</w:t>
      </w:r>
    </w:p>
    <w:p w:rsidR="00102D9D" w:rsidRPr="00B96058" w:rsidRDefault="00102D9D" w:rsidP="00102D9D">
      <w:pPr>
        <w:spacing w:line="480" w:lineRule="auto"/>
        <w:rPr>
          <w:rFonts w:ascii="Times New Roman" w:eastAsia="Times New Roman" w:hAnsi="Times New Roman" w:cs="Times New Roman"/>
          <w:i/>
          <w:color w:val="000000" w:themeColor="text1"/>
          <w:sz w:val="24"/>
        </w:rPr>
      </w:pPr>
      <w:r w:rsidRPr="009B7091">
        <w:rPr>
          <w:rFonts w:ascii="Times New Roman" w:eastAsia="Times New Roman" w:hAnsi="Times New Roman" w:cs="Times New Roman"/>
          <w:color w:val="000000" w:themeColor="text1"/>
          <w:sz w:val="24"/>
        </w:rPr>
        <w:t>Huali Wu</w:t>
      </w:r>
      <w:r w:rsidR="002B472B">
        <w:rPr>
          <w:rFonts w:ascii="Times New Roman" w:eastAsia="Times New Roman" w:hAnsi="Times New Roman" w:cs="Times New Roman"/>
          <w:color w:val="000000" w:themeColor="text1"/>
          <w:sz w:val="24"/>
        </w:rPr>
        <w:t>*</w:t>
      </w:r>
      <w:r w:rsidRPr="009B7091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>1</w:t>
      </w:r>
      <w:r w:rsidRPr="009B709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, </w:t>
      </w:r>
      <w:r w:rsidRPr="00BA7C18">
        <w:rPr>
          <w:rFonts w:ascii="Times New Roman" w:eastAsia="Times New Roman" w:hAnsi="Times New Roman" w:cs="Times New Roman"/>
          <w:color w:val="000000" w:themeColor="text1"/>
          <w:sz w:val="24"/>
        </w:rPr>
        <w:t>Bonito Aristide K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>aramoko</w:t>
      </w:r>
      <w:r w:rsidRPr="00BA7C18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, </w:t>
      </w:r>
      <w:r w:rsidRPr="009B7091">
        <w:rPr>
          <w:rFonts w:ascii="Times New Roman" w:hAnsi="Times New Roman" w:cs="Times New Roman"/>
          <w:color w:val="000000" w:themeColor="text1"/>
          <w:sz w:val="24"/>
        </w:rPr>
        <w:t>Wensen Wang</w:t>
      </w:r>
      <w:r w:rsidRPr="009B7091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9B7091">
        <w:rPr>
          <w:rFonts w:ascii="Times New Roman" w:hAnsi="Times New Roman" w:cs="Times New Roman"/>
          <w:color w:val="000000" w:themeColor="text1"/>
          <w:sz w:val="24"/>
        </w:rPr>
        <w:t>, Jiefeng Liu</w:t>
      </w:r>
      <w:r w:rsidRPr="009B7091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9B7091">
        <w:rPr>
          <w:rFonts w:ascii="Times New Roman" w:hAnsi="Times New Roman" w:cs="Times New Roman"/>
          <w:color w:val="000000" w:themeColor="text1"/>
          <w:sz w:val="24"/>
        </w:rPr>
        <w:t>, Eddy Petit</w:t>
      </w:r>
      <w:r w:rsidRPr="009B7091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9B709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850757">
        <w:rPr>
          <w:rFonts w:ascii="Times New Roman" w:hAnsi="Times New Roman" w:cs="Times New Roman"/>
          <w:color w:val="000000" w:themeColor="text1"/>
          <w:sz w:val="24"/>
        </w:rPr>
        <w:t>Suming Li</w:t>
      </w:r>
      <w:r w:rsidR="00850757" w:rsidRPr="00531B4A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="0085075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9B7091">
        <w:rPr>
          <w:rFonts w:ascii="Times New Roman" w:hAnsi="Times New Roman" w:cs="Times New Roman"/>
          <w:color w:val="000000" w:themeColor="text1"/>
          <w:sz w:val="24"/>
        </w:rPr>
        <w:t>Chrystelle Salameh</w:t>
      </w:r>
      <w:r w:rsidRPr="009B7091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9B709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9B7091">
        <w:rPr>
          <w:rFonts w:ascii="Times New Roman" w:eastAsia="Times New Roman" w:hAnsi="Times New Roman" w:cs="Times New Roman"/>
          <w:color w:val="000000" w:themeColor="text1"/>
          <w:sz w:val="24"/>
        </w:rPr>
        <w:t>Damien Voiry*</w:t>
      </w:r>
      <w:r w:rsidRPr="009B7091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>1</w:t>
      </w:r>
      <w:r w:rsidRPr="009B7091">
        <w:rPr>
          <w:rFonts w:ascii="Times New Roman" w:eastAsia="Times New Roman" w:hAnsi="Times New Roman" w:cs="Times New Roman"/>
          <w:i/>
          <w:color w:val="000000" w:themeColor="text1"/>
          <w:sz w:val="24"/>
        </w:rPr>
        <w:t xml:space="preserve"> </w:t>
      </w:r>
    </w:p>
    <w:p w:rsidR="00102D9D" w:rsidRDefault="00102D9D" w:rsidP="00102D9D">
      <w:pPr>
        <w:spacing w:before="0"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lang w:val="fr-FR"/>
        </w:rPr>
      </w:pPr>
      <w:r w:rsidRPr="009B7091">
        <w:rPr>
          <w:rFonts w:ascii="Times New Roman" w:eastAsia="Times New Roman" w:hAnsi="Times New Roman" w:cs="Times New Roman"/>
          <w:i/>
          <w:color w:val="000000" w:themeColor="text1"/>
          <w:sz w:val="24"/>
          <w:vertAlign w:val="superscript"/>
          <w:lang w:val="fr-FR"/>
        </w:rPr>
        <w:t xml:space="preserve">1 </w:t>
      </w:r>
      <w:r w:rsidRPr="009B7091">
        <w:rPr>
          <w:rFonts w:ascii="Times New Roman" w:eastAsia="Times New Roman" w:hAnsi="Times New Roman" w:cs="Times New Roman"/>
          <w:i/>
          <w:color w:val="000000" w:themeColor="text1"/>
          <w:sz w:val="24"/>
          <w:lang w:val="fr-FR"/>
        </w:rPr>
        <w:t>Institut Européen des Membranes, IEM, UMR 5635, Université Montpellier, ENSCM, CNRS, Montpellier 34000, France</w:t>
      </w:r>
    </w:p>
    <w:p w:rsidR="00102D9D" w:rsidRPr="00B9406C" w:rsidRDefault="00102D9D" w:rsidP="00102D9D">
      <w:pPr>
        <w:spacing w:before="0" w:after="0"/>
        <w:rPr>
          <w:rFonts w:ascii="Times New Roman" w:hAnsi="Times New Roman" w:cs="Times New Roman"/>
          <w:b/>
          <w:bCs/>
          <w:sz w:val="24"/>
          <w:lang w:val="fr-FR"/>
        </w:rPr>
      </w:pPr>
      <w:bookmarkStart w:id="0" w:name="_GoBack"/>
      <w:bookmarkEnd w:id="0"/>
    </w:p>
    <w:p w:rsidR="00102D9D" w:rsidRPr="00B9406C" w:rsidRDefault="00102D9D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DC7C4C" w:rsidRPr="00B9406C" w:rsidRDefault="00DC7C4C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54440E" w:rsidRPr="00B9406C" w:rsidRDefault="0054440E" w:rsidP="00CD6DD4">
      <w:pPr>
        <w:spacing w:before="0" w:after="0"/>
        <w:jc w:val="center"/>
        <w:rPr>
          <w:rFonts w:ascii="Times New Roman" w:hAnsi="Times New Roman" w:cs="Times New Roman"/>
          <w:sz w:val="24"/>
          <w:lang w:val="fr-FR"/>
        </w:rPr>
      </w:pPr>
    </w:p>
    <w:p w:rsidR="00BF08AB" w:rsidRDefault="00903AC8">
      <w:pPr>
        <w:pStyle w:val="TM2"/>
        <w:rPr>
          <w:noProof/>
          <w14:ligatures w14:val="standardContextual"/>
        </w:rPr>
      </w:pPr>
      <w:r>
        <w:rPr>
          <w:rFonts w:ascii="Times New Roman" w:hAnsi="Times New Roman" w:cs="Times New Roman"/>
          <w:sz w:val="24"/>
          <w:highlight w:val="lightGray"/>
        </w:rPr>
        <w:lastRenderedPageBreak/>
        <w:fldChar w:fldCharType="begin"/>
      </w:r>
      <w:r>
        <w:rPr>
          <w:rFonts w:ascii="Times New Roman" w:hAnsi="Times New Roman" w:cs="Times New Roman"/>
          <w:sz w:val="24"/>
          <w:highlight w:val="lightGray"/>
        </w:rPr>
        <w:instrText xml:space="preserve"> </w:instrText>
      </w:r>
      <w:r>
        <w:rPr>
          <w:rFonts w:ascii="Times New Roman" w:hAnsi="Times New Roman" w:cs="Times New Roman" w:hint="eastAsia"/>
          <w:sz w:val="24"/>
          <w:highlight w:val="lightGray"/>
        </w:rPr>
        <w:instrText>TOC \o "1-3" \h \z \u</w:instrText>
      </w:r>
      <w:r>
        <w:rPr>
          <w:rFonts w:ascii="Times New Roman" w:hAnsi="Times New Roman" w:cs="Times New Roman"/>
          <w:sz w:val="24"/>
          <w:highlight w:val="lightGray"/>
        </w:rPr>
        <w:instrText xml:space="preserve"> </w:instrText>
      </w:r>
      <w:r>
        <w:rPr>
          <w:rFonts w:ascii="Times New Roman" w:hAnsi="Times New Roman" w:cs="Times New Roman"/>
          <w:sz w:val="24"/>
          <w:highlight w:val="lightGray"/>
        </w:rPr>
        <w:fldChar w:fldCharType="separate"/>
      </w:r>
      <w:hyperlink w:anchor="_Toc155953393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Note S1.</w:t>
        </w:r>
        <w:r w:rsidR="00BF08AB" w:rsidRPr="00961823">
          <w:rPr>
            <w:rStyle w:val="Lienhypertexte"/>
            <w:noProof/>
          </w:rPr>
          <w:t xml:space="preserve"> 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Mechanism of carbonate formation in anion-exchange membrane (AEM) during 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electroreduction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_Toc155953393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4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394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S1. SEM image of spray-coated commercial Ag on gas diffusion layer(a), and the related electrochemical performance in BPM-based MEA electrolyzers with 1M CsOH anolyte under reversed bias(b) and forward bias(c).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_Toc155953394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5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395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S2. Faradaic efficiency (a) and total current density, CO energy efficiency(b) over glass fiber-based buffering layer (3M CsHCO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) on Ag catalyst as a functional of cell voltages in BPM-based MEA electrolyzers with 1M CsOH anolyte.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_Toc155953395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5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396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S3. SEM images of Ag/buffering electrodes with various PEI concentrations: 0.5%(a), 1.5%(b), 2.1%(c), and 3.4%(d), as well as 2.1% PEI on pure gas diffusion layer(e). Fourier transformed infrared (FTIR) spectra of the pristine Ag-GDL, Ag/0.5% PEI, Ag/1.5% PEI, Ag/2.1% PEI, and Ag/3.4% PEI electrodes (f).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_Toc155953396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6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397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S4. BET measurements: N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adsorption-desorption curves (a) and pore size distributions on 0.5% PEI, 1.5% PEI, 2.1% PEI, and 3.4% PEI hydrogels.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_Toc155953397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7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398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S5. The air-contact angle of 0.5%(a), 1.5%(b), 3.4%(c)- PEI derived buffer layers. And the photo of measuring air-contact angle (d).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_Toc155953398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8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399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S6. The performance of different loadings of PEI derived buffer layers: 0.5%(a), 1.5%(b), 2.1%(c) and 3.4%-3M CsHCO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(d) in BPM-MEA with 1 M CsOH anolyte.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_Toc155953399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9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0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S7. The total current density of different loading of PEI derived buffer layer (0.5%, 1.5%, 2.1% and 3.4%-3M CsHCO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) in BPM-MEA with 1 M CsOH anolyte.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_Toc155953400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10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1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S8. The comparison of carbon efficiency: SPU (a) and SPC(b), on different loading of PEI derived buffer layer (0.5%, 1.5%, 2.1% and 3.4%-3M CsHCO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) in BPM-MEA with 1 M CsOH anolyte.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_Toc155953401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11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2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S9. Faradaic efficiency over Ag/2.1%-PEI catalysts as a function of applied cell voltages measured with different buffering catholyte: DI water(a), 3 M NaHCO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(b), 3 M KHCO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(c), and 3 M CsHCO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(d). The total (e) and CO partial current density (f) comparison with different buffering catholyte in BPM-based MEA electrolyzers.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_Toc155953402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12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3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S10. Faradaic efficiency and total current density over Ag/buffering catalysts as a function of applied cell voltages measured in H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SO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4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with a pH value of 0.5.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_Toc155953403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13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4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S11. Faradaic efficiency and CO partial current density over Ag/buffering catalysts as a function of applied cell voltages measured in different anolyte (0.5 M K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SO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4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+ H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SO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4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) with pH=1.0 (a), pH=0.5 (a), and pH=0.25 (c) in CEM-based MEA electrolyzers. The error bars represent standard deviation from three independent measurements.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_Toc155953404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14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5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S12. The schematic of one dimensional COMSOL modelling in BPM-based MEA electrolyzers. GDL refers to gas diffusion layer.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_Toc155953405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15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6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S13. The bicarbonate concentration profiles from finite-element numerical simulation results of the buffering layers with 3 M CsHCO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3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and PEI concentration from 0.5 to 3.4% in BPM-based MEA configurations.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_Toc155953406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16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7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S14. Finite-element numerical simulation results of 2.1% PEI- buffering layers in CEM-based MEA configuration with different 0.5 M K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SO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4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+ H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SO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4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anolytes (pH=0.25, 0.5 and 1). (a) The pH profiles. (b) The bicarbonate concentration profiles.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_Toc155953407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17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8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S15. The relationships among flow rate, current density and 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conversion efficiency in BPM-based MEA with an optimized Ag/buffer cathode(a), CEM-based MEA with an optimized Ag/buffer cathode (b) and AEM-based MEA electrolyzers with a pure Ag cathode (c)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_Toc155953408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18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09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Figure S16. The FE and full cell voltage for neutral MEA with Ag catalyst.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_Toc155953409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19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10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Table S1. Comparison of the CO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Single-pass conversion rate (SPC, %), Single-pass utilization rate (SPU, %) in BPM/CEM-based MEA electrolyzers and this work.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_Toc155953410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20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11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Table S2. The chemical reactions at the catholyte region and the corresponding forward </w:t>
        </w:r>
        <w:r w:rsidR="00BF08AB" w:rsidRPr="00961823">
          <w:rPr>
            <w:rStyle w:val="Lienhypertexte"/>
            <w:rFonts w:ascii="Times New Roman" w:hAnsi="Times New Roman" w:cs="Times New Roman"/>
            <w:i/>
            <w:iCs/>
            <w:noProof/>
          </w:rPr>
          <w:t>k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f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rate constants and reverse </w:t>
        </w:r>
        <w:r w:rsidR="00BF08AB" w:rsidRPr="00961823">
          <w:rPr>
            <w:rStyle w:val="Lienhypertexte"/>
            <w:rFonts w:ascii="Times New Roman" w:hAnsi="Times New Roman" w:cs="Times New Roman"/>
            <w:i/>
            <w:iCs/>
            <w:noProof/>
          </w:rPr>
          <w:t>k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bscript"/>
          </w:rPr>
          <w:t>r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 rate constants used in simulation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perscript"/>
          </w:rPr>
          <w:t>7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_Toc155953411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21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12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Table S3. The species diffusion coefficients used in simulation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perscript"/>
          </w:rPr>
          <w:t>8-11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_Toc155953412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22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13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 xml:space="preserve">Table S4. The sechenov coefficients used in simulation </w:t>
        </w:r>
        <w:r w:rsidR="00BF08AB" w:rsidRPr="00961823">
          <w:rPr>
            <w:rStyle w:val="Lienhypertexte"/>
            <w:rFonts w:ascii="Times New Roman" w:hAnsi="Times New Roman" w:cs="Times New Roman"/>
            <w:noProof/>
            <w:vertAlign w:val="superscript"/>
          </w:rPr>
          <w:t>12</w:t>
        </w:r>
        <w:r w:rsidR="00BF08AB" w:rsidRPr="00961823">
          <w:rPr>
            <w:rStyle w:val="Lienhypertexte"/>
            <w:rFonts w:ascii="Times New Roman" w:hAnsi="Times New Roman" w:cs="Times New Roman"/>
            <w:noProof/>
          </w:rPr>
          <w:t>.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_Toc155953413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23</w:t>
        </w:r>
        <w:r w:rsidR="00BF08AB">
          <w:rPr>
            <w:noProof/>
            <w:webHidden/>
          </w:rPr>
          <w:fldChar w:fldCharType="end"/>
        </w:r>
      </w:hyperlink>
    </w:p>
    <w:p w:rsidR="00BF08AB" w:rsidRDefault="00514BA9">
      <w:pPr>
        <w:pStyle w:val="TM2"/>
        <w:rPr>
          <w:noProof/>
          <w14:ligatures w14:val="standardContextual"/>
        </w:rPr>
      </w:pPr>
      <w:hyperlink w:anchor="_Toc155953414" w:history="1">
        <w:r w:rsidR="00BF08AB" w:rsidRPr="00961823">
          <w:rPr>
            <w:rStyle w:val="Lienhypertexte"/>
            <w:rFonts w:ascii="Times New Roman" w:hAnsi="Times New Roman" w:cs="Times New Roman"/>
            <w:noProof/>
          </w:rPr>
          <w:t>References:</w:t>
        </w:r>
        <w:r w:rsidR="00BF08AB">
          <w:rPr>
            <w:noProof/>
            <w:webHidden/>
          </w:rPr>
          <w:tab/>
        </w:r>
        <w:r w:rsidR="00BF08AB">
          <w:rPr>
            <w:noProof/>
            <w:webHidden/>
          </w:rPr>
          <w:fldChar w:fldCharType="begin"/>
        </w:r>
        <w:r w:rsidR="00BF08AB">
          <w:rPr>
            <w:noProof/>
            <w:webHidden/>
          </w:rPr>
          <w:instrText xml:space="preserve"> PAGEREF _Toc155953414 \h </w:instrText>
        </w:r>
        <w:r w:rsidR="00BF08AB">
          <w:rPr>
            <w:noProof/>
            <w:webHidden/>
          </w:rPr>
        </w:r>
        <w:r w:rsidR="00BF08AB">
          <w:rPr>
            <w:noProof/>
            <w:webHidden/>
          </w:rPr>
          <w:fldChar w:fldCharType="separate"/>
        </w:r>
        <w:r w:rsidR="00BF08AB">
          <w:rPr>
            <w:noProof/>
            <w:webHidden/>
          </w:rPr>
          <w:t>23</w:t>
        </w:r>
        <w:r w:rsidR="00BF08AB">
          <w:rPr>
            <w:noProof/>
            <w:webHidden/>
          </w:rPr>
          <w:fldChar w:fldCharType="end"/>
        </w:r>
      </w:hyperlink>
    </w:p>
    <w:p w:rsidR="00903AC8" w:rsidRDefault="00903AC8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  <w:r>
        <w:rPr>
          <w:rFonts w:ascii="Times New Roman" w:hAnsi="Times New Roman" w:cs="Times New Roman"/>
          <w:sz w:val="24"/>
          <w:highlight w:val="lightGray"/>
        </w:rPr>
        <w:fldChar w:fldCharType="end"/>
      </w:r>
    </w:p>
    <w:p w:rsidR="00903AC8" w:rsidRDefault="00903AC8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903AC8" w:rsidRDefault="00903AC8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903AC8" w:rsidRDefault="00903AC8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4374D" w:rsidRPr="00D46C29" w:rsidRDefault="00D46C29" w:rsidP="00D46C29">
      <w:pPr>
        <w:pStyle w:val="Titre2"/>
        <w:rPr>
          <w:rFonts w:ascii="Times New Roman" w:hAnsi="Times New Roman" w:cs="Times New Roman"/>
          <w:sz w:val="24"/>
          <w:szCs w:val="24"/>
        </w:rPr>
      </w:pPr>
      <w:bookmarkStart w:id="1" w:name="_Toc155953393"/>
      <w:r w:rsidRPr="00D46C29">
        <w:rPr>
          <w:rFonts w:ascii="Times New Roman" w:hAnsi="Times New Roman" w:cs="Times New Roman"/>
          <w:sz w:val="24"/>
          <w:szCs w:val="24"/>
        </w:rPr>
        <w:lastRenderedPageBreak/>
        <w:t xml:space="preserve">Note </w:t>
      </w:r>
      <w:r w:rsidR="00DB0035">
        <w:rPr>
          <w:rFonts w:ascii="Times New Roman" w:hAnsi="Times New Roman" w:cs="Times New Roman"/>
          <w:sz w:val="24"/>
          <w:szCs w:val="24"/>
        </w:rPr>
        <w:t>S</w:t>
      </w:r>
      <w:r w:rsidRPr="00D46C29">
        <w:rPr>
          <w:rFonts w:ascii="Times New Roman" w:hAnsi="Times New Roman" w:cs="Times New Roman"/>
          <w:sz w:val="24"/>
          <w:szCs w:val="24"/>
        </w:rPr>
        <w:t>1</w:t>
      </w:r>
      <w:r w:rsidR="00DB0035">
        <w:rPr>
          <w:rFonts w:ascii="Times New Roman" w:hAnsi="Times New Roman" w:cs="Times New Roman"/>
          <w:sz w:val="24"/>
          <w:szCs w:val="24"/>
        </w:rPr>
        <w:t>.</w:t>
      </w:r>
      <w:r w:rsidR="00244E83" w:rsidRPr="00244E83">
        <w:t xml:space="preserve"> </w:t>
      </w:r>
      <w:r w:rsidR="00244E83" w:rsidRPr="00244E83">
        <w:rPr>
          <w:rFonts w:ascii="Times New Roman" w:hAnsi="Times New Roman" w:cs="Times New Roman"/>
          <w:sz w:val="24"/>
          <w:szCs w:val="24"/>
        </w:rPr>
        <w:t xml:space="preserve">Mechanism of carbonate formation </w:t>
      </w:r>
      <w:r w:rsidR="00244E83">
        <w:rPr>
          <w:rFonts w:ascii="Times New Roman" w:hAnsi="Times New Roman" w:cs="Times New Roman"/>
          <w:sz w:val="24"/>
          <w:szCs w:val="24"/>
        </w:rPr>
        <w:t>in anion-exchange membrane</w:t>
      </w:r>
      <w:r w:rsidR="00105CB7">
        <w:rPr>
          <w:rFonts w:ascii="Times New Roman" w:hAnsi="Times New Roman" w:cs="Times New Roman"/>
          <w:sz w:val="24"/>
          <w:szCs w:val="24"/>
        </w:rPr>
        <w:t xml:space="preserve"> (AEM)</w:t>
      </w:r>
      <w:r w:rsidR="00244E83">
        <w:rPr>
          <w:rFonts w:ascii="Times New Roman" w:hAnsi="Times New Roman" w:cs="Times New Roman"/>
          <w:sz w:val="24"/>
          <w:szCs w:val="24"/>
        </w:rPr>
        <w:t xml:space="preserve"> </w:t>
      </w:r>
      <w:r w:rsidR="00244E83" w:rsidRPr="00244E83">
        <w:rPr>
          <w:rFonts w:ascii="Times New Roman" w:hAnsi="Times New Roman" w:cs="Times New Roman"/>
          <w:sz w:val="24"/>
          <w:szCs w:val="24"/>
        </w:rPr>
        <w:t>during CO</w:t>
      </w:r>
      <w:r w:rsidR="00244E83" w:rsidRPr="00244E8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44E83" w:rsidRPr="00244E83">
        <w:rPr>
          <w:rFonts w:ascii="Times New Roman" w:hAnsi="Times New Roman" w:cs="Times New Roman"/>
          <w:sz w:val="24"/>
          <w:szCs w:val="24"/>
        </w:rPr>
        <w:t xml:space="preserve"> electroreduction</w:t>
      </w:r>
      <w:bookmarkEnd w:id="1"/>
    </w:p>
    <w:p w:rsidR="00F4374D" w:rsidRDefault="00086682" w:rsidP="00086682">
      <w:pPr>
        <w:spacing w:before="0" w:after="0"/>
        <w:ind w:firstLineChars="100" w:firstLine="240"/>
        <w:jc w:val="center"/>
        <w:rPr>
          <w:rFonts w:ascii="Times New Roman" w:hAnsi="Times New Roman" w:cs="Times New Roman"/>
          <w:sz w:val="24"/>
          <w:highlight w:val="lightGray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drawing>
          <wp:inline distT="0" distB="0" distL="0" distR="0">
            <wp:extent cx="2814785" cy="2715153"/>
            <wp:effectExtent l="0" t="0" r="5080" b="3175"/>
            <wp:docPr id="2125966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966349" name="图片 212596634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968" cy="273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74D" w:rsidRPr="00105CB7" w:rsidRDefault="00105CB7" w:rsidP="0036479C">
      <w:pPr>
        <w:spacing w:before="0"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 p</w:t>
      </w:r>
      <w:r w:rsidRPr="00105CB7">
        <w:rPr>
          <w:rFonts w:ascii="Times New Roman" w:hAnsi="Times New Roman" w:cs="Times New Roman"/>
          <w:sz w:val="24"/>
        </w:rPr>
        <w:t>roduc</w:t>
      </w:r>
      <w:r>
        <w:rPr>
          <w:rFonts w:ascii="Times New Roman" w:hAnsi="Times New Roman" w:cs="Times New Roman"/>
          <w:sz w:val="24"/>
        </w:rPr>
        <w:t>e</w:t>
      </w:r>
      <w:r w:rsidRPr="00105CB7">
        <w:rPr>
          <w:rFonts w:ascii="Times New Roman" w:hAnsi="Times New Roman" w:cs="Times New Roman"/>
          <w:sz w:val="24"/>
        </w:rPr>
        <w:t xml:space="preserve"> 1</w:t>
      </w:r>
      <w:r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05CB7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O</w:t>
      </w:r>
      <w:r w:rsidRPr="00105CB7">
        <w:rPr>
          <w:rFonts w:ascii="Times New Roman" w:hAnsi="Times New Roman" w:cs="Times New Roman"/>
          <w:sz w:val="24"/>
        </w:rPr>
        <w:t xml:space="preserve"> by CO</w:t>
      </w:r>
      <w:r w:rsidRPr="00105CB7">
        <w:rPr>
          <w:rFonts w:ascii="Times New Roman" w:hAnsi="Times New Roman" w:cs="Times New Roman"/>
          <w:sz w:val="24"/>
          <w:vertAlign w:val="subscript"/>
        </w:rPr>
        <w:t>2</w:t>
      </w:r>
      <w:r w:rsidRPr="00105CB7">
        <w:rPr>
          <w:rFonts w:ascii="Times New Roman" w:hAnsi="Times New Roman" w:cs="Times New Roman"/>
          <w:sz w:val="24"/>
        </w:rPr>
        <w:t>RR</w:t>
      </w:r>
      <w:r>
        <w:rPr>
          <w:rFonts w:ascii="Times New Roman" w:hAnsi="Times New Roman" w:cs="Times New Roman"/>
          <w:sz w:val="24"/>
        </w:rPr>
        <w:t>,</w:t>
      </w:r>
      <w:r w:rsidRPr="00105CB7">
        <w:rPr>
          <w:rFonts w:ascii="Times New Roman" w:hAnsi="Times New Roman" w:cs="Times New Roman"/>
          <w:sz w:val="24"/>
        </w:rPr>
        <w:t xml:space="preserve"> 2</w:t>
      </w:r>
      <w:r>
        <w:rPr>
          <w:rFonts w:ascii="Times New Roman" w:hAnsi="Times New Roman" w:cs="Times New Roman"/>
          <w:sz w:val="24"/>
        </w:rPr>
        <w:t>M</w:t>
      </w:r>
      <w:r w:rsidRPr="00105CB7">
        <w:rPr>
          <w:rFonts w:ascii="Times New Roman" w:hAnsi="Times New Roman" w:cs="Times New Roman"/>
          <w:sz w:val="24"/>
        </w:rPr>
        <w:t xml:space="preserve"> OH</w:t>
      </w:r>
      <w:r w:rsidRPr="00105CB7">
        <w:rPr>
          <w:rFonts w:ascii="Times New Roman" w:hAnsi="Times New Roman" w:cs="Times New Roman"/>
          <w:sz w:val="24"/>
          <w:vertAlign w:val="superscript"/>
        </w:rPr>
        <w:t>-</w:t>
      </w:r>
      <w:r w:rsidRPr="00105CB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would be generated </w:t>
      </w:r>
      <w:r w:rsidRPr="00105CB7">
        <w:rPr>
          <w:rFonts w:ascii="Times New Roman" w:hAnsi="Times New Roman" w:cs="Times New Roman"/>
          <w:sz w:val="24"/>
        </w:rPr>
        <w:t>which</w:t>
      </w:r>
      <w:r>
        <w:rPr>
          <w:rFonts w:ascii="Times New Roman" w:hAnsi="Times New Roman" w:cs="Times New Roman"/>
          <w:sz w:val="24"/>
        </w:rPr>
        <w:t xml:space="preserve"> will</w:t>
      </w:r>
      <w:r w:rsidRPr="00105CB7">
        <w:rPr>
          <w:rFonts w:ascii="Times New Roman" w:hAnsi="Times New Roman" w:cs="Times New Roman"/>
          <w:sz w:val="24"/>
        </w:rPr>
        <w:t xml:space="preserve"> react with another </w:t>
      </w:r>
      <w:r>
        <w:rPr>
          <w:rFonts w:ascii="Times New Roman" w:hAnsi="Times New Roman" w:cs="Times New Roman"/>
          <w:sz w:val="24"/>
        </w:rPr>
        <w:t>1M</w:t>
      </w:r>
      <w:r w:rsidRPr="00105CB7">
        <w:rPr>
          <w:rFonts w:ascii="Times New Roman" w:hAnsi="Times New Roman" w:cs="Times New Roman"/>
          <w:sz w:val="24"/>
        </w:rPr>
        <w:t xml:space="preserve"> CO</w:t>
      </w:r>
      <w:r w:rsidRPr="00F977B1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to form CO</w:t>
      </w:r>
      <w:r w:rsidRPr="00105CB7">
        <w:rPr>
          <w:rFonts w:ascii="Times New Roman" w:hAnsi="Times New Roman" w:cs="Times New Roman"/>
          <w:sz w:val="24"/>
          <w:vertAlign w:val="subscript"/>
        </w:rPr>
        <w:t>3</w:t>
      </w:r>
      <w:r w:rsidRPr="00105CB7">
        <w:rPr>
          <w:rFonts w:ascii="Times New Roman" w:hAnsi="Times New Roman" w:cs="Times New Roman"/>
          <w:sz w:val="24"/>
          <w:vertAlign w:val="superscript"/>
        </w:rPr>
        <w:t>2-</w:t>
      </w:r>
      <w:r w:rsidRPr="00105CB7">
        <w:rPr>
          <w:rFonts w:ascii="Times New Roman" w:hAnsi="Times New Roman" w:cs="Times New Roman"/>
          <w:sz w:val="24"/>
        </w:rPr>
        <w:t xml:space="preserve">. </w:t>
      </w:r>
      <w:r w:rsidR="00C72E35">
        <w:rPr>
          <w:rFonts w:ascii="Times New Roman" w:hAnsi="Times New Roman" w:cs="Times New Roman"/>
          <w:sz w:val="24"/>
        </w:rPr>
        <w:t xml:space="preserve">Therefore, the total consumed </w:t>
      </w:r>
      <w:r w:rsidR="00C72E35" w:rsidRPr="00105CB7">
        <w:rPr>
          <w:rFonts w:ascii="Times New Roman" w:hAnsi="Times New Roman" w:cs="Times New Roman"/>
          <w:sz w:val="24"/>
        </w:rPr>
        <w:t>CO</w:t>
      </w:r>
      <w:r w:rsidR="00C72E35" w:rsidRPr="00F977B1">
        <w:rPr>
          <w:rFonts w:ascii="Times New Roman" w:hAnsi="Times New Roman" w:cs="Times New Roman"/>
          <w:sz w:val="24"/>
          <w:vertAlign w:val="subscript"/>
        </w:rPr>
        <w:t>2</w:t>
      </w:r>
      <w:r w:rsidR="00C72E35">
        <w:rPr>
          <w:rFonts w:ascii="Times New Roman" w:hAnsi="Times New Roman" w:cs="Times New Roman"/>
          <w:sz w:val="24"/>
        </w:rPr>
        <w:t xml:space="preserve"> are 2M.  </w:t>
      </w:r>
      <w:r w:rsidRPr="00105CB7">
        <w:rPr>
          <w:rFonts w:ascii="Times New Roman" w:hAnsi="Times New Roman" w:cs="Times New Roman"/>
          <w:sz w:val="24"/>
        </w:rPr>
        <w:t>If the C</w:t>
      </w:r>
      <w:r>
        <w:rPr>
          <w:rFonts w:ascii="Times New Roman" w:hAnsi="Times New Roman" w:cs="Times New Roman"/>
          <w:sz w:val="24"/>
        </w:rPr>
        <w:t>O</w:t>
      </w:r>
      <w:r w:rsidRPr="00105CB7">
        <w:rPr>
          <w:rFonts w:ascii="Times New Roman" w:hAnsi="Times New Roman" w:cs="Times New Roman"/>
          <w:sz w:val="24"/>
        </w:rPr>
        <w:t xml:space="preserve"> FE is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05CB7">
        <w:rPr>
          <w:rFonts w:ascii="Times New Roman" w:hAnsi="Times New Roman" w:cs="Times New Roman"/>
          <w:sz w:val="24"/>
        </w:rPr>
        <w:t>100%, the CO</w:t>
      </w:r>
      <w:r w:rsidRPr="00F977B1">
        <w:rPr>
          <w:rFonts w:ascii="Times New Roman" w:hAnsi="Times New Roman" w:cs="Times New Roman"/>
          <w:sz w:val="24"/>
          <w:vertAlign w:val="subscript"/>
        </w:rPr>
        <w:t>2</w:t>
      </w:r>
      <w:r w:rsidRPr="00105CB7">
        <w:rPr>
          <w:rFonts w:ascii="Times New Roman" w:hAnsi="Times New Roman" w:cs="Times New Roman"/>
          <w:sz w:val="24"/>
        </w:rPr>
        <w:t>-to-C</w:t>
      </w:r>
      <w:r>
        <w:rPr>
          <w:rFonts w:ascii="Times New Roman" w:hAnsi="Times New Roman" w:cs="Times New Roman"/>
          <w:sz w:val="24"/>
        </w:rPr>
        <w:t>O</w:t>
      </w:r>
      <w:r w:rsidRPr="00105CB7">
        <w:rPr>
          <w:rFonts w:ascii="Times New Roman" w:hAnsi="Times New Roman" w:cs="Times New Roman"/>
          <w:sz w:val="24"/>
        </w:rPr>
        <w:t xml:space="preserve"> single-pass conversion is limited to </w:t>
      </w:r>
      <w:r>
        <w:rPr>
          <w:rFonts w:ascii="Times New Roman" w:hAnsi="Times New Roman" w:cs="Times New Roman"/>
          <w:sz w:val="24"/>
        </w:rPr>
        <w:t>50</w:t>
      </w:r>
      <w:r w:rsidRPr="00105CB7">
        <w:rPr>
          <w:rFonts w:ascii="Times New Roman" w:hAnsi="Times New Roman" w:cs="Times New Roman"/>
          <w:sz w:val="24"/>
        </w:rPr>
        <w:t xml:space="preserve">%. </w:t>
      </w:r>
    </w:p>
    <w:p w:rsidR="00F4374D" w:rsidRDefault="00F4374D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F977B1" w:rsidRDefault="00F977B1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254B47" w:rsidRDefault="00254B47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254B47" w:rsidRDefault="00254B47" w:rsidP="00CD6DD4">
      <w:pPr>
        <w:spacing w:before="0" w:after="0"/>
        <w:ind w:firstLineChars="100" w:firstLine="240"/>
        <w:rPr>
          <w:rFonts w:ascii="Times New Roman" w:hAnsi="Times New Roman" w:cs="Times New Roman"/>
          <w:sz w:val="24"/>
          <w:highlight w:val="lightGray"/>
        </w:rPr>
      </w:pPr>
    </w:p>
    <w:p w:rsidR="00E970CB" w:rsidRDefault="00E970CB" w:rsidP="00E970CB">
      <w:pPr>
        <w:spacing w:before="0"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 wp14:anchorId="6B01CFBE" wp14:editId="3F8BA51C">
            <wp:extent cx="5274310" cy="1560392"/>
            <wp:effectExtent l="0" t="0" r="0" b="1905"/>
            <wp:docPr id="450574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574856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99E" w:rsidRDefault="00E970CB" w:rsidP="0036479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" w:name="_Toc143524723"/>
      <w:bookmarkStart w:id="3" w:name="_Toc143525197"/>
      <w:bookmarkStart w:id="4" w:name="_Toc155953394"/>
      <w:r w:rsidRPr="00A4652C">
        <w:rPr>
          <w:rFonts w:ascii="Times New Roman" w:hAnsi="Times New Roman" w:cs="Times New Roman"/>
          <w:sz w:val="24"/>
          <w:szCs w:val="24"/>
        </w:rPr>
        <w:t>Fig</w:t>
      </w:r>
      <w:r w:rsidR="00254B47">
        <w:rPr>
          <w:rFonts w:ascii="Times New Roman" w:hAnsi="Times New Roman" w:cs="Times New Roman" w:hint="eastAsia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DB0035">
        <w:rPr>
          <w:rFonts w:ascii="Times New Roman" w:hAnsi="Times New Roman" w:cs="Times New Roman"/>
          <w:sz w:val="24"/>
          <w:szCs w:val="24"/>
        </w:rPr>
        <w:t>S</w:t>
      </w:r>
      <w:r w:rsidRPr="00A4652C">
        <w:rPr>
          <w:rFonts w:ascii="Times New Roman" w:hAnsi="Times New Roman" w:cs="Times New Roman"/>
          <w:sz w:val="24"/>
          <w:szCs w:val="24"/>
        </w:rPr>
        <w:t>1</w:t>
      </w:r>
      <w:r w:rsidR="00DB0035">
        <w:rPr>
          <w:rFonts w:ascii="Times New Roman" w:hAnsi="Times New Roman" w:cs="Times New Roman"/>
          <w:sz w:val="24"/>
          <w:szCs w:val="24"/>
        </w:rPr>
        <w:t>.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7E14BF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SEM image of spray-coated commercial Ag on gas diffusion layer(a), and the related electrochemical performance in BPM-based MEA electrolyzers with 1M CsOH anolyte under reversed bias(b) and forward bias(c).</w:t>
      </w:r>
      <w:bookmarkEnd w:id="2"/>
      <w:bookmarkEnd w:id="3"/>
      <w:bookmarkEnd w:id="4"/>
    </w:p>
    <w:p w:rsidR="00A4652C" w:rsidRDefault="00A4652C" w:rsidP="00A4652C"/>
    <w:p w:rsidR="006A7E8D" w:rsidRDefault="006A7E8D" w:rsidP="00A4652C"/>
    <w:p w:rsidR="00DC7C4C" w:rsidRDefault="00DC7C4C" w:rsidP="00A4652C"/>
    <w:p w:rsidR="00F4374D" w:rsidRPr="00A4652C" w:rsidRDefault="00F4374D" w:rsidP="00A4652C"/>
    <w:p w:rsidR="00804A85" w:rsidRDefault="00E970CB" w:rsidP="0016799E">
      <w:pPr>
        <w:spacing w:before="0"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drawing>
          <wp:inline distT="0" distB="0" distL="0" distR="0">
            <wp:extent cx="5274310" cy="2183130"/>
            <wp:effectExtent l="0" t="0" r="0" b="1270"/>
            <wp:docPr id="12850488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048873" name="图片 128504887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99E" w:rsidRDefault="00804A8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" w:name="_Toc143524724"/>
      <w:bookmarkStart w:id="6" w:name="_Toc143525198"/>
      <w:bookmarkStart w:id="7" w:name="_Toc155953395"/>
      <w:r w:rsidRPr="00A4652C">
        <w:rPr>
          <w:rFonts w:ascii="Times New Roman" w:hAnsi="Times New Roman" w:cs="Times New Roman"/>
          <w:sz w:val="24"/>
          <w:szCs w:val="24"/>
        </w:rPr>
        <w:t>Fig</w:t>
      </w:r>
      <w:r w:rsidR="00DB0035"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DB0035">
        <w:rPr>
          <w:rFonts w:ascii="Times New Roman" w:hAnsi="Times New Roman" w:cs="Times New Roman"/>
          <w:sz w:val="24"/>
          <w:szCs w:val="24"/>
        </w:rPr>
        <w:t>S</w:t>
      </w:r>
      <w:r w:rsidR="00E970CB" w:rsidRPr="00A4652C">
        <w:rPr>
          <w:rFonts w:ascii="Times New Roman" w:hAnsi="Times New Roman" w:cs="Times New Roman"/>
          <w:sz w:val="24"/>
          <w:szCs w:val="24"/>
        </w:rPr>
        <w:t>2</w:t>
      </w:r>
      <w:r w:rsidR="00DB0035">
        <w:rPr>
          <w:rFonts w:ascii="Times New Roman" w:hAnsi="Times New Roman" w:cs="Times New Roman"/>
          <w:sz w:val="24"/>
          <w:szCs w:val="24"/>
        </w:rPr>
        <w:t>.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A607F2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Faradaic efficiency</w:t>
      </w:r>
      <w:r w:rsidR="00151777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(a) and total current density, CO energy efficiency</w:t>
      </w:r>
      <w:r w:rsidR="00F47896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(b)</w:t>
      </w:r>
      <w:r w:rsidR="00151777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over glass fiber-based buffering layer (3M CsHCO</w:t>
      </w:r>
      <w:r w:rsidR="00151777" w:rsidRPr="00F4374D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151777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) on Ag catalyst as a functional of cell voltages in BPM-based MEA electrolyzers with 1M CsOH anolyte.</w:t>
      </w:r>
      <w:bookmarkEnd w:id="5"/>
      <w:bookmarkEnd w:id="6"/>
      <w:bookmarkEnd w:id="7"/>
    </w:p>
    <w:p w:rsidR="00A4652C" w:rsidRDefault="00A4652C" w:rsidP="00A4652C"/>
    <w:p w:rsidR="006A7E8D" w:rsidRDefault="006A7E8D" w:rsidP="00A4652C"/>
    <w:p w:rsidR="006A7E8D" w:rsidRPr="00A4652C" w:rsidRDefault="006A7E8D" w:rsidP="00A4652C"/>
    <w:p w:rsidR="00E970CB" w:rsidRDefault="00E970CB" w:rsidP="00E970CB">
      <w:pPr>
        <w:spacing w:before="0"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drawing>
          <wp:inline distT="0" distB="0" distL="0" distR="0" wp14:anchorId="6323ECB0" wp14:editId="743C0D4D">
            <wp:extent cx="4992353" cy="2914015"/>
            <wp:effectExtent l="0" t="0" r="0" b="0"/>
            <wp:docPr id="9075045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504587" name="图片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2353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E6F" w:rsidRDefault="00E970CB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8" w:name="_Toc143524725"/>
      <w:bookmarkStart w:id="9" w:name="_Toc143525199"/>
      <w:bookmarkStart w:id="10" w:name="_Toc155953396"/>
      <w:r w:rsidRPr="00A4652C">
        <w:rPr>
          <w:rFonts w:ascii="Times New Roman" w:hAnsi="Times New Roman" w:cs="Times New Roman"/>
          <w:sz w:val="24"/>
          <w:szCs w:val="24"/>
        </w:rPr>
        <w:t>Fig</w:t>
      </w:r>
      <w:r w:rsidR="00DB0035"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DB0035">
        <w:rPr>
          <w:rFonts w:ascii="Times New Roman" w:hAnsi="Times New Roman" w:cs="Times New Roman"/>
          <w:sz w:val="24"/>
          <w:szCs w:val="24"/>
        </w:rPr>
        <w:t>S</w:t>
      </w:r>
      <w:r w:rsidRPr="00A4652C">
        <w:rPr>
          <w:rFonts w:ascii="Times New Roman" w:hAnsi="Times New Roman" w:cs="Times New Roman"/>
          <w:sz w:val="24"/>
          <w:szCs w:val="24"/>
        </w:rPr>
        <w:t>3</w:t>
      </w:r>
      <w:r w:rsidR="00DB0035">
        <w:rPr>
          <w:rFonts w:ascii="Times New Roman" w:hAnsi="Times New Roman" w:cs="Times New Roman"/>
          <w:sz w:val="24"/>
          <w:szCs w:val="24"/>
        </w:rPr>
        <w:t>.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567E6F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SEM images of Ag/buffering electrodes with various PEI </w:t>
      </w:r>
      <w:r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concentration</w:t>
      </w:r>
      <w:r w:rsidR="00567E6F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s: 0.5%(a), 1.5%(b), 2.1%(c), and 3.4%(d), as well as 2.1% PEI on pure gas diffusion layer(e). Fourier transformed infrared (FTIR) spectra of the pristine Ag-GDL, Ag/0.5% PEI, Ag/1.5% PEI, Ag/2.1% PEI, and Ag/3.4% PEI electrodes</w:t>
      </w:r>
      <w:r w:rsidR="000123DB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(f)</w:t>
      </w:r>
      <w:r w:rsidR="00567E6F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8"/>
      <w:bookmarkEnd w:id="9"/>
      <w:bookmarkEnd w:id="10"/>
    </w:p>
    <w:p w:rsidR="00A4652C" w:rsidRDefault="00A4652C" w:rsidP="00A4652C"/>
    <w:p w:rsidR="006A7E8D" w:rsidRDefault="006A7E8D" w:rsidP="00A4652C"/>
    <w:p w:rsidR="006A7E8D" w:rsidRDefault="006A7E8D" w:rsidP="00A4652C"/>
    <w:p w:rsidR="006A7E8D" w:rsidRDefault="006A7E8D" w:rsidP="00A4652C"/>
    <w:p w:rsidR="006A7E8D" w:rsidRDefault="006A7E8D" w:rsidP="00A4652C"/>
    <w:p w:rsidR="006A7E8D" w:rsidRPr="00A4652C" w:rsidRDefault="006A7E8D" w:rsidP="00A4652C"/>
    <w:p w:rsidR="007A1F98" w:rsidRDefault="00B73A9F" w:rsidP="0016799E">
      <w:pPr>
        <w:spacing w:before="0"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5274310" cy="2303145"/>
            <wp:effectExtent l="0" t="0" r="0" b="0"/>
            <wp:docPr id="10688760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876054" name="图片 106887605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1A2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1" w:name="_Toc143524726"/>
      <w:bookmarkStart w:id="12" w:name="_Toc143525200"/>
      <w:bookmarkStart w:id="13" w:name="_Toc155953397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S4.</w:t>
      </w:r>
      <w:r w:rsidR="009E17B1" w:rsidRPr="00A4652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04A85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BET </w:t>
      </w:r>
      <w:r w:rsidR="00754146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measurements: N</w:t>
      </w:r>
      <w:r w:rsidR="00754146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754146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adsorption-desorption curves (a) </w:t>
      </w:r>
      <w:r w:rsidR="00804A85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and </w:t>
      </w:r>
      <w:r w:rsidR="009E17B1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pore size</w:t>
      </w:r>
      <w:r w:rsidR="00754146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distributions on 0.5% PEI, 1.5% PEI, 2.1% PEI</w:t>
      </w:r>
      <w:r w:rsidR="002908EB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="00754146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and 3.4% PEI hydrogels.</w:t>
      </w:r>
      <w:bookmarkEnd w:id="11"/>
      <w:bookmarkEnd w:id="12"/>
      <w:bookmarkEnd w:id="13"/>
    </w:p>
    <w:p w:rsidR="00A4652C" w:rsidRDefault="00A4652C" w:rsidP="00A4652C">
      <w:pPr>
        <w:rPr>
          <w:highlight w:val="yellow"/>
        </w:rPr>
      </w:pPr>
    </w:p>
    <w:p w:rsidR="006A7E8D" w:rsidRDefault="006A7E8D" w:rsidP="00A4652C">
      <w:pPr>
        <w:rPr>
          <w:highlight w:val="yellow"/>
        </w:rPr>
      </w:pPr>
    </w:p>
    <w:p w:rsidR="006A7E8D" w:rsidRDefault="006A7E8D" w:rsidP="00A4652C">
      <w:pPr>
        <w:rPr>
          <w:highlight w:val="yellow"/>
        </w:rPr>
      </w:pPr>
    </w:p>
    <w:p w:rsidR="006A7E8D" w:rsidRDefault="006A7E8D" w:rsidP="00A4652C">
      <w:pPr>
        <w:rPr>
          <w:highlight w:val="yellow"/>
        </w:rPr>
      </w:pPr>
    </w:p>
    <w:p w:rsidR="006A7E8D" w:rsidRDefault="006A7E8D" w:rsidP="00A4652C">
      <w:pPr>
        <w:rPr>
          <w:highlight w:val="yellow"/>
        </w:rPr>
      </w:pPr>
    </w:p>
    <w:p w:rsidR="006A7E8D" w:rsidRPr="00A4652C" w:rsidRDefault="006A7E8D" w:rsidP="00A4652C">
      <w:pPr>
        <w:rPr>
          <w:highlight w:val="yellow"/>
        </w:rPr>
      </w:pPr>
    </w:p>
    <w:p w:rsidR="007F2E69" w:rsidRDefault="009E17B1" w:rsidP="0016799E">
      <w:pPr>
        <w:spacing w:before="0" w:after="0"/>
        <w:rPr>
          <w:rFonts w:ascii="Times New Roman" w:hAnsi="Times New Roman" w:cs="Times New Roman"/>
          <w:sz w:val="24"/>
        </w:rPr>
      </w:pPr>
      <w:r w:rsidRPr="008641A2">
        <w:rPr>
          <w:rFonts w:ascii="Times New Roman" w:hAnsi="Times New Roman" w:cs="Times New Roman"/>
          <w:color w:val="FF0000"/>
          <w:sz w:val="24"/>
        </w:rPr>
        <w:lastRenderedPageBreak/>
        <w:t xml:space="preserve"> </w:t>
      </w:r>
      <w:r w:rsidR="007F2E69" w:rsidRPr="007F2E69">
        <w:rPr>
          <w:rFonts w:ascii="Times New Roman" w:hAnsi="Times New Roman" w:cs="Times New Roman"/>
          <w:noProof/>
          <w:sz w:val="24"/>
          <w:lang w:val="fr-FR" w:eastAsia="fr-FR"/>
        </w:rPr>
        <w:drawing>
          <wp:inline distT="0" distB="0" distL="0" distR="0" wp14:anchorId="5A86E76A" wp14:editId="40D9F11F">
            <wp:extent cx="4590177" cy="3294803"/>
            <wp:effectExtent l="0" t="0" r="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6E71E049-9197-20CB-7120-4775E120A0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6E71E049-9197-20CB-7120-4775E120A0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94027" cy="329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7B1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4" w:name="_Toc143524727"/>
      <w:bookmarkStart w:id="15" w:name="_Toc143525201"/>
      <w:bookmarkStart w:id="16" w:name="_Toc155953398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S5.</w:t>
      </w:r>
      <w:r w:rsidR="009E17B1" w:rsidRPr="00A465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759A" w:rsidRPr="00A4652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The air-contact angle of </w:t>
      </w:r>
      <w:r w:rsidR="0091759A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0.5%(a), 1.5%(b), 3.4%(c)- PEI derived buffer layers.</w:t>
      </w:r>
      <w:bookmarkEnd w:id="14"/>
      <w:bookmarkEnd w:id="15"/>
      <w:r w:rsidR="001A190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And the photo of measuring </w:t>
      </w:r>
      <w:r w:rsidR="001A1900" w:rsidRPr="00A4652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air-contact angle</w:t>
      </w:r>
      <w:r w:rsidR="001A190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(d).</w:t>
      </w:r>
      <w:bookmarkEnd w:id="16"/>
    </w:p>
    <w:p w:rsidR="007A751A" w:rsidRDefault="007A751A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B81AE6" w:rsidRDefault="00060A29" w:rsidP="0016799E">
      <w:pPr>
        <w:spacing w:before="0" w:after="0"/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 w:hint="eastAsia"/>
          <w:noProof/>
          <w:color w:val="FF0000"/>
          <w:sz w:val="24"/>
          <w:lang w:val="fr-FR" w:eastAsia="fr-FR"/>
        </w:rPr>
        <w:lastRenderedPageBreak/>
        <w:drawing>
          <wp:inline distT="0" distB="0" distL="0" distR="0">
            <wp:extent cx="5274310" cy="4361180"/>
            <wp:effectExtent l="0" t="0" r="0" b="0"/>
            <wp:docPr id="18269375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937535" name="图片 182693753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2C7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7" w:name="_Toc143524728"/>
      <w:bookmarkStart w:id="18" w:name="_Toc143525202"/>
      <w:bookmarkStart w:id="19" w:name="_Toc155953399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S6.</w:t>
      </w:r>
      <w:r w:rsidR="00B81AE6" w:rsidRPr="00060A29">
        <w:rPr>
          <w:rFonts w:ascii="Times New Roman" w:hAnsi="Times New Roman" w:cs="Times New Roman"/>
          <w:sz w:val="24"/>
          <w:szCs w:val="24"/>
        </w:rPr>
        <w:t xml:space="preserve"> 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The performance of different loading</w:t>
      </w:r>
      <w:r w:rsidR="0091759A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s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PEI</w:t>
      </w:r>
      <w:r w:rsidR="0029475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467124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derived buffer layer</w:t>
      </w:r>
      <w:r w:rsidR="0091759A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s:</w:t>
      </w:r>
      <w:r w:rsidR="000727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0.5%</w:t>
      </w:r>
      <w:r w:rsidR="0091759A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(a)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, 1.5%</w:t>
      </w:r>
      <w:r w:rsidR="0091759A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(b)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, 2.1%</w:t>
      </w:r>
      <w:r w:rsidR="0091759A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(c) 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and 3.4%</w:t>
      </w:r>
      <w:r w:rsidR="0029475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-3M CsHCO</w:t>
      </w:r>
      <w:r w:rsidR="00294756" w:rsidRPr="00060A2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91759A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(d</w:t>
      </w:r>
      <w:r w:rsidR="00B81AE6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) in BPM-MEA with 1 M CsOH anolyte</w:t>
      </w:r>
      <w:r w:rsidR="005E1DC9" w:rsidRPr="00060A29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17"/>
      <w:bookmarkEnd w:id="18"/>
      <w:bookmarkEnd w:id="19"/>
      <w:r w:rsidR="00F4374D" w:rsidRPr="00F4374D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="006A7E8D" w:rsidRDefault="006A7E8D" w:rsidP="006A7E8D"/>
    <w:p w:rsidR="006A7E8D" w:rsidRDefault="006A7E8D" w:rsidP="006A7E8D"/>
    <w:p w:rsidR="006A7E8D" w:rsidRDefault="006A7E8D" w:rsidP="006A7E8D"/>
    <w:p w:rsidR="006A7E8D" w:rsidRDefault="006A7E8D" w:rsidP="006A7E8D"/>
    <w:p w:rsidR="006A7E8D" w:rsidRPr="006A7E8D" w:rsidRDefault="006A7E8D" w:rsidP="006A7E8D"/>
    <w:p w:rsidR="00AD4494" w:rsidRDefault="00797CAF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3455667" cy="2960158"/>
            <wp:effectExtent l="0" t="0" r="0" b="0"/>
            <wp:docPr id="3408108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810848" name="图片 34081084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2967" cy="296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494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0" w:name="_Toc143524729"/>
      <w:bookmarkStart w:id="21" w:name="_Toc143525203"/>
      <w:bookmarkStart w:id="22" w:name="_Toc155953400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S7.</w:t>
      </w:r>
      <w:r w:rsidR="00AD4494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AD4494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The total current density of different loading of PEI derived buffer layer (0.5%, 1.5%, 2.1% and 3.4%-3M CsHCO</w:t>
      </w:r>
      <w:r w:rsidR="00AD4494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AD4494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) in BPM-MEA with 1 M CsOH anolyte.</w:t>
      </w:r>
      <w:bookmarkEnd w:id="20"/>
      <w:bookmarkEnd w:id="21"/>
      <w:bookmarkEnd w:id="22"/>
    </w:p>
    <w:p w:rsidR="00AD4494" w:rsidRDefault="00AD4494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6A7E8D" w:rsidRPr="00AD4494" w:rsidRDefault="006A7E8D" w:rsidP="0016799E">
      <w:pPr>
        <w:spacing w:before="0" w:after="0"/>
        <w:jc w:val="center"/>
        <w:rPr>
          <w:rFonts w:ascii="Times New Roman" w:hAnsi="Times New Roman" w:cs="Times New Roman"/>
          <w:sz w:val="24"/>
        </w:rPr>
      </w:pPr>
    </w:p>
    <w:p w:rsidR="005E4FDA" w:rsidRDefault="00985ABF" w:rsidP="0016799E">
      <w:pPr>
        <w:spacing w:before="0"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5274310" cy="2279650"/>
            <wp:effectExtent l="0" t="0" r="0" b="6350"/>
            <wp:docPr id="6340647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064766" name="图片 63406476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FDA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3" w:name="_Toc143524730"/>
      <w:bookmarkStart w:id="24" w:name="_Toc143525204"/>
      <w:bookmarkStart w:id="25" w:name="_Toc155953401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S8.</w:t>
      </w:r>
      <w:r w:rsidR="005E4FDA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6367E5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The </w:t>
      </w:r>
      <w:r w:rsidR="005137D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comparison of </w:t>
      </w:r>
      <w:r w:rsidR="006367E5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carbon efficiency</w:t>
      </w:r>
      <w:r w:rsidR="0091759A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: SPU (a) and </w:t>
      </w:r>
      <w:r w:rsidR="005137D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SPC(b)</w:t>
      </w:r>
      <w:r w:rsidR="0091759A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="005137D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on different loading of PEI derived buffer layer (0.5%, 1.5%, 2.1% and 3.4%-3M CsHCO</w:t>
      </w:r>
      <w:r w:rsidR="005137D8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5137D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) in BPM-MEA with 1 M CsOH anolyte.</w:t>
      </w:r>
      <w:bookmarkEnd w:id="23"/>
      <w:bookmarkEnd w:id="24"/>
      <w:bookmarkEnd w:id="25"/>
      <w:r w:rsidR="005137D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="006A7E8D" w:rsidRDefault="006A7E8D" w:rsidP="006A7E8D"/>
    <w:p w:rsidR="006A7E8D" w:rsidRDefault="006A7E8D" w:rsidP="006A7E8D"/>
    <w:p w:rsidR="006A7E8D" w:rsidRDefault="006A7E8D" w:rsidP="006A7E8D"/>
    <w:p w:rsidR="006A7E8D" w:rsidRDefault="006A7E8D" w:rsidP="006A7E8D"/>
    <w:p w:rsidR="006A7E8D" w:rsidRDefault="006A7E8D" w:rsidP="006A7E8D"/>
    <w:p w:rsidR="006A7E8D" w:rsidRPr="006A7E8D" w:rsidRDefault="006A7E8D" w:rsidP="006A7E8D"/>
    <w:p w:rsidR="00A4652C" w:rsidRPr="00A4652C" w:rsidRDefault="00A4652C" w:rsidP="00A4652C">
      <w:r>
        <w:rPr>
          <w:rFonts w:hint="eastAsia"/>
          <w:noProof/>
          <w:lang w:val="fr-FR" w:eastAsia="fr-FR"/>
        </w:rPr>
        <w:lastRenderedPageBreak/>
        <w:drawing>
          <wp:inline distT="0" distB="0" distL="0" distR="0">
            <wp:extent cx="5274310" cy="2994660"/>
            <wp:effectExtent l="0" t="0" r="0" b="2540"/>
            <wp:docPr id="2680405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040560" name="图片 26804056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C68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6" w:name="_Toc143524731"/>
      <w:bookmarkStart w:id="27" w:name="_Toc143525205"/>
      <w:bookmarkStart w:id="28" w:name="_Toc155953402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S9.</w:t>
      </w:r>
      <w:r w:rsidR="00FC76E4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Faradaic efficiency over Ag/2.1%-PEI catalysts as a function of applied cell voltages measured with different buffering catholyte: DI water(a), 3</w:t>
      </w:r>
      <w:r w:rsidR="00142C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M NaHCO</w:t>
      </w:r>
      <w:r w:rsidR="007E2C68" w:rsidRPr="00142C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(b), 3</w:t>
      </w:r>
      <w:r w:rsidR="00142C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M KHCO</w:t>
      </w:r>
      <w:r w:rsidR="007E2C68" w:rsidRPr="00142C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(c), and 3</w:t>
      </w:r>
      <w:r w:rsidR="00142C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M CsHCO</w:t>
      </w:r>
      <w:r w:rsidR="007E2C68" w:rsidRPr="00142C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(d). The total </w:t>
      </w:r>
      <w:r w:rsidR="007E58BC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(e) 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and CO partial current density</w:t>
      </w:r>
      <w:r w:rsidR="007E58BC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(f) </w:t>
      </w:r>
      <w:r w:rsidR="007E2C6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comparison with different buffering catholyte in BPM-based MEA ele</w:t>
      </w:r>
      <w:r w:rsidR="007E2C68" w:rsidRPr="00985ABF">
        <w:rPr>
          <w:rFonts w:ascii="Times New Roman" w:hAnsi="Times New Roman" w:cs="Times New Roman"/>
          <w:b w:val="0"/>
          <w:bCs w:val="0"/>
          <w:sz w:val="24"/>
          <w:szCs w:val="24"/>
        </w:rPr>
        <w:t>ctrolyzers.</w:t>
      </w:r>
      <w:bookmarkEnd w:id="26"/>
      <w:bookmarkEnd w:id="27"/>
      <w:bookmarkEnd w:id="28"/>
    </w:p>
    <w:p w:rsidR="00A4652C" w:rsidRDefault="00A4652C" w:rsidP="00A4652C">
      <w:pPr>
        <w:spacing w:before="0" w:after="0" w:line="240" w:lineRule="auto"/>
        <w:rPr>
          <w:rStyle w:val="Titre2Car"/>
          <w:rFonts w:ascii="Times New Roman" w:hAnsi="Times New Roman" w:cs="Times New Roman"/>
          <w:sz w:val="24"/>
          <w:szCs w:val="24"/>
        </w:rPr>
      </w:pPr>
    </w:p>
    <w:p w:rsidR="00A4652C" w:rsidRDefault="00A4652C" w:rsidP="00A4652C">
      <w:pPr>
        <w:spacing w:before="0" w:after="0" w:line="240" w:lineRule="auto"/>
        <w:rPr>
          <w:rStyle w:val="Titre2Car"/>
          <w:rFonts w:ascii="Times New Roman" w:hAnsi="Times New Roman" w:cs="Times New Roman"/>
          <w:sz w:val="24"/>
          <w:szCs w:val="24"/>
        </w:rPr>
      </w:pPr>
    </w:p>
    <w:p w:rsidR="00A4652C" w:rsidRDefault="00A4652C" w:rsidP="00A4652C">
      <w:pPr>
        <w:spacing w:before="0" w:after="0" w:line="240" w:lineRule="auto"/>
        <w:rPr>
          <w:rStyle w:val="Titre2Car"/>
          <w:rFonts w:ascii="Times New Roman" w:hAnsi="Times New Roman" w:cs="Times New Roman"/>
          <w:sz w:val="24"/>
          <w:szCs w:val="24"/>
        </w:rPr>
      </w:pPr>
    </w:p>
    <w:p w:rsidR="00A4652C" w:rsidRDefault="00A4652C" w:rsidP="00A4652C">
      <w:pPr>
        <w:spacing w:before="0" w:after="0" w:line="240" w:lineRule="auto"/>
        <w:rPr>
          <w:rStyle w:val="Titre2Car"/>
          <w:rFonts w:ascii="Times New Roman" w:hAnsi="Times New Roman" w:cs="Times New Roman"/>
          <w:sz w:val="24"/>
          <w:szCs w:val="24"/>
        </w:rPr>
      </w:pPr>
    </w:p>
    <w:p w:rsidR="00A4652C" w:rsidRDefault="00A4652C" w:rsidP="00A4652C">
      <w:pPr>
        <w:spacing w:before="0" w:after="0" w:line="240" w:lineRule="auto"/>
        <w:rPr>
          <w:rFonts w:ascii="Times New Roman" w:hAnsi="Times New Roman" w:cs="Times New Roman"/>
          <w:sz w:val="24"/>
        </w:rPr>
      </w:pPr>
    </w:p>
    <w:p w:rsidR="007E2C68" w:rsidRDefault="007E2C68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B0035" w:rsidRPr="007E2C68" w:rsidRDefault="00DB0035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777067" w:rsidRDefault="008E631F" w:rsidP="008E631F">
      <w:pPr>
        <w:spacing w:before="0"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3979439" cy="2940262"/>
            <wp:effectExtent l="0" t="0" r="0" b="0"/>
            <wp:docPr id="1144858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858410" name="图片 114485841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4785" cy="295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31F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9" w:name="_Toc143524732"/>
      <w:bookmarkStart w:id="30" w:name="_Toc143525206"/>
      <w:bookmarkStart w:id="31" w:name="_Toc155953403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S10.</w:t>
      </w:r>
      <w:r w:rsidR="00777067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7E183C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Faradaic efficiency and total current density over Ag/buffering catalysts as a function of applied cell voltages measured in H</w:t>
      </w:r>
      <w:r w:rsidR="007E183C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7E183C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SO</w:t>
      </w:r>
      <w:r w:rsidR="007E183C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4</w:t>
      </w:r>
      <w:r w:rsidR="007E183C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with a pH</w:t>
      </w:r>
      <w:r w:rsidR="00E62F61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value of </w:t>
      </w:r>
      <w:r w:rsidR="007E183C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0.5.</w:t>
      </w:r>
      <w:bookmarkEnd w:id="29"/>
      <w:bookmarkEnd w:id="30"/>
      <w:bookmarkEnd w:id="31"/>
    </w:p>
    <w:p w:rsidR="006A7E8D" w:rsidRDefault="006A7E8D" w:rsidP="006A7E8D"/>
    <w:p w:rsidR="006A7E8D" w:rsidRDefault="006A7E8D" w:rsidP="006A7E8D"/>
    <w:p w:rsidR="006A7E8D" w:rsidRDefault="006A7E8D" w:rsidP="006A7E8D"/>
    <w:p w:rsidR="006A7E8D" w:rsidRDefault="006A7E8D" w:rsidP="006A7E8D"/>
    <w:p w:rsidR="006A7E8D" w:rsidRDefault="006A7E8D" w:rsidP="006A7E8D"/>
    <w:p w:rsidR="006A7E8D" w:rsidRPr="006A7E8D" w:rsidRDefault="006A7E8D" w:rsidP="006A7E8D"/>
    <w:p w:rsidR="006A7E8D" w:rsidRDefault="006A7E8D" w:rsidP="006A7E8D"/>
    <w:p w:rsidR="006A7E8D" w:rsidRDefault="006A7E8D" w:rsidP="006A7E8D"/>
    <w:p w:rsidR="006A7E8D" w:rsidRDefault="006A7E8D" w:rsidP="006A7E8D"/>
    <w:p w:rsidR="006A7E8D" w:rsidRPr="006A7E8D" w:rsidRDefault="006A7E8D" w:rsidP="006A7E8D"/>
    <w:p w:rsidR="00777067" w:rsidRPr="00B12F25" w:rsidRDefault="00B12F25" w:rsidP="00777067">
      <w:pPr>
        <w:spacing w:before="0"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5130369" cy="3948154"/>
            <wp:effectExtent l="0" t="0" r="635" b="1905"/>
            <wp:docPr id="20400163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016384" name="图片 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4144" cy="3981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067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2" w:name="_Toc143524734"/>
      <w:bookmarkStart w:id="33" w:name="_Toc143525208"/>
      <w:bookmarkStart w:id="34" w:name="_Toc155953404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S11.</w:t>
      </w:r>
      <w:r w:rsidR="00777067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Faradaic efficiency and CO partial current density over Ag/buffering catalysts as a function of applied cell voltages measured in different anolyte (0.5 M K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SO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4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+ H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SO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4</w:t>
      </w:r>
      <w:r w:rsidR="00864D13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) with pH=1.0 (a), pH=0.5 (a), and pH=0.25 (c) in CEM-based MEA electrolyzers. The error bars represent standard deviation from three independent measurements.</w:t>
      </w:r>
      <w:bookmarkEnd w:id="32"/>
      <w:bookmarkEnd w:id="33"/>
      <w:bookmarkEnd w:id="34"/>
    </w:p>
    <w:p w:rsidR="00745478" w:rsidRDefault="00745478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54440E" w:rsidRDefault="0054440E" w:rsidP="0054440E">
      <w:pPr>
        <w:spacing w:before="0" w:after="0"/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noProof/>
          <w:color w:val="FF0000"/>
          <w:sz w:val="24"/>
          <w:lang w:val="fr-FR" w:eastAsia="fr-FR"/>
        </w:rPr>
        <w:lastRenderedPageBreak/>
        <w:drawing>
          <wp:inline distT="0" distB="0" distL="0" distR="0" wp14:anchorId="2C59A646" wp14:editId="064CA1C0">
            <wp:extent cx="4173643" cy="2838203"/>
            <wp:effectExtent l="0" t="0" r="5080" b="0"/>
            <wp:docPr id="18991690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169004" name="图片 1899169004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65" r="7698"/>
                    <a:stretch/>
                  </pic:blipFill>
                  <pic:spPr bwMode="auto">
                    <a:xfrm>
                      <a:off x="0" y="0"/>
                      <a:ext cx="4174006" cy="2838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440E" w:rsidRPr="0054440E" w:rsidRDefault="00DB0035" w:rsidP="0054440E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5" w:name="_Toc155953405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S12.</w:t>
      </w:r>
      <w:r w:rsidR="0054440E" w:rsidRPr="005444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The schematic of one dimensional COMSOL modelling in BPM-based MEA electrolyzers. GDL refers to gas diffusion layer.</w:t>
      </w:r>
      <w:bookmarkEnd w:id="35"/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4E5F8A" w:rsidRDefault="004E5F8A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4E5F8A" w:rsidRDefault="00EB2E73" w:rsidP="00EB2E73">
      <w:pPr>
        <w:spacing w:before="0" w:after="0"/>
        <w:jc w:val="center"/>
        <w:rPr>
          <w:rFonts w:ascii="Times New Roman" w:hAnsi="Times New Roman" w:cs="Times New Roman"/>
          <w:sz w:val="24"/>
        </w:rPr>
      </w:pPr>
      <w:r w:rsidRPr="00EB2E73"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 wp14:anchorId="1E49F32B" wp14:editId="7807D516">
            <wp:extent cx="3133959" cy="2571962"/>
            <wp:effectExtent l="0" t="0" r="3175" b="6350"/>
            <wp:docPr id="228716066" name="图片 228716066">
              <a:extLst xmlns:a="http://schemas.openxmlformats.org/drawingml/2006/main">
                <a:ext uri="{FF2B5EF4-FFF2-40B4-BE49-F238E27FC236}">
                  <a16:creationId xmlns:a16="http://schemas.microsoft.com/office/drawing/2014/main" id="{B6806FF8-4FFD-33E1-67E9-A48D68D9B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B6806FF8-4FFD-33E1-67E9-A48D68D9B2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60621" cy="259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D13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6" w:name="_Toc143524735"/>
      <w:bookmarkStart w:id="37" w:name="_Toc143525209"/>
      <w:bookmarkStart w:id="38" w:name="_Toc155953406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A4652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375370" w:rsidRPr="00DC3190">
        <w:rPr>
          <w:rFonts w:ascii="Times New Roman" w:hAnsi="Times New Roman" w:cs="Times New Roman"/>
          <w:sz w:val="24"/>
          <w:szCs w:val="24"/>
        </w:rPr>
        <w:t xml:space="preserve"> </w:t>
      </w:r>
      <w:r w:rsidR="00745478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The bicarbonate concentration profiles</w:t>
      </w:r>
      <w:r w:rsidR="00EB2E73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from finite-element numerical simulation results of the buffering layers with 3 M CsHCO</w:t>
      </w:r>
      <w:r w:rsidR="00EB2E73" w:rsidRPr="00DC3190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EB2E73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and PEI concentration from 0.5 to 3.4% in BPM-based MEA configurations</w:t>
      </w:r>
      <w:r w:rsidR="00745478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36"/>
      <w:bookmarkEnd w:id="37"/>
      <w:bookmarkEnd w:id="38"/>
    </w:p>
    <w:p w:rsidR="00375370" w:rsidRDefault="0037537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Pr="00DC3190" w:rsidRDefault="00ED7A87" w:rsidP="00ED7A87">
      <w:pPr>
        <w:spacing w:before="0" w:after="0"/>
        <w:jc w:val="center"/>
        <w:rPr>
          <w:rFonts w:ascii="Times New Roman" w:hAnsi="Times New Roman" w:cs="Times New Roman"/>
          <w:sz w:val="24"/>
        </w:rPr>
      </w:pPr>
      <w:r w:rsidRPr="00DC3190"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5274310" cy="2256790"/>
            <wp:effectExtent l="0" t="0" r="0" b="3810"/>
            <wp:docPr id="20632216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221661" name="图片 2063221661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E27" w:rsidRPr="00A4652C" w:rsidRDefault="00DB0035" w:rsidP="00BC5E27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9" w:name="_Toc155953407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S14.</w:t>
      </w:r>
      <w:r w:rsidR="00BC5E27" w:rsidRPr="00DC3190">
        <w:rPr>
          <w:rFonts w:ascii="Times New Roman" w:hAnsi="Times New Roman" w:cs="Times New Roman"/>
          <w:sz w:val="24"/>
          <w:szCs w:val="24"/>
        </w:rPr>
        <w:t xml:space="preserve"> </w:t>
      </w:r>
      <w:r w:rsidR="00BC5E2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Finite-element numerical simulation results of </w:t>
      </w:r>
      <w:r w:rsidR="00DD378D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2.1% PEI-</w:t>
      </w:r>
      <w:r w:rsidR="00BC5E2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buffering layers </w:t>
      </w:r>
      <w:r w:rsidR="004306ED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in CEM-based MEA configuration</w:t>
      </w:r>
      <w:r w:rsidR="00DD378D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with different 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0.5 M K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SO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4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+ H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SO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4</w:t>
      </w:r>
      <w:r w:rsidR="0085489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DD378D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anolytes (pH=0.25, 0.5 and 1)</w:t>
      </w:r>
      <w:r w:rsidR="00BC5E2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. (a) The</w:t>
      </w:r>
      <w:r w:rsidR="00BC5E27" w:rsidRPr="00DC319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pH profi</w:t>
      </w:r>
      <w:r w:rsidR="00BC5E27" w:rsidRPr="00DC3190">
        <w:rPr>
          <w:rFonts w:ascii="Times New Roman" w:hAnsi="Times New Roman" w:cs="Times New Roman"/>
          <w:b w:val="0"/>
          <w:bCs w:val="0"/>
          <w:sz w:val="24"/>
          <w:szCs w:val="24"/>
        </w:rPr>
        <w:t>les. (b) The bicarbonate concentration profiles.</w:t>
      </w:r>
      <w:bookmarkEnd w:id="39"/>
      <w:r w:rsidR="00BC5E27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="006A7E8D" w:rsidRPr="00BC5E27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B0035" w:rsidRPr="00375370" w:rsidRDefault="00DB0035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E4429A" w:rsidRDefault="00E4429A" w:rsidP="0016799E">
      <w:pPr>
        <w:spacing w:before="0"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5274310" cy="1492250"/>
            <wp:effectExtent l="0" t="0" r="0" b="6350"/>
            <wp:docPr id="16990234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023420" name="图片 169902342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29A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0" w:name="_Toc143524736"/>
      <w:bookmarkStart w:id="41" w:name="_Toc143525210"/>
      <w:bookmarkStart w:id="42" w:name="_Toc155953408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S15.</w:t>
      </w:r>
      <w:r w:rsidR="00E4429A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9D4F2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The relationships among flow rate, current density and CO</w:t>
      </w:r>
      <w:r w:rsidR="009D4F28" w:rsidRPr="00A4652C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 w:rsidR="009D4F28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conversion efficiency in BPM-based MEA with an optimized Ag/buffer cathode(a), CEM-based MEA with an optimized Ag/buffer cathode (b) and AEM-based MEA electrolyzers with a pure Ag cathode (c)</w:t>
      </w:r>
      <w:bookmarkEnd w:id="40"/>
      <w:bookmarkEnd w:id="41"/>
      <w:bookmarkEnd w:id="42"/>
    </w:p>
    <w:p w:rsidR="00157BF6" w:rsidRDefault="00157BF6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6A7E8D" w:rsidRDefault="006A7E8D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C3190" w:rsidRPr="00157BF6" w:rsidRDefault="00DC3190" w:rsidP="0016799E">
      <w:pPr>
        <w:spacing w:before="0" w:after="0"/>
        <w:rPr>
          <w:rFonts w:ascii="Times New Roman" w:hAnsi="Times New Roman" w:cs="Times New Roman"/>
          <w:sz w:val="24"/>
        </w:rPr>
      </w:pPr>
    </w:p>
    <w:p w:rsidR="00D12FB7" w:rsidRDefault="00815801" w:rsidP="00E4429A">
      <w:pPr>
        <w:spacing w:before="0"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fr-FR" w:eastAsia="fr-FR"/>
        </w:rPr>
        <w:lastRenderedPageBreak/>
        <w:drawing>
          <wp:inline distT="0" distB="0" distL="0" distR="0">
            <wp:extent cx="2768305" cy="2133388"/>
            <wp:effectExtent l="0" t="0" r="635" b="635"/>
            <wp:docPr id="409399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399270" name="图片 40939927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678" cy="2151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FB7" w:rsidRPr="00A4652C" w:rsidRDefault="00DB0035" w:rsidP="00A4652C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3" w:name="_Toc143524737"/>
      <w:bookmarkStart w:id="44" w:name="_Toc143525211"/>
      <w:bookmarkStart w:id="45" w:name="_Toc155953409"/>
      <w:r w:rsidRPr="00A4652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46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S16.</w:t>
      </w:r>
      <w:r w:rsidR="00D12FB7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27102A" w:rsidRPr="00A4652C">
        <w:rPr>
          <w:rFonts w:ascii="Times New Roman" w:hAnsi="Times New Roman" w:cs="Times New Roman"/>
          <w:b w:val="0"/>
          <w:bCs w:val="0"/>
          <w:sz w:val="24"/>
          <w:szCs w:val="24"/>
        </w:rPr>
        <w:t>The FE and full cell voltage for neutral MEA with Ag catalyst.</w:t>
      </w:r>
      <w:bookmarkEnd w:id="43"/>
      <w:bookmarkEnd w:id="44"/>
      <w:bookmarkEnd w:id="45"/>
    </w:p>
    <w:p w:rsidR="00752058" w:rsidRDefault="00752058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4652C" w:rsidRDefault="00A4652C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4652C" w:rsidRDefault="00A4652C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6A7E8D" w:rsidRDefault="006A7E8D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B4DCF" w:rsidRDefault="00AB4DCF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B4DCF" w:rsidRDefault="00AB4DCF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B4DCF" w:rsidRDefault="00AB4DCF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B4DCF" w:rsidRDefault="00AB4DCF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B4DCF" w:rsidRDefault="00AB4DCF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B4DCF" w:rsidRDefault="00AB4DCF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E07A89" w:rsidRDefault="00E07A89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E07A89" w:rsidRDefault="00E07A89" w:rsidP="00D12FB7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A4652C" w:rsidRPr="006A7E8D" w:rsidRDefault="00752058" w:rsidP="006A7E8D">
      <w:pPr>
        <w:pStyle w:val="Titre2"/>
        <w:rPr>
          <w:rFonts w:ascii="Times New Roman" w:hAnsi="Times New Roman" w:cs="Times New Roman"/>
          <w:sz w:val="24"/>
          <w:szCs w:val="24"/>
        </w:rPr>
      </w:pPr>
      <w:bookmarkStart w:id="46" w:name="_Toc143524738"/>
      <w:bookmarkStart w:id="47" w:name="_Toc143525212"/>
      <w:bookmarkStart w:id="48" w:name="_Toc155953410"/>
      <w:r w:rsidRPr="00A4652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DB0035">
        <w:rPr>
          <w:rFonts w:ascii="Times New Roman" w:hAnsi="Times New Roman" w:cs="Times New Roman"/>
          <w:sz w:val="24"/>
          <w:szCs w:val="24"/>
        </w:rPr>
        <w:t>S</w:t>
      </w:r>
      <w:r w:rsidR="00EE3918">
        <w:rPr>
          <w:rFonts w:ascii="Times New Roman" w:hAnsi="Times New Roman" w:cs="Times New Roman"/>
          <w:sz w:val="24"/>
          <w:szCs w:val="24"/>
        </w:rPr>
        <w:t>1</w:t>
      </w:r>
      <w:r w:rsidRPr="00A4652C">
        <w:rPr>
          <w:rFonts w:ascii="Times New Roman" w:hAnsi="Times New Roman" w:cs="Times New Roman"/>
          <w:sz w:val="24"/>
          <w:szCs w:val="24"/>
        </w:rPr>
        <w:t>.</w:t>
      </w:r>
      <w:r w:rsidR="003A2E5B" w:rsidRPr="00A4652C">
        <w:rPr>
          <w:rFonts w:ascii="Times New Roman" w:hAnsi="Times New Roman" w:cs="Times New Roman"/>
          <w:sz w:val="24"/>
          <w:szCs w:val="24"/>
        </w:rPr>
        <w:t xml:space="preserve"> </w:t>
      </w:r>
      <w:r w:rsidR="00DF0673" w:rsidRPr="00A4652C">
        <w:rPr>
          <w:rFonts w:ascii="Times New Roman" w:hAnsi="Times New Roman" w:cs="Times New Roman"/>
          <w:sz w:val="24"/>
          <w:szCs w:val="24"/>
        </w:rPr>
        <w:t>Comparison of the CO</w:t>
      </w:r>
      <w:r w:rsidR="00DF0673" w:rsidRPr="00A4652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F0673" w:rsidRPr="00A4652C">
        <w:rPr>
          <w:rFonts w:ascii="Times New Roman" w:hAnsi="Times New Roman" w:cs="Times New Roman"/>
          <w:sz w:val="24"/>
          <w:szCs w:val="24"/>
        </w:rPr>
        <w:t xml:space="preserve"> Single-pass conversion rate (SPC, %), Single-pass utilization rate (SPU, %) in BPM/CEM-based MEA electrolyzers and this work.</w:t>
      </w:r>
      <w:bookmarkEnd w:id="46"/>
      <w:bookmarkEnd w:id="47"/>
      <w:bookmarkEnd w:id="48"/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4"/>
        <w:gridCol w:w="1714"/>
        <w:gridCol w:w="1350"/>
        <w:gridCol w:w="1262"/>
        <w:gridCol w:w="1264"/>
        <w:gridCol w:w="1272"/>
      </w:tblGrid>
      <w:tr w:rsidR="000A1B14" w:rsidRPr="000A1B14" w:rsidTr="006A2A48"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:rsidR="00752058" w:rsidRPr="00947574" w:rsidRDefault="00752058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Membranes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</w:tcPr>
          <w:p w:rsidR="00752058" w:rsidRPr="00947574" w:rsidRDefault="00752058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Catalysts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752058" w:rsidRPr="00947574" w:rsidRDefault="00752058" w:rsidP="0094757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j</w:t>
            </w:r>
            <w:r w:rsidRPr="0094757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vertAlign w:val="subscript"/>
              </w:rPr>
              <w:t>total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vertAlign w:val="subscript"/>
              </w:rPr>
              <w:t xml:space="preserve"> 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(mA/cm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vertAlign w:val="superscript"/>
              </w:rPr>
              <w:t>2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52058" w:rsidRPr="00947574" w:rsidRDefault="00752058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S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PC (%)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752058" w:rsidRPr="00947574" w:rsidRDefault="00752058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S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PU (%)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:rsidR="00752058" w:rsidRPr="00947574" w:rsidRDefault="00752058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Note</w:t>
            </w:r>
          </w:p>
        </w:tc>
      </w:tr>
      <w:tr w:rsidR="00DC6B12" w:rsidRPr="000A1B14" w:rsidTr="006A2A48">
        <w:tc>
          <w:tcPr>
            <w:tcW w:w="1444" w:type="dxa"/>
            <w:vMerge w:val="restart"/>
            <w:tcBorders>
              <w:top w:val="single" w:sz="4" w:space="0" w:color="auto"/>
              <w:bottom w:val="nil"/>
            </w:tcBorders>
          </w:tcPr>
          <w:p w:rsidR="00DF0673" w:rsidRDefault="00DF0673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DC6B12" w:rsidRPr="00947574" w:rsidRDefault="00DC6B12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B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PM</w:t>
            </w:r>
          </w:p>
          <w:p w:rsidR="00DC6B12" w:rsidRPr="00947574" w:rsidRDefault="00DC6B12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</w:t>
            </w:r>
            <w:r w:rsidR="00947574"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R</w:t>
            </w: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eversed  bias)</w:t>
            </w:r>
          </w:p>
        </w:tc>
        <w:tc>
          <w:tcPr>
            <w:tcW w:w="1714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g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00</w:t>
            </w:r>
          </w:p>
        </w:tc>
        <w:tc>
          <w:tcPr>
            <w:tcW w:w="1262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</w:p>
        </w:tc>
        <w:tc>
          <w:tcPr>
            <w:tcW w:w="1264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Ref 1</w:t>
            </w:r>
          </w:p>
        </w:tc>
      </w:tr>
      <w:tr w:rsidR="00DC6B12" w:rsidRPr="000A1B14" w:rsidTr="006A2A48">
        <w:tc>
          <w:tcPr>
            <w:tcW w:w="1444" w:type="dxa"/>
            <w:vMerge/>
            <w:tcBorders>
              <w:top w:val="single" w:sz="4" w:space="0" w:color="auto"/>
              <w:bottom w:val="nil"/>
            </w:tcBorders>
          </w:tcPr>
          <w:p w:rsidR="00DC6B12" w:rsidRPr="00947574" w:rsidRDefault="00DC6B12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u/K</w:t>
            </w:r>
            <w:r w:rsidRPr="00947574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SO</w:t>
            </w:r>
            <w:r w:rsidRPr="00947574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buffering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00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DC6B12" w:rsidRPr="000A1B14" w:rsidRDefault="00572E08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Ref 2</w:t>
            </w:r>
          </w:p>
        </w:tc>
      </w:tr>
      <w:tr w:rsidR="00DC6B12" w:rsidRPr="000A1B14" w:rsidTr="006A2A48">
        <w:tc>
          <w:tcPr>
            <w:tcW w:w="14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6B12" w:rsidRPr="00947574" w:rsidRDefault="00DC6B12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14" w:type="dxa"/>
            <w:tcBorders>
              <w:top w:val="nil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/CsHCO</w:t>
            </w:r>
            <w:r w:rsidRPr="00947574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buffering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75</w:t>
            </w:r>
          </w:p>
        </w:tc>
        <w:tc>
          <w:tcPr>
            <w:tcW w:w="1262" w:type="dxa"/>
            <w:tcBorders>
              <w:top w:val="nil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264" w:type="dxa"/>
            <w:tcBorders>
              <w:top w:val="nil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This work</w:t>
            </w:r>
          </w:p>
        </w:tc>
      </w:tr>
      <w:tr w:rsidR="00DC6B12" w:rsidRPr="000A1B14" w:rsidTr="006A2A48">
        <w:tc>
          <w:tcPr>
            <w:tcW w:w="144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DF0673" w:rsidRDefault="00DF0673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DF0673" w:rsidRDefault="00DF0673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DF0673" w:rsidRDefault="00DF0673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DC6B12" w:rsidRPr="00947574" w:rsidRDefault="00DC6B12" w:rsidP="0075205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475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CEM</w:t>
            </w:r>
          </w:p>
        </w:tc>
        <w:tc>
          <w:tcPr>
            <w:tcW w:w="1714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Ni-N-C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00</w:t>
            </w:r>
          </w:p>
        </w:tc>
        <w:tc>
          <w:tcPr>
            <w:tcW w:w="1262" w:type="dxa"/>
            <w:tcBorders>
              <w:top w:val="single" w:sz="4" w:space="0" w:color="auto"/>
              <w:bottom w:val="nil"/>
            </w:tcBorders>
          </w:tcPr>
          <w:p w:rsidR="00DC6B12" w:rsidRPr="000A1B14" w:rsidRDefault="00572E08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</w:p>
        </w:tc>
        <w:tc>
          <w:tcPr>
            <w:tcW w:w="1264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Ref 3</w:t>
            </w:r>
          </w:p>
        </w:tc>
      </w:tr>
      <w:tr w:rsidR="00DC6B12" w:rsidRPr="000A1B14" w:rsidTr="006A2A48">
        <w:tc>
          <w:tcPr>
            <w:tcW w:w="14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g</w:t>
            </w:r>
          </w:p>
        </w:tc>
        <w:tc>
          <w:tcPr>
            <w:tcW w:w="1350" w:type="dxa"/>
            <w:tcBorders>
              <w:top w:val="nil"/>
            </w:tcBorders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262" w:type="dxa"/>
            <w:tcBorders>
              <w:top w:val="nil"/>
            </w:tcBorders>
          </w:tcPr>
          <w:p w:rsidR="00DC6B12" w:rsidRPr="000A1B14" w:rsidRDefault="00572E08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</w:p>
        </w:tc>
        <w:tc>
          <w:tcPr>
            <w:tcW w:w="1264" w:type="dxa"/>
            <w:tcBorders>
              <w:top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272" w:type="dxa"/>
            <w:tcBorders>
              <w:top w:val="nil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Ref 4</w:t>
            </w:r>
          </w:p>
        </w:tc>
      </w:tr>
      <w:tr w:rsidR="00DC6B12" w:rsidRPr="000A1B14" w:rsidTr="006A2A48">
        <w:tc>
          <w:tcPr>
            <w:tcW w:w="14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14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@C</w:t>
            </w:r>
          </w:p>
        </w:tc>
        <w:tc>
          <w:tcPr>
            <w:tcW w:w="1350" w:type="dxa"/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00</w:t>
            </w:r>
          </w:p>
        </w:tc>
        <w:tc>
          <w:tcPr>
            <w:tcW w:w="1262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264" w:type="dxa"/>
          </w:tcPr>
          <w:p w:rsidR="00DC6B12" w:rsidRPr="000A1B14" w:rsidRDefault="00572E08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</w:p>
        </w:tc>
        <w:tc>
          <w:tcPr>
            <w:tcW w:w="1272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Ref 5</w:t>
            </w:r>
          </w:p>
        </w:tc>
      </w:tr>
      <w:tr w:rsidR="00DC6B12" w:rsidRPr="000A1B14" w:rsidTr="006A2A48">
        <w:tc>
          <w:tcPr>
            <w:tcW w:w="14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14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Cu/PCRL</w:t>
            </w:r>
          </w:p>
        </w:tc>
        <w:tc>
          <w:tcPr>
            <w:tcW w:w="1350" w:type="dxa"/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00</w:t>
            </w:r>
          </w:p>
        </w:tc>
        <w:tc>
          <w:tcPr>
            <w:tcW w:w="1262" w:type="dxa"/>
          </w:tcPr>
          <w:p w:rsidR="00DC6B12" w:rsidRPr="000A1B14" w:rsidRDefault="00572E08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</w:p>
        </w:tc>
        <w:tc>
          <w:tcPr>
            <w:tcW w:w="1264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272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Ref 6</w:t>
            </w:r>
          </w:p>
        </w:tc>
      </w:tr>
      <w:tr w:rsidR="00DC6B12" w:rsidRPr="000A1B14" w:rsidTr="006A2A48">
        <w:tc>
          <w:tcPr>
            <w:tcW w:w="14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714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A1B14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A</w:t>
            </w:r>
            <w:r w:rsidRPr="000A1B14">
              <w:rPr>
                <w:rFonts w:ascii="Times New Roman" w:hAnsi="Times New Roman" w:cs="Times New Roman"/>
                <w:color w:val="000000" w:themeColor="text1"/>
                <w:sz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</w:t>
            </w:r>
            <w:r w:rsidR="0094757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CsHCO</w:t>
            </w:r>
            <w:r w:rsidR="00947574" w:rsidRPr="00947574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3</w:t>
            </w:r>
            <w:r w:rsidR="0094757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buffering</w:t>
            </w:r>
          </w:p>
        </w:tc>
        <w:tc>
          <w:tcPr>
            <w:tcW w:w="1350" w:type="dxa"/>
          </w:tcPr>
          <w:p w:rsidR="00DC6B12" w:rsidRPr="000A1B14" w:rsidRDefault="00DC6B12" w:rsidP="009475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75</w:t>
            </w:r>
          </w:p>
        </w:tc>
        <w:tc>
          <w:tcPr>
            <w:tcW w:w="1262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264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272" w:type="dxa"/>
          </w:tcPr>
          <w:p w:rsidR="00DC6B12" w:rsidRPr="000A1B14" w:rsidRDefault="00DC6B12" w:rsidP="007520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This work</w:t>
            </w:r>
          </w:p>
        </w:tc>
      </w:tr>
    </w:tbl>
    <w:p w:rsidR="00752058" w:rsidRDefault="00752058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EE3918" w:rsidRPr="001C3C13" w:rsidRDefault="00EE3918" w:rsidP="001C3C13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</w:pPr>
      <w:bookmarkStart w:id="49" w:name="_Toc143525213"/>
      <w:bookmarkStart w:id="50" w:name="_Toc155953411"/>
      <w:r w:rsidRPr="001C3C13">
        <w:rPr>
          <w:rFonts w:ascii="Times New Roman" w:hAnsi="Times New Roman" w:cs="Times New Roman"/>
          <w:sz w:val="24"/>
          <w:szCs w:val="24"/>
        </w:rPr>
        <w:t xml:space="preserve">Table </w:t>
      </w:r>
      <w:r w:rsidR="00DB0035">
        <w:rPr>
          <w:rFonts w:ascii="Times New Roman" w:hAnsi="Times New Roman" w:cs="Times New Roman"/>
          <w:sz w:val="24"/>
          <w:szCs w:val="24"/>
        </w:rPr>
        <w:t>S</w:t>
      </w:r>
      <w:r w:rsidRPr="001C3C13">
        <w:rPr>
          <w:rFonts w:ascii="Times New Roman" w:hAnsi="Times New Roman" w:cs="Times New Roman"/>
          <w:sz w:val="24"/>
          <w:szCs w:val="24"/>
        </w:rPr>
        <w:t>2.</w:t>
      </w:r>
      <w:r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The chemical reactions at the catholyte region and the corresponding forward </w:t>
      </w:r>
      <w:r w:rsidRPr="001C3C13"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k</w:t>
      </w:r>
      <w:r w:rsidRPr="001C3C13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f</w:t>
      </w:r>
      <w:r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rate constants and reverse </w:t>
      </w:r>
      <w:r w:rsidRPr="001C3C13"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k</w:t>
      </w:r>
      <w:r w:rsidRPr="001C3C13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r</w:t>
      </w:r>
      <w:r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rate constants used in simulation</w:t>
      </w:r>
      <w:r w:rsidR="005B2104" w:rsidRPr="0002350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vertAlign w:val="superscript"/>
        </w:rPr>
        <w:t>7</w:t>
      </w:r>
      <w:r w:rsidR="0098682E"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9"/>
      <w:bookmarkEnd w:id="50"/>
      <w:r w:rsidR="0098682E"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991"/>
        <w:gridCol w:w="2766"/>
      </w:tblGrid>
      <w:tr w:rsidR="00206021" w:rsidRPr="00206021" w:rsidTr="008C65E2">
        <w:trPr>
          <w:jc w:val="center"/>
        </w:trPr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:rsidR="00206021" w:rsidRPr="002F22F2" w:rsidRDefault="00206021" w:rsidP="00F759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2F22F2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R</w:t>
            </w:r>
            <w:r w:rsidRPr="002F22F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eaction</w:t>
            </w: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</w:tcPr>
          <w:p w:rsidR="00206021" w:rsidRPr="002F22F2" w:rsidRDefault="001F5A93" w:rsidP="00F759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2F22F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k</w:t>
            </w:r>
            <w:r w:rsidRPr="002F22F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vertAlign w:val="subscript"/>
              </w:rPr>
              <w:t>f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:rsidR="00206021" w:rsidRPr="002F22F2" w:rsidRDefault="00206021" w:rsidP="00F7594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2F22F2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k</w:t>
            </w:r>
            <w:r w:rsidR="001F5A93" w:rsidRPr="002F22F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vertAlign w:val="subscript"/>
              </w:rPr>
              <w:t>r</w:t>
            </w:r>
          </w:p>
        </w:tc>
      </w:tr>
      <w:tr w:rsidR="00206021" w:rsidRPr="00206021" w:rsidTr="008C65E2">
        <w:trPr>
          <w:jc w:val="center"/>
        </w:trPr>
        <w:tc>
          <w:tcPr>
            <w:tcW w:w="3539" w:type="dxa"/>
            <w:tcBorders>
              <w:top w:val="single" w:sz="4" w:space="0" w:color="auto"/>
              <w:bottom w:val="nil"/>
            </w:tcBorders>
          </w:tcPr>
          <w:p w:rsidR="00206021" w:rsidRPr="008E6D69" w:rsidRDefault="00206021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1991" w:type="dxa"/>
            <w:tcBorders>
              <w:top w:val="single" w:sz="4" w:space="0" w:color="auto"/>
              <w:bottom w:val="nil"/>
            </w:tcBorders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0.036 [s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7.83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4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</w:tr>
      <w:tr w:rsidR="00206021" w:rsidRPr="00206021" w:rsidTr="008C65E2">
        <w:trPr>
          <w:jc w:val="center"/>
        </w:trPr>
        <w:tc>
          <w:tcPr>
            <w:tcW w:w="3539" w:type="dxa"/>
            <w:tcBorders>
              <w:top w:val="nil"/>
            </w:tcBorders>
          </w:tcPr>
          <w:p w:rsidR="00206021" w:rsidRPr="008E6D69" w:rsidRDefault="008E6D69" w:rsidP="00F75940">
            <w:pPr>
              <w:tabs>
                <w:tab w:val="left" w:pos="212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1991" w:type="dxa"/>
            <w:tcBorders>
              <w:top w:val="nil"/>
            </w:tcBorders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2.23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 xml:space="preserve">3 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  <w:tc>
          <w:tcPr>
            <w:tcW w:w="2766" w:type="dxa"/>
            <w:tcBorders>
              <w:top w:val="nil"/>
            </w:tcBorders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4.85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-5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</w:tr>
      <w:tr w:rsidR="00206021" w:rsidRPr="00206021" w:rsidTr="008C65E2">
        <w:trPr>
          <w:jc w:val="center"/>
        </w:trPr>
        <w:tc>
          <w:tcPr>
            <w:tcW w:w="3539" w:type="dxa"/>
          </w:tcPr>
          <w:p w:rsidR="00206021" w:rsidRPr="008E6D69" w:rsidRDefault="008E6D6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HC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2-</m:t>
                    </m:r>
                  </m:sup>
                </m:sSubSup>
              </m:oMath>
            </m:oMathPara>
          </w:p>
        </w:tc>
        <w:tc>
          <w:tcPr>
            <w:tcW w:w="1991" w:type="dxa"/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2.5 [s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  <w:tc>
          <w:tcPr>
            <w:tcW w:w="2766" w:type="dxa"/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</w:tr>
      <w:tr w:rsidR="00206021" w:rsidRPr="00206021" w:rsidTr="008C65E2">
        <w:trPr>
          <w:jc w:val="center"/>
        </w:trPr>
        <w:tc>
          <w:tcPr>
            <w:tcW w:w="3539" w:type="dxa"/>
          </w:tcPr>
          <w:p w:rsidR="00206021" w:rsidRPr="008E6D69" w:rsidRDefault="00514BA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</m:oMath>
            </m:oMathPara>
          </w:p>
        </w:tc>
        <w:tc>
          <w:tcPr>
            <w:tcW w:w="1991" w:type="dxa"/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 xml:space="preserve">9 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  <w:tc>
          <w:tcPr>
            <w:tcW w:w="2766" w:type="dxa"/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1.2 [s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</w:tr>
      <w:tr w:rsidR="00206021" w:rsidRPr="00206021" w:rsidTr="008C65E2">
        <w:trPr>
          <w:jc w:val="center"/>
        </w:trPr>
        <w:tc>
          <w:tcPr>
            <w:tcW w:w="3539" w:type="dxa"/>
          </w:tcPr>
          <w:p w:rsidR="00206021" w:rsidRPr="008E6D69" w:rsidRDefault="00514BA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HCO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vertAlign w:val="superscript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4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</m:oMath>
            </m:oMathPara>
          </w:p>
        </w:tc>
        <w:tc>
          <w:tcPr>
            <w:tcW w:w="1991" w:type="dxa"/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7.83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4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  <w:tc>
          <w:tcPr>
            <w:tcW w:w="2766" w:type="dxa"/>
          </w:tcPr>
          <w:p w:rsidR="00206021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0.036 [s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</w:tr>
      <w:tr w:rsidR="008E6D69" w:rsidRPr="00206021" w:rsidTr="008C65E2">
        <w:trPr>
          <w:jc w:val="center"/>
        </w:trPr>
        <w:tc>
          <w:tcPr>
            <w:tcW w:w="3539" w:type="dxa"/>
          </w:tcPr>
          <w:p w:rsidR="008E6D69" w:rsidRPr="00DB0035" w:rsidRDefault="008E6D69" w:rsidP="00F75940">
            <w:pPr>
              <w:jc w:val="center"/>
              <w:rPr>
                <w:rFonts w:ascii="Times New Roman" w:eastAsia="DengXian" w:hAnsi="Times New Roman" w:cs="Times New Roman"/>
                <w:iCs/>
                <w:color w:val="000000" w:themeColor="text1"/>
                <w:sz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</w:rPr>
                  <m:t>CsHC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Cs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lang w:val="en-GB"/>
                  </w:rPr>
                  <m:t>+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4"/>
                  </w:rPr>
                  <m:t>HC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1991" w:type="dxa"/>
          </w:tcPr>
          <w:p w:rsidR="008E6D69" w:rsidRPr="00206021" w:rsidRDefault="008E6D6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766" w:type="dxa"/>
          </w:tcPr>
          <w:p w:rsidR="008E6D69" w:rsidRPr="00206021" w:rsidRDefault="008E6D6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8E6D69" w:rsidRPr="00206021" w:rsidTr="008C65E2">
        <w:trPr>
          <w:jc w:val="center"/>
        </w:trPr>
        <w:tc>
          <w:tcPr>
            <w:tcW w:w="3539" w:type="dxa"/>
          </w:tcPr>
          <w:p w:rsidR="008E6D69" w:rsidRPr="00F75940" w:rsidRDefault="00514BA9" w:rsidP="00F75940">
            <w:pPr>
              <w:tabs>
                <w:tab w:val="left" w:pos="773"/>
              </w:tabs>
              <w:spacing w:before="340"/>
              <w:jc w:val="center"/>
              <w:rPr>
                <w:rFonts w:ascii="Times New Roman" w:eastAsia="DengXian" w:hAnsi="Times New Roman" w:cs="Times New Roman"/>
                <w:iCs/>
                <w:color w:val="000000" w:themeColor="text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="DengXian" w:hAnsi="Cambria Math" w:cs="Times New Roman"/>
                    <w:color w:val="000000" w:themeColor="text1"/>
                    <w:szCs w:val="21"/>
                    <w:lang w:val="en-GB"/>
                  </w:rPr>
                  <m:t>S</m:t>
                </m:r>
                <m:sSub>
                  <m:sSub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4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DengXian" w:hAnsi="Cambria Math" w:cs="Times New Roman"/>
                    <w:color w:val="000000" w:themeColor="text1"/>
                    <w:szCs w:val="21"/>
                    <w:lang w:val="en-GB"/>
                  </w:rPr>
                  <m:t>=2</m:t>
                </m:r>
                <m:sSup>
                  <m:sSup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DengXian" w:hAnsi="Cambria Math" w:cs="Times New Roman"/>
                    <w:color w:val="000000" w:themeColor="text1"/>
                    <w:szCs w:val="21"/>
                    <w:lang w:val="en-GB"/>
                  </w:rPr>
                  <m:t>+</m:t>
                </m:r>
                <m:sSubSup>
                  <m:sSubSup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Cs w:val="21"/>
                        <w:lang w:val="en-GB"/>
                      </w:rPr>
                      <m:t>2-</m:t>
                    </m:r>
                  </m:sup>
                </m:sSubSup>
              </m:oMath>
            </m:oMathPara>
          </w:p>
        </w:tc>
        <w:tc>
          <w:tcPr>
            <w:tcW w:w="1991" w:type="dxa"/>
          </w:tcPr>
          <w:p w:rsidR="008E6D69" w:rsidRPr="00206021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7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  <w:tc>
          <w:tcPr>
            <w:tcW w:w="2766" w:type="dxa"/>
          </w:tcPr>
          <w:p w:rsidR="008E6D69" w:rsidRPr="00206021" w:rsidRDefault="001F5A93" w:rsidP="00F75940">
            <w:pPr>
              <w:ind w:firstLineChars="200"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7.96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×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7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-2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</w:tc>
      </w:tr>
      <w:tr w:rsidR="008E6D69" w:rsidRPr="00206021" w:rsidTr="008C65E2">
        <w:trPr>
          <w:jc w:val="center"/>
        </w:trPr>
        <w:tc>
          <w:tcPr>
            <w:tcW w:w="3539" w:type="dxa"/>
          </w:tcPr>
          <w:p w:rsidR="008E6D69" w:rsidRPr="008E6D69" w:rsidRDefault="00514BA9" w:rsidP="00F75940">
            <w:pPr>
              <w:jc w:val="center"/>
              <w:rPr>
                <w:rFonts w:ascii="Times New Roman" w:eastAsia="DengXian" w:hAnsi="Times New Roman" w:cs="Times New Roman"/>
                <w:iCs/>
                <w:color w:val="000000" w:themeColor="text1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 w:val="24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="DengXian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  <m:r>
                  <m:rPr>
                    <m:sty m:val="p"/>
                  </m:rPr>
                  <w:rPr>
                    <w:rFonts w:ascii="Cambria Math" w:eastAsia="DengXian" w:hAnsi="Cambria Math" w:cs="Times New Roman"/>
                    <w:color w:val="000000" w:themeColor="text1"/>
                    <w:sz w:val="24"/>
                    <w:lang w:val="en-GB"/>
                  </w:rPr>
                  <m:t>=</m:t>
                </m:r>
                <m:sSup>
                  <m:sSup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 w:val="24"/>
                        <w:lang w:val="en-GB"/>
                      </w:rPr>
                      <m:t>+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DengXian" w:hAnsi="Cambria Math" w:cs="Times New Roman"/>
                    <w:color w:val="000000" w:themeColor="text1"/>
                    <w:sz w:val="24"/>
                    <w:lang w:val="en-GB"/>
                  </w:rPr>
                  <m:t>+ </m:t>
                </m:r>
                <m:r>
                  <w:rPr>
                    <w:rFonts w:ascii="Cambria Math" w:eastAsia="DengXian" w:hAnsi="Cambria Math" w:cs="Times New Roman"/>
                    <w:color w:val="000000" w:themeColor="text1"/>
                    <w:sz w:val="24"/>
                    <w:lang w:val="en-GB"/>
                  </w:rPr>
                  <m:t>O</m:t>
                </m:r>
                <m:sSup>
                  <m:sSupPr>
                    <m:ctrlPr>
                      <w:rPr>
                        <w:rFonts w:ascii="Cambria Math" w:eastAsia="DengXian" w:hAnsi="Cambria Math" w:cs="Times New Roman"/>
                        <w:i/>
                        <w:iCs/>
                        <w:color w:val="000000" w:themeColor="text1"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DengXian" w:hAnsi="Cambria Math" w:cs="Times New Roman"/>
                        <w:color w:val="000000" w:themeColor="text1"/>
                        <w:sz w:val="24"/>
                        <w:lang w:val="en-GB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DengXian" w:hAnsi="Cambria Math" w:cs="Times New Roman"/>
                        <w:color w:val="000000" w:themeColor="text1"/>
                        <w:sz w:val="24"/>
                        <w:lang w:val="en-GB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1991" w:type="dxa"/>
          </w:tcPr>
          <w:p w:rsidR="001F5A93" w:rsidRPr="001F5A93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8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  <w:p w:rsidR="008E6D69" w:rsidRPr="00206021" w:rsidRDefault="008E6D6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766" w:type="dxa"/>
          </w:tcPr>
          <w:p w:rsidR="001F5A93" w:rsidRPr="001F5A93" w:rsidRDefault="001F5A93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19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[M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-1</w:t>
            </w:r>
            <w:r w:rsidRPr="001F5A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]</w:t>
            </w:r>
          </w:p>
          <w:p w:rsidR="008E6D69" w:rsidRPr="00206021" w:rsidRDefault="008E6D69" w:rsidP="00F759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497C20" w:rsidRDefault="00497C2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E07A89" w:rsidRDefault="00E07A89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2F22F2" w:rsidRDefault="002F22F2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2F22F2" w:rsidRDefault="002F22F2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2F22F2" w:rsidRDefault="002F22F2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2F22F2" w:rsidRDefault="002F22F2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2F22F2" w:rsidRDefault="002F22F2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2F22F2" w:rsidRDefault="002F22F2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1C3C13" w:rsidRDefault="001C3C13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E07A89" w:rsidRPr="00023501" w:rsidRDefault="00E07A89" w:rsidP="001C3C13">
      <w:pPr>
        <w:pStyle w:val="Titre2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1" w:name="_Toc143525214"/>
      <w:bookmarkStart w:id="52" w:name="_Toc155953412"/>
      <w:r w:rsidRPr="001C3C13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023501">
        <w:rPr>
          <w:rFonts w:ascii="Times New Roman" w:hAnsi="Times New Roman" w:cs="Times New Roman"/>
          <w:sz w:val="24"/>
          <w:szCs w:val="24"/>
        </w:rPr>
        <w:t>S</w:t>
      </w:r>
      <w:r w:rsidRPr="001C3C13">
        <w:rPr>
          <w:rFonts w:ascii="Times New Roman" w:hAnsi="Times New Roman" w:cs="Times New Roman"/>
          <w:sz w:val="24"/>
          <w:szCs w:val="24"/>
        </w:rPr>
        <w:t xml:space="preserve">3. </w:t>
      </w:r>
      <w:r w:rsidR="0098682E"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>The species diffusion coefficients used in simulation</w:t>
      </w:r>
      <w:bookmarkEnd w:id="51"/>
      <w:r w:rsidR="005B2104" w:rsidRPr="0002350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vertAlign w:val="superscript"/>
        </w:rPr>
        <w:t>8-11</w:t>
      </w:r>
      <w:r w:rsidR="0002350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.</w:t>
      </w:r>
      <w:bookmarkEnd w:id="52"/>
    </w:p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4445"/>
      </w:tblGrid>
      <w:tr w:rsidR="002F22F2" w:rsidRPr="00727B07" w:rsidTr="00B337FD">
        <w:trPr>
          <w:jc w:val="center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F22F2" w:rsidRPr="00727B07" w:rsidRDefault="002F22F2" w:rsidP="00C41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</w:pPr>
            <w:r w:rsidRPr="00727B07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Species</w:t>
            </w: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F22F2" w:rsidRPr="00727B07" w:rsidRDefault="00514BA9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lang w:val="en-GB" w:eastAsia="en-US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 xml:space="preserve">Diffusion coefficients 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>D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>i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lang w:val="en-GB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b/>
                      <w:sz w:val="24"/>
                      <w:lang w:val="en-GB" w:eastAsia="en-US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4"/>
                          <w:lang w:val="en-GB" w:eastAsia="en-US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lang w:val="en-GB"/>
                        </w:rPr>
                        <m:t>10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lang w:val="en-GB"/>
                        </w:rPr>
                        <m:t>-9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 xml:space="preserve"> 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b/>
                      <w:sz w:val="24"/>
                      <w:lang w:val="en-GB" w:eastAsia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>s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lang w:val="en-GB"/>
                    </w:rPr>
                    <m:t>-1</m:t>
                  </m:r>
                </m:sup>
              </m:sSup>
            </m:oMath>
            <w:r w:rsidR="002F22F2" w:rsidRPr="00727B07">
              <w:rPr>
                <w:rFonts w:ascii="Times New Roman" w:hAnsi="Times New Roman" w:cs="Times New Roman"/>
                <w:b/>
                <w:sz w:val="24"/>
                <w:lang w:val="en-GB"/>
              </w:rPr>
              <w:t>)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tcBorders>
              <w:top w:val="single" w:sz="4" w:space="0" w:color="auto"/>
              <w:bottom w:val="nil"/>
            </w:tcBorders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CO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2</w:t>
            </w:r>
          </w:p>
        </w:tc>
        <w:tc>
          <w:tcPr>
            <w:tcW w:w="3870" w:type="dxa"/>
            <w:tcBorders>
              <w:top w:val="single" w:sz="4" w:space="0" w:color="auto"/>
              <w:bottom w:val="nil"/>
            </w:tcBorders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1.91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tcBorders>
              <w:top w:val="nil"/>
            </w:tcBorders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2</w:t>
            </w: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O</w:t>
            </w:r>
          </w:p>
        </w:tc>
        <w:tc>
          <w:tcPr>
            <w:tcW w:w="3870" w:type="dxa"/>
            <w:tcBorders>
              <w:top w:val="nil"/>
            </w:tcBorders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2.57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K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2</w:t>
            </w: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SO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4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1.39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KHCO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3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1.20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K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+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1.98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+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9.31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OH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-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5.26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HCO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3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-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1.185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CO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3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2-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0.923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  <w:hideMark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SO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4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2-</w:t>
            </w:r>
          </w:p>
        </w:tc>
        <w:tc>
          <w:tcPr>
            <w:tcW w:w="3870" w:type="dxa"/>
            <w:hideMark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1.07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Cs</w:t>
            </w:r>
            <w:r w:rsidRPr="003F518E">
              <w:rPr>
                <w:rFonts w:ascii="Times New Roman" w:hAnsi="Times New Roman" w:cs="Times New Roman"/>
                <w:sz w:val="24"/>
                <w:vertAlign w:val="superscript"/>
                <w:lang w:val="en-GB"/>
              </w:rPr>
              <w:t>+</w:t>
            </w:r>
          </w:p>
        </w:tc>
        <w:tc>
          <w:tcPr>
            <w:tcW w:w="3870" w:type="dxa"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2.06</w:t>
            </w:r>
          </w:p>
        </w:tc>
      </w:tr>
      <w:tr w:rsidR="002F22F2" w:rsidRPr="003F518E" w:rsidTr="00B337FD">
        <w:trPr>
          <w:jc w:val="center"/>
        </w:trPr>
        <w:tc>
          <w:tcPr>
            <w:tcW w:w="1170" w:type="dxa"/>
          </w:tcPr>
          <w:p w:rsidR="002F22F2" w:rsidRPr="003F518E" w:rsidRDefault="002F22F2" w:rsidP="00C41AAF">
            <w:pPr>
              <w:ind w:left="140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CsHCO</w:t>
            </w:r>
            <w:r w:rsidRPr="003F518E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3</w:t>
            </w:r>
          </w:p>
        </w:tc>
        <w:tc>
          <w:tcPr>
            <w:tcW w:w="3870" w:type="dxa"/>
          </w:tcPr>
          <w:p w:rsidR="002F22F2" w:rsidRPr="003F518E" w:rsidRDefault="002F22F2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3F518E">
              <w:rPr>
                <w:rFonts w:ascii="Times New Roman" w:hAnsi="Times New Roman" w:cs="Times New Roman"/>
                <w:sz w:val="24"/>
                <w:lang w:val="en-GB"/>
              </w:rPr>
              <w:t>1.503</w:t>
            </w:r>
          </w:p>
        </w:tc>
      </w:tr>
    </w:tbl>
    <w:p w:rsidR="00E07A89" w:rsidRDefault="00E07A89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b/>
          <w:bCs/>
          <w:sz w:val="24"/>
        </w:rPr>
      </w:pPr>
    </w:p>
    <w:p w:rsidR="003F518E" w:rsidRPr="001C3C13" w:rsidRDefault="00E07A89" w:rsidP="001C3C13">
      <w:pPr>
        <w:pStyle w:val="Titre2"/>
        <w:rPr>
          <w:rFonts w:ascii="Times New Roman" w:hAnsi="Times New Roman" w:cs="Times New Roman"/>
          <w:sz w:val="24"/>
          <w:szCs w:val="24"/>
        </w:rPr>
      </w:pPr>
      <w:bookmarkStart w:id="53" w:name="_Toc143525215"/>
      <w:bookmarkStart w:id="54" w:name="_Toc155953413"/>
      <w:r w:rsidRPr="001C3C13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A8332D">
        <w:rPr>
          <w:rFonts w:ascii="Times New Roman" w:hAnsi="Times New Roman" w:cs="Times New Roman"/>
          <w:sz w:val="24"/>
          <w:szCs w:val="24"/>
        </w:rPr>
        <w:t>S</w:t>
      </w:r>
      <w:r w:rsidRPr="001C3C13">
        <w:rPr>
          <w:rFonts w:ascii="Times New Roman" w:hAnsi="Times New Roman" w:cs="Times New Roman"/>
          <w:sz w:val="24"/>
          <w:szCs w:val="24"/>
        </w:rPr>
        <w:t xml:space="preserve">4. </w:t>
      </w:r>
      <w:r w:rsidR="0098682E"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>The sechenov coefficients used in simulation</w:t>
      </w:r>
      <w:r w:rsidR="0098682E" w:rsidRPr="001C3C13">
        <w:rPr>
          <w:rFonts w:ascii="Times New Roman" w:hAnsi="Times New Roman" w:cs="Times New Roman"/>
          <w:b w:val="0"/>
          <w:bCs w:val="0"/>
          <w:color w:val="FF0000"/>
          <w:sz w:val="24"/>
          <w:szCs w:val="24"/>
        </w:rPr>
        <w:t xml:space="preserve"> </w:t>
      </w:r>
      <w:r w:rsidR="005B2104" w:rsidRPr="00A8332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vertAlign w:val="superscript"/>
        </w:rPr>
        <w:t>12</w:t>
      </w:r>
      <w:r w:rsidR="0098682E"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53"/>
      <w:bookmarkEnd w:id="54"/>
      <w:r w:rsidR="0098682E" w:rsidRPr="001C3C1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2610"/>
      </w:tblGrid>
      <w:tr w:rsidR="003F518E" w:rsidRPr="00DF647C" w:rsidTr="00B337FD">
        <w:trPr>
          <w:jc w:val="center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Species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Sechenov coefficients</w:t>
            </w:r>
          </w:p>
        </w:tc>
      </w:tr>
      <w:tr w:rsidR="003F518E" w:rsidRPr="00DF647C" w:rsidTr="00B337FD">
        <w:trPr>
          <w:jc w:val="center"/>
        </w:trPr>
        <w:tc>
          <w:tcPr>
            <w:tcW w:w="1530" w:type="dxa"/>
            <w:tcBorders>
              <w:top w:val="single" w:sz="4" w:space="0" w:color="auto"/>
              <w:bottom w:val="nil"/>
            </w:tcBorders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G,0,CO2</w:t>
            </w:r>
          </w:p>
        </w:tc>
        <w:tc>
          <w:tcPr>
            <w:tcW w:w="2610" w:type="dxa"/>
            <w:tcBorders>
              <w:top w:val="single" w:sz="4" w:space="0" w:color="auto"/>
              <w:bottom w:val="nil"/>
            </w:tcBorders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-0.0172</w:t>
            </w:r>
          </w:p>
        </w:tc>
      </w:tr>
      <w:tr w:rsidR="003F518E" w:rsidRPr="00DF647C" w:rsidTr="00B337FD">
        <w:trPr>
          <w:jc w:val="center"/>
        </w:trPr>
        <w:tc>
          <w:tcPr>
            <w:tcW w:w="1530" w:type="dxa"/>
            <w:tcBorders>
              <w:top w:val="nil"/>
            </w:tcBorders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T,CO2</w:t>
            </w:r>
          </w:p>
        </w:tc>
        <w:tc>
          <w:tcPr>
            <w:tcW w:w="2610" w:type="dxa"/>
            <w:tcBorders>
              <w:top w:val="nil"/>
            </w:tcBorders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-0.000338</w:t>
            </w:r>
          </w:p>
        </w:tc>
      </w:tr>
      <w:tr w:rsidR="003F518E" w:rsidRPr="00DF647C" w:rsidTr="00B337FD">
        <w:trPr>
          <w:jc w:val="center"/>
        </w:trPr>
        <w:tc>
          <w:tcPr>
            <w:tcW w:w="153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K</w:t>
            </w:r>
          </w:p>
        </w:tc>
        <w:tc>
          <w:tcPr>
            <w:tcW w:w="261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0.0922</w:t>
            </w:r>
          </w:p>
        </w:tc>
      </w:tr>
      <w:tr w:rsidR="003F518E" w:rsidRPr="00DF647C" w:rsidTr="00B337FD">
        <w:trPr>
          <w:jc w:val="center"/>
        </w:trPr>
        <w:tc>
          <w:tcPr>
            <w:tcW w:w="153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OH</w:t>
            </w:r>
          </w:p>
        </w:tc>
        <w:tc>
          <w:tcPr>
            <w:tcW w:w="261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0.0839</w:t>
            </w:r>
          </w:p>
        </w:tc>
      </w:tr>
      <w:tr w:rsidR="003F518E" w:rsidRPr="00DF647C" w:rsidTr="00B337FD">
        <w:trPr>
          <w:jc w:val="center"/>
        </w:trPr>
        <w:tc>
          <w:tcPr>
            <w:tcW w:w="153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HCO3</w:t>
            </w:r>
          </w:p>
        </w:tc>
        <w:tc>
          <w:tcPr>
            <w:tcW w:w="261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0.0967</w:t>
            </w:r>
          </w:p>
        </w:tc>
      </w:tr>
      <w:tr w:rsidR="003F518E" w:rsidRPr="00DF647C" w:rsidTr="00B337FD">
        <w:trPr>
          <w:jc w:val="center"/>
        </w:trPr>
        <w:tc>
          <w:tcPr>
            <w:tcW w:w="153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CO3</w:t>
            </w:r>
          </w:p>
        </w:tc>
        <w:tc>
          <w:tcPr>
            <w:tcW w:w="2610" w:type="dxa"/>
            <w:hideMark/>
          </w:tcPr>
          <w:p w:rsidR="003F518E" w:rsidRPr="00DF647C" w:rsidRDefault="003F518E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0.1423</w:t>
            </w:r>
          </w:p>
        </w:tc>
      </w:tr>
      <w:tr w:rsidR="00DF647C" w:rsidRPr="00DF647C" w:rsidTr="00B337FD">
        <w:trPr>
          <w:jc w:val="center"/>
        </w:trPr>
        <w:tc>
          <w:tcPr>
            <w:tcW w:w="1530" w:type="dxa"/>
          </w:tcPr>
          <w:p w:rsidR="00DF647C" w:rsidRPr="00DF647C" w:rsidRDefault="00DF647C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h</w:t>
            </w:r>
            <w:r w:rsidRPr="00DF647C">
              <w:rPr>
                <w:rFonts w:ascii="Times New Roman" w:hAnsi="Times New Roman" w:cs="Times New Roman"/>
                <w:sz w:val="24"/>
                <w:vertAlign w:val="subscript"/>
                <w:lang w:val="en-GB"/>
              </w:rPr>
              <w:t>Cs</w:t>
            </w:r>
          </w:p>
        </w:tc>
        <w:tc>
          <w:tcPr>
            <w:tcW w:w="2610" w:type="dxa"/>
          </w:tcPr>
          <w:p w:rsidR="00DF647C" w:rsidRPr="00DF647C" w:rsidRDefault="00DF647C" w:rsidP="00C41AAF">
            <w:pPr>
              <w:jc w:val="center"/>
              <w:rPr>
                <w:rFonts w:ascii="Times New Roman" w:hAnsi="Times New Roman" w:cs="Times New Roman"/>
                <w:sz w:val="24"/>
                <w:lang w:val="en-GB"/>
              </w:rPr>
            </w:pPr>
            <w:r w:rsidRPr="00DF647C">
              <w:rPr>
                <w:rFonts w:ascii="Times New Roman" w:hAnsi="Times New Roman" w:cs="Times New Roman" w:hint="eastAsia"/>
                <w:sz w:val="24"/>
                <w:lang w:val="en-GB"/>
              </w:rPr>
              <w:t>0</w:t>
            </w:r>
            <w:r w:rsidRPr="00DF647C">
              <w:rPr>
                <w:rFonts w:ascii="Times New Roman" w:hAnsi="Times New Roman" w:cs="Times New Roman"/>
                <w:sz w:val="24"/>
                <w:lang w:val="en-GB"/>
              </w:rPr>
              <w:t>.0759</w:t>
            </w:r>
          </w:p>
        </w:tc>
      </w:tr>
    </w:tbl>
    <w:p w:rsidR="003F518E" w:rsidRDefault="003F518E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DC3190" w:rsidRPr="00DF647C" w:rsidRDefault="00DC3190" w:rsidP="0016799E">
      <w:pPr>
        <w:spacing w:before="0" w:after="0"/>
        <w:rPr>
          <w:rFonts w:ascii="Times New Roman" w:hAnsi="Times New Roman" w:cs="Times New Roman"/>
          <w:color w:val="FF0000"/>
          <w:sz w:val="24"/>
        </w:rPr>
      </w:pPr>
    </w:p>
    <w:p w:rsidR="00C6489D" w:rsidRPr="006A7E8D" w:rsidRDefault="00C6489D" w:rsidP="006A7E8D">
      <w:pPr>
        <w:pStyle w:val="Titre2"/>
        <w:rPr>
          <w:rFonts w:ascii="Times New Roman" w:hAnsi="Times New Roman" w:cs="Times New Roman"/>
          <w:sz w:val="24"/>
          <w:szCs w:val="24"/>
        </w:rPr>
      </w:pPr>
      <w:bookmarkStart w:id="55" w:name="_Toc143524739"/>
      <w:bookmarkStart w:id="56" w:name="_Toc143525216"/>
      <w:bookmarkStart w:id="57" w:name="_Toc155953414"/>
      <w:r w:rsidRPr="006A7E8D">
        <w:rPr>
          <w:rFonts w:ascii="Times New Roman" w:hAnsi="Times New Roman" w:cs="Times New Roman"/>
          <w:sz w:val="24"/>
          <w:szCs w:val="24"/>
        </w:rPr>
        <w:t>References:</w:t>
      </w:r>
      <w:bookmarkEnd w:id="55"/>
      <w:bookmarkEnd w:id="56"/>
      <w:bookmarkEnd w:id="57"/>
    </w:p>
    <w:p w:rsidR="00C6489D" w:rsidRPr="006A7E8D" w:rsidRDefault="00C6489D" w:rsidP="00C823F0">
      <w:pPr>
        <w:pStyle w:val="Paragraphedeliste"/>
        <w:numPr>
          <w:ilvl w:val="0"/>
          <w:numId w:val="1"/>
        </w:numPr>
        <w:spacing w:before="0" w:after="0" w:line="240" w:lineRule="auto"/>
        <w:ind w:left="0" w:firstLineChars="0" w:hanging="357"/>
        <w:rPr>
          <w:rFonts w:ascii="Times New Roman" w:hAnsi="Times New Roman" w:cs="Times New Roman"/>
          <w:color w:val="000000" w:themeColor="text1"/>
          <w:szCs w:val="21"/>
        </w:rPr>
      </w:pPr>
      <w:r w:rsidRPr="00B9406C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lang w:val="fr-FR"/>
        </w:rPr>
        <w:t xml:space="preserve">Yang K, Li M, Subramanian S, et al. 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Cation-driven increases of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utilization in a bipolar membrane electrode assembly for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electrolysis[J]. ACS Energy Letters, 2021, 6(12): 4291-4298.</w:t>
      </w:r>
    </w:p>
    <w:p w:rsidR="00C6489D" w:rsidRPr="006A7E8D" w:rsidRDefault="00C6489D" w:rsidP="00C823F0">
      <w:pPr>
        <w:pStyle w:val="Paragraphedeliste"/>
        <w:numPr>
          <w:ilvl w:val="0"/>
          <w:numId w:val="1"/>
        </w:numPr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</w:rPr>
      </w:pP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Xie K, Miao R K, Ozden A, et al. Bipolar membrane electrolyzers enable high single-pass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electroreduction to multicarbon products[J]. Nature communications, 2022, 13(1): 3609.</w:t>
      </w:r>
    </w:p>
    <w:p w:rsidR="00C6489D" w:rsidRPr="006A7E8D" w:rsidRDefault="00C6489D" w:rsidP="00C823F0">
      <w:pPr>
        <w:pStyle w:val="Paragraphedeliste"/>
        <w:numPr>
          <w:ilvl w:val="0"/>
          <w:numId w:val="1"/>
        </w:numPr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</w:rPr>
      </w:pPr>
      <w:r w:rsidRPr="00B9406C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lang w:val="fr-FR"/>
        </w:rPr>
        <w:t xml:space="preserve">Li H, Li H, Wei P, et al. 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Tailoring acidic microenvironments for carbon-efficient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electrolysis over a Ni–N–C catalyst in a membrane electrode assembly electrolyzer[J]. Energy &amp; Environmental Science, 2023, 16(4): 1502-1510.</w:t>
      </w:r>
    </w:p>
    <w:p w:rsidR="00175ED3" w:rsidRPr="00175ED3" w:rsidRDefault="00C6489D" w:rsidP="00C823F0">
      <w:pPr>
        <w:pStyle w:val="Paragraphedeliste"/>
        <w:numPr>
          <w:ilvl w:val="0"/>
          <w:numId w:val="1"/>
        </w:numPr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</w:rPr>
      </w:pPr>
      <w:r w:rsidRPr="00B9406C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lang w:val="fr-FR"/>
        </w:rPr>
        <w:t xml:space="preserve">Pan B, Fan J, Zhang J, et al. 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Close to 90% single-pass conversion efficiency for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electroreduction in an acid-fed membrane electrode assembly[J]. ACS Energy Letters, 2022, 7(12): 4224-4231.</w:t>
      </w:r>
    </w:p>
    <w:p w:rsidR="00C6489D" w:rsidRPr="006A7E8D" w:rsidRDefault="00C6489D" w:rsidP="00C823F0">
      <w:pPr>
        <w:pStyle w:val="Paragraphedeliste"/>
        <w:numPr>
          <w:ilvl w:val="0"/>
          <w:numId w:val="1"/>
        </w:numPr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</w:rPr>
      </w:pPr>
      <w:r w:rsidRPr="00B9406C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lang w:val="fr-FR"/>
        </w:rPr>
        <w:t xml:space="preserve">Li X, Zhang P, Zhang L, et al. 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Confinement of an alkaline environment for electrocatalytic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reduction in acidic electrolytes[J]. Chemical Science, 2023, 14(21): 5602-5607.</w:t>
      </w:r>
    </w:p>
    <w:p w:rsidR="00C6489D" w:rsidRPr="00175ED3" w:rsidRDefault="00C6489D" w:rsidP="00C823F0">
      <w:pPr>
        <w:pStyle w:val="Paragraphedeliste"/>
        <w:numPr>
          <w:ilvl w:val="0"/>
          <w:numId w:val="1"/>
        </w:numPr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</w:rPr>
      </w:pP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O’Brien C P, Miao R K, Liu S, et al. Single pass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conversion exceeding 85% in the electrosynthesis of multicarbon products via local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6A7E8D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regeneration[J]. ACS Energy Letters, 2021, 6(8): 2952-2959.</w:t>
      </w:r>
    </w:p>
    <w:p w:rsidR="00175ED3" w:rsidRPr="00175ED3" w:rsidRDefault="00175ED3" w:rsidP="00C823F0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Chen, Y., Lewis, N.S., and Xiang, C. (2020).  Modeling the Performance of A Flow-Through Gas Diffusion Electrode for Electrochemical Reduction of CO or CO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2</w:t>
      </w: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. J. Electrochem. Soc. 167, 114503.</w:t>
      </w:r>
    </w:p>
    <w:p w:rsidR="00175ED3" w:rsidRPr="00175ED3" w:rsidRDefault="00175ED3" w:rsidP="00C823F0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Petr Vany ́sek (1996). ionic conductiVity and diffusion at infinite dilution. CRC Handb. Chem. Phys 96, 5–98.</w:t>
      </w:r>
    </w:p>
    <w:p w:rsidR="00175ED3" w:rsidRPr="00175ED3" w:rsidRDefault="00175ED3" w:rsidP="00C823F0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Aqion Table of Diffusion Coefficients. https://www.aqion.de/site/diffusion-coefficients.</w:t>
      </w:r>
    </w:p>
    <w:p w:rsidR="00175ED3" w:rsidRPr="00175ED3" w:rsidRDefault="00175ED3" w:rsidP="00C823F0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Applin, K.R., and Lasaga, A.C. (1984). The determination of SO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4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perscript"/>
        </w:rPr>
        <w:t>2-</w:t>
      </w: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, NaSO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4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perscript"/>
        </w:rPr>
        <w:t>-</w:t>
      </w: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, and MgSO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bscript"/>
        </w:rPr>
        <w:t>4</w:t>
      </w:r>
      <w:r w:rsidRPr="00C823F0">
        <w:rPr>
          <w:rFonts w:ascii="Times New Roman" w:hAnsi="Times New Roman" w:cs="Times New Roman"/>
          <w:color w:val="000000" w:themeColor="text1"/>
          <w:szCs w:val="21"/>
          <w:shd w:val="clear" w:color="auto" w:fill="FFFFFF"/>
          <w:vertAlign w:val="superscript"/>
        </w:rPr>
        <w:t>0</w:t>
      </w: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tracer diffusion coefficients and their application to diagenetic flux calculations. Geochim. Cosmochim. Acta 48, 2151–2162.</w:t>
      </w:r>
    </w:p>
    <w:p w:rsidR="00175ED3" w:rsidRPr="00175ED3" w:rsidRDefault="00175ED3" w:rsidP="00C823F0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Sugisaki, M. (1975). Soret Coefficients and Heat of Transport of Polyvalent Electrolytes in an Aqueous Solution. Bull. Chem. Soc. Jpn., 2751.</w:t>
      </w:r>
    </w:p>
    <w:p w:rsidR="00175ED3" w:rsidRPr="00175ED3" w:rsidRDefault="00175ED3" w:rsidP="00C823F0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after="0" w:line="240" w:lineRule="auto"/>
        <w:ind w:left="0" w:firstLineChars="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175ED3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Weisenberger, S., and Schumpe, A. (1996). Estimation of Gas Solubilities in Salt Solutions at Temperatures from 273 K to 363 K. AIChE J. 42, 298–300.</w:t>
      </w:r>
    </w:p>
    <w:p w:rsidR="00175ED3" w:rsidRPr="006A7E8D" w:rsidRDefault="00175ED3" w:rsidP="00C823F0">
      <w:pPr>
        <w:pStyle w:val="Paragraphedeliste"/>
        <w:spacing w:before="0" w:after="0" w:line="240" w:lineRule="auto"/>
        <w:ind w:firstLineChars="0" w:firstLine="0"/>
        <w:rPr>
          <w:rFonts w:ascii="Times New Roman" w:hAnsi="Times New Roman" w:cs="Times New Roman"/>
          <w:color w:val="000000" w:themeColor="text1"/>
          <w:szCs w:val="21"/>
        </w:rPr>
      </w:pPr>
    </w:p>
    <w:sectPr w:rsidR="00175ED3" w:rsidRPr="006A7E8D">
      <w:footerReference w:type="even" r:id="rId25"/>
      <w:foot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BA9" w:rsidRDefault="00514BA9" w:rsidP="004B5727">
      <w:pPr>
        <w:spacing w:before="0" w:after="0" w:line="240" w:lineRule="auto"/>
      </w:pPr>
      <w:r>
        <w:separator/>
      </w:r>
    </w:p>
  </w:endnote>
  <w:endnote w:type="continuationSeparator" w:id="0">
    <w:p w:rsidR="00514BA9" w:rsidRDefault="00514BA9" w:rsidP="004B572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0000000000000000000"/>
    <w:charset w:val="86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47287523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4B5727" w:rsidRDefault="004B5727" w:rsidP="00903AC8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4B5727" w:rsidRDefault="004B5727" w:rsidP="00881E7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71778522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881E71" w:rsidRDefault="00881E71" w:rsidP="00903AC8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38137C">
          <w:rPr>
            <w:rStyle w:val="Numrodepage"/>
            <w:noProof/>
          </w:rPr>
          <w:t>4</w:t>
        </w:r>
        <w:r>
          <w:rPr>
            <w:rStyle w:val="Numrodepage"/>
          </w:rPr>
          <w:fldChar w:fldCharType="end"/>
        </w:r>
      </w:p>
    </w:sdtContent>
  </w:sdt>
  <w:p w:rsidR="003F518E" w:rsidRDefault="003F518E" w:rsidP="00881E71">
    <w:pPr>
      <w:pStyle w:val="Pieddepage"/>
      <w:framePr w:wrap="none" w:vAnchor="text" w:hAnchor="margin" w:xAlign="center" w:y="1"/>
      <w:ind w:right="360"/>
      <w:rPr>
        <w:rStyle w:val="Numrodepage"/>
      </w:rPr>
    </w:pPr>
  </w:p>
  <w:p w:rsidR="004B5727" w:rsidRDefault="004B57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BA9" w:rsidRDefault="00514BA9" w:rsidP="004B5727">
      <w:pPr>
        <w:spacing w:before="0" w:after="0" w:line="240" w:lineRule="auto"/>
      </w:pPr>
      <w:r>
        <w:separator/>
      </w:r>
    </w:p>
  </w:footnote>
  <w:footnote w:type="continuationSeparator" w:id="0">
    <w:p w:rsidR="00514BA9" w:rsidRDefault="00514BA9" w:rsidP="004B572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F7B8F"/>
    <w:multiLevelType w:val="hybridMultilevel"/>
    <w:tmpl w:val="C6B833C2"/>
    <w:lvl w:ilvl="0" w:tplc="FA729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A7C"/>
    <w:rsid w:val="000004C1"/>
    <w:rsid w:val="000123DB"/>
    <w:rsid w:val="00023501"/>
    <w:rsid w:val="00025C1A"/>
    <w:rsid w:val="00060A29"/>
    <w:rsid w:val="000727E6"/>
    <w:rsid w:val="0007711C"/>
    <w:rsid w:val="00086682"/>
    <w:rsid w:val="000A1B14"/>
    <w:rsid w:val="000B110C"/>
    <w:rsid w:val="000B6DBA"/>
    <w:rsid w:val="000F1721"/>
    <w:rsid w:val="00102D9D"/>
    <w:rsid w:val="00104B3D"/>
    <w:rsid w:val="00105CB7"/>
    <w:rsid w:val="00122AB4"/>
    <w:rsid w:val="00142C69"/>
    <w:rsid w:val="00151777"/>
    <w:rsid w:val="00157BF6"/>
    <w:rsid w:val="00161287"/>
    <w:rsid w:val="00162B31"/>
    <w:rsid w:val="0016799E"/>
    <w:rsid w:val="00175ED3"/>
    <w:rsid w:val="001A1900"/>
    <w:rsid w:val="001B04A4"/>
    <w:rsid w:val="001C3C13"/>
    <w:rsid w:val="001D0248"/>
    <w:rsid w:val="001F5A93"/>
    <w:rsid w:val="002056D1"/>
    <w:rsid w:val="00206021"/>
    <w:rsid w:val="002123FE"/>
    <w:rsid w:val="0022560D"/>
    <w:rsid w:val="002339F7"/>
    <w:rsid w:val="00240655"/>
    <w:rsid w:val="00244E83"/>
    <w:rsid w:val="00254B47"/>
    <w:rsid w:val="002657D9"/>
    <w:rsid w:val="0027102A"/>
    <w:rsid w:val="002908EB"/>
    <w:rsid w:val="00294756"/>
    <w:rsid w:val="002B472B"/>
    <w:rsid w:val="002E204F"/>
    <w:rsid w:val="002F22F2"/>
    <w:rsid w:val="00344CFB"/>
    <w:rsid w:val="0036479C"/>
    <w:rsid w:val="00375370"/>
    <w:rsid w:val="0038137C"/>
    <w:rsid w:val="00386BB1"/>
    <w:rsid w:val="003A2E5B"/>
    <w:rsid w:val="003B273D"/>
    <w:rsid w:val="003C3505"/>
    <w:rsid w:val="003E2079"/>
    <w:rsid w:val="003F518E"/>
    <w:rsid w:val="003F563D"/>
    <w:rsid w:val="00401517"/>
    <w:rsid w:val="00421A88"/>
    <w:rsid w:val="0042471B"/>
    <w:rsid w:val="004306ED"/>
    <w:rsid w:val="00451350"/>
    <w:rsid w:val="00466360"/>
    <w:rsid w:val="00467124"/>
    <w:rsid w:val="0047338B"/>
    <w:rsid w:val="00497C20"/>
    <w:rsid w:val="004B15EF"/>
    <w:rsid w:val="004B5727"/>
    <w:rsid w:val="004D468A"/>
    <w:rsid w:val="004E5F8A"/>
    <w:rsid w:val="00504534"/>
    <w:rsid w:val="005106FC"/>
    <w:rsid w:val="005137D8"/>
    <w:rsid w:val="00514BA9"/>
    <w:rsid w:val="00514D23"/>
    <w:rsid w:val="0054440E"/>
    <w:rsid w:val="00556731"/>
    <w:rsid w:val="00564D23"/>
    <w:rsid w:val="0056533B"/>
    <w:rsid w:val="00567E6F"/>
    <w:rsid w:val="00572E08"/>
    <w:rsid w:val="005A11B1"/>
    <w:rsid w:val="005B2104"/>
    <w:rsid w:val="005D2228"/>
    <w:rsid w:val="005E1DC9"/>
    <w:rsid w:val="005E3020"/>
    <w:rsid w:val="005E4FDA"/>
    <w:rsid w:val="00620234"/>
    <w:rsid w:val="00632223"/>
    <w:rsid w:val="006367E5"/>
    <w:rsid w:val="00640123"/>
    <w:rsid w:val="00645912"/>
    <w:rsid w:val="00681DEE"/>
    <w:rsid w:val="006A2A48"/>
    <w:rsid w:val="006A7E8D"/>
    <w:rsid w:val="006B0DBD"/>
    <w:rsid w:val="006B58F6"/>
    <w:rsid w:val="006D0E20"/>
    <w:rsid w:val="00703980"/>
    <w:rsid w:val="00727B07"/>
    <w:rsid w:val="00731E7E"/>
    <w:rsid w:val="00745478"/>
    <w:rsid w:val="00752058"/>
    <w:rsid w:val="00754146"/>
    <w:rsid w:val="00777067"/>
    <w:rsid w:val="00777E5E"/>
    <w:rsid w:val="00797CAF"/>
    <w:rsid w:val="007A1F98"/>
    <w:rsid w:val="007A751A"/>
    <w:rsid w:val="007D029E"/>
    <w:rsid w:val="007E14BF"/>
    <w:rsid w:val="007E183C"/>
    <w:rsid w:val="007E2C68"/>
    <w:rsid w:val="007E58BC"/>
    <w:rsid w:val="007F2E69"/>
    <w:rsid w:val="00801AC4"/>
    <w:rsid w:val="0080463E"/>
    <w:rsid w:val="00804A85"/>
    <w:rsid w:val="00815801"/>
    <w:rsid w:val="00850757"/>
    <w:rsid w:val="00852BA3"/>
    <w:rsid w:val="00854897"/>
    <w:rsid w:val="008641A2"/>
    <w:rsid w:val="00864865"/>
    <w:rsid w:val="00864D13"/>
    <w:rsid w:val="00871D9C"/>
    <w:rsid w:val="008803C5"/>
    <w:rsid w:val="00881E71"/>
    <w:rsid w:val="00887B2A"/>
    <w:rsid w:val="0089025D"/>
    <w:rsid w:val="00895264"/>
    <w:rsid w:val="008B428E"/>
    <w:rsid w:val="008C65E2"/>
    <w:rsid w:val="008E631F"/>
    <w:rsid w:val="008E6D69"/>
    <w:rsid w:val="00903AC8"/>
    <w:rsid w:val="00905FED"/>
    <w:rsid w:val="00906759"/>
    <w:rsid w:val="0091759A"/>
    <w:rsid w:val="0093538A"/>
    <w:rsid w:val="00946465"/>
    <w:rsid w:val="009470C4"/>
    <w:rsid w:val="00947574"/>
    <w:rsid w:val="009568C1"/>
    <w:rsid w:val="00960AC6"/>
    <w:rsid w:val="00962E7A"/>
    <w:rsid w:val="0096621C"/>
    <w:rsid w:val="00980F67"/>
    <w:rsid w:val="00985ABF"/>
    <w:rsid w:val="0098682E"/>
    <w:rsid w:val="009A602B"/>
    <w:rsid w:val="009B1E29"/>
    <w:rsid w:val="009D4F28"/>
    <w:rsid w:val="009E17B1"/>
    <w:rsid w:val="009E52FE"/>
    <w:rsid w:val="00A05D8A"/>
    <w:rsid w:val="00A1430A"/>
    <w:rsid w:val="00A40501"/>
    <w:rsid w:val="00A432FA"/>
    <w:rsid w:val="00A44264"/>
    <w:rsid w:val="00A4652C"/>
    <w:rsid w:val="00A607F2"/>
    <w:rsid w:val="00A76C13"/>
    <w:rsid w:val="00A8332D"/>
    <w:rsid w:val="00A92703"/>
    <w:rsid w:val="00AB4DCF"/>
    <w:rsid w:val="00AC2F2D"/>
    <w:rsid w:val="00AC6EBD"/>
    <w:rsid w:val="00AD4494"/>
    <w:rsid w:val="00AE7582"/>
    <w:rsid w:val="00AF64D1"/>
    <w:rsid w:val="00B12F25"/>
    <w:rsid w:val="00B205E1"/>
    <w:rsid w:val="00B206DF"/>
    <w:rsid w:val="00B337FD"/>
    <w:rsid w:val="00B4061C"/>
    <w:rsid w:val="00B5429B"/>
    <w:rsid w:val="00B72684"/>
    <w:rsid w:val="00B73A9F"/>
    <w:rsid w:val="00B74CA6"/>
    <w:rsid w:val="00B81AE6"/>
    <w:rsid w:val="00B93075"/>
    <w:rsid w:val="00B9406C"/>
    <w:rsid w:val="00BA2B3D"/>
    <w:rsid w:val="00BB08C0"/>
    <w:rsid w:val="00BC5E27"/>
    <w:rsid w:val="00BE730A"/>
    <w:rsid w:val="00BF08AB"/>
    <w:rsid w:val="00BF2D3A"/>
    <w:rsid w:val="00BF2DDD"/>
    <w:rsid w:val="00C01BD8"/>
    <w:rsid w:val="00C070E5"/>
    <w:rsid w:val="00C0763F"/>
    <w:rsid w:val="00C6489D"/>
    <w:rsid w:val="00C72E35"/>
    <w:rsid w:val="00C820B3"/>
    <w:rsid w:val="00C823F0"/>
    <w:rsid w:val="00CA6B40"/>
    <w:rsid w:val="00CD41DD"/>
    <w:rsid w:val="00CD6DD4"/>
    <w:rsid w:val="00CF3A48"/>
    <w:rsid w:val="00D12FB7"/>
    <w:rsid w:val="00D37411"/>
    <w:rsid w:val="00D46C29"/>
    <w:rsid w:val="00D70171"/>
    <w:rsid w:val="00D724B8"/>
    <w:rsid w:val="00DA6CAF"/>
    <w:rsid w:val="00DB0035"/>
    <w:rsid w:val="00DC3190"/>
    <w:rsid w:val="00DC6B12"/>
    <w:rsid w:val="00DC7C4C"/>
    <w:rsid w:val="00DD378D"/>
    <w:rsid w:val="00DF0673"/>
    <w:rsid w:val="00DF647C"/>
    <w:rsid w:val="00E07A89"/>
    <w:rsid w:val="00E31F6F"/>
    <w:rsid w:val="00E4429A"/>
    <w:rsid w:val="00E62F61"/>
    <w:rsid w:val="00E642C7"/>
    <w:rsid w:val="00E66F31"/>
    <w:rsid w:val="00E7155A"/>
    <w:rsid w:val="00E970CB"/>
    <w:rsid w:val="00EA5411"/>
    <w:rsid w:val="00EB2E73"/>
    <w:rsid w:val="00ED7A87"/>
    <w:rsid w:val="00EE3918"/>
    <w:rsid w:val="00F00EC4"/>
    <w:rsid w:val="00F05717"/>
    <w:rsid w:val="00F129B3"/>
    <w:rsid w:val="00F15AC0"/>
    <w:rsid w:val="00F4374D"/>
    <w:rsid w:val="00F47896"/>
    <w:rsid w:val="00F56537"/>
    <w:rsid w:val="00F71D46"/>
    <w:rsid w:val="00F75940"/>
    <w:rsid w:val="00F85A7C"/>
    <w:rsid w:val="00F977B1"/>
    <w:rsid w:val="00FB0AD3"/>
    <w:rsid w:val="00FC76E4"/>
    <w:rsid w:val="00FE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43352"/>
  <w15:docId w15:val="{ABDBBF96-5C19-0345-974A-6B0C2916B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before="340" w:after="33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A93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4652C"/>
    <w:pPr>
      <w:keepNext/>
      <w:keepLines/>
      <w:spacing w:before="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5205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6489D"/>
    <w:pPr>
      <w:ind w:firstLineChars="200" w:firstLine="420"/>
    </w:pPr>
  </w:style>
  <w:style w:type="character" w:customStyle="1" w:styleId="Titre2Car">
    <w:name w:val="Titre 2 Car"/>
    <w:basedOn w:val="Policepardfaut"/>
    <w:link w:val="Titre2"/>
    <w:uiPriority w:val="9"/>
    <w:rsid w:val="00A465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Pieddepage">
    <w:name w:val="footer"/>
    <w:basedOn w:val="Normal"/>
    <w:link w:val="PieddepageCar"/>
    <w:uiPriority w:val="99"/>
    <w:unhideWhenUsed/>
    <w:rsid w:val="004B572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B5727"/>
    <w:rPr>
      <w:sz w:val="18"/>
      <w:szCs w:val="18"/>
    </w:rPr>
  </w:style>
  <w:style w:type="character" w:styleId="Numrodepage">
    <w:name w:val="page number"/>
    <w:basedOn w:val="Policepardfaut"/>
    <w:uiPriority w:val="99"/>
    <w:semiHidden/>
    <w:unhideWhenUsed/>
    <w:rsid w:val="004B5727"/>
  </w:style>
  <w:style w:type="paragraph" w:styleId="TM2">
    <w:name w:val="toc 2"/>
    <w:basedOn w:val="Normal"/>
    <w:next w:val="Normal"/>
    <w:autoRedefine/>
    <w:uiPriority w:val="39"/>
    <w:unhideWhenUsed/>
    <w:rsid w:val="00980F67"/>
    <w:pPr>
      <w:tabs>
        <w:tab w:val="right" w:leader="dot" w:pos="8296"/>
      </w:tabs>
      <w:spacing w:before="0" w:after="0" w:line="240" w:lineRule="auto"/>
    </w:pPr>
  </w:style>
  <w:style w:type="character" w:styleId="Lienhypertexte">
    <w:name w:val="Hyperlink"/>
    <w:basedOn w:val="Policepardfaut"/>
    <w:uiPriority w:val="99"/>
    <w:unhideWhenUsed/>
    <w:rsid w:val="00102D9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E6D69"/>
    <w:pPr>
      <w:spacing w:before="100" w:beforeAutospacing="1" w:after="100" w:afterAutospacing="1" w:line="240" w:lineRule="auto"/>
      <w:jc w:val="left"/>
    </w:pPr>
    <w:rPr>
      <w:rFonts w:ascii="SimSun" w:eastAsia="SimSun" w:hAnsi="SimSun" w:cs="SimSun"/>
      <w:kern w:val="0"/>
      <w:sz w:val="24"/>
    </w:rPr>
  </w:style>
  <w:style w:type="character" w:styleId="Textedelespacerserv">
    <w:name w:val="Placeholder Text"/>
    <w:basedOn w:val="Policepardfaut"/>
    <w:uiPriority w:val="99"/>
    <w:semiHidden/>
    <w:rsid w:val="008E6D6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F518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3F518E"/>
    <w:rPr>
      <w:sz w:val="18"/>
      <w:szCs w:val="18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903AC8"/>
    <w:pPr>
      <w:spacing w:before="0" w:after="0"/>
    </w:pPr>
    <w:rPr>
      <w:rFonts w:eastAsia="Times New Roman" w:cs="Times New Roman (正文 CS 字体)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eg"/><Relationship Id="rId18" Type="http://schemas.openxmlformats.org/officeDocument/2006/relationships/image" Target="media/image11.emf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A660A5-3DB9-4D0C-86DA-5434B40C1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2063</Words>
  <Characters>11347</Characters>
  <Application>Microsoft Office Word</Application>
  <DocSecurity>0</DocSecurity>
  <Lines>94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HUALI WU</dc:creator>
  <cp:keywords/>
  <dc:description/>
  <cp:lastModifiedBy>Damien Voiry</cp:lastModifiedBy>
  <cp:revision>4</cp:revision>
  <dcterms:created xsi:type="dcterms:W3CDTF">2024-01-12T10:59:00Z</dcterms:created>
  <dcterms:modified xsi:type="dcterms:W3CDTF">2024-01-12T11:00:00Z</dcterms:modified>
</cp:coreProperties>
</file>