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>1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qRT-PCR primers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69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single" w:color="auto" w:sz="12" w:space="0"/>
              <w:bottom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Gene</w:t>
            </w:r>
          </w:p>
        </w:tc>
        <w:tc>
          <w:tcPr>
            <w:tcW w:w="3783" w:type="pct"/>
            <w:tcBorders>
              <w:top w:val="single" w:color="auto" w:sz="12" w:space="0"/>
              <w:left w:val="nil"/>
              <w:bottom w:val="nil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Primer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single" w:color="auto" w:sz="12" w:space="0"/>
              <w:bottom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Klf3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-F</w:t>
            </w:r>
          </w:p>
        </w:tc>
        <w:tc>
          <w:tcPr>
            <w:tcW w:w="3783" w:type="pct"/>
            <w:tcBorders>
              <w:top w:val="single" w:color="auto" w:sz="12" w:space="0"/>
              <w:left w:val="nil"/>
              <w:bottom w:val="nil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GAAATGTCACCCCCTTTAATGAAC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Klf3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-R</w:t>
            </w:r>
          </w:p>
        </w:tc>
        <w:tc>
          <w:tcPr>
            <w:tcW w:w="3783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CACGATGACGGAAGGATGGT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bottom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Il10-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F</w:t>
            </w:r>
          </w:p>
        </w:tc>
        <w:tc>
          <w:tcPr>
            <w:tcW w:w="3783" w:type="pct"/>
            <w:tcBorders>
              <w:top w:val="single" w:color="auto" w:sz="4" w:space="0"/>
              <w:left w:val="nil"/>
              <w:bottom w:val="nil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AGCCTTATCGGAAATGATCCAGT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Il10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-R</w:t>
            </w:r>
          </w:p>
        </w:tc>
        <w:tc>
          <w:tcPr>
            <w:tcW w:w="3783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GGCCTTGTAGACACCTTGGT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bottom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Il6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-F</w:t>
            </w:r>
          </w:p>
        </w:tc>
        <w:tc>
          <w:tcPr>
            <w:tcW w:w="3783" w:type="pct"/>
            <w:tcBorders>
              <w:top w:val="single" w:color="auto" w:sz="4" w:space="0"/>
              <w:left w:val="nil"/>
              <w:bottom w:val="nil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CTGCAAGAGACTTCCATCCAG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Il6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-R</w:t>
            </w:r>
          </w:p>
        </w:tc>
        <w:tc>
          <w:tcPr>
            <w:tcW w:w="3783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AGTGGTATAGACAGGTCTGTTGG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bottom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Il1b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-F</w:t>
            </w:r>
          </w:p>
        </w:tc>
        <w:tc>
          <w:tcPr>
            <w:tcW w:w="3783" w:type="pct"/>
            <w:tcBorders>
              <w:top w:val="single" w:color="auto" w:sz="4" w:space="0"/>
              <w:left w:val="nil"/>
              <w:bottom w:val="nil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GAAATGCCACCTTTTGACAGTG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Il1b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-R</w:t>
            </w:r>
          </w:p>
        </w:tc>
        <w:tc>
          <w:tcPr>
            <w:tcW w:w="3783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TGGATGCTCTCATCAGGACAG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bottom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Tnfa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-F</w:t>
            </w:r>
          </w:p>
        </w:tc>
        <w:tc>
          <w:tcPr>
            <w:tcW w:w="3783" w:type="pct"/>
            <w:tcBorders>
              <w:top w:val="single" w:color="auto" w:sz="4" w:space="0"/>
              <w:left w:val="nil"/>
              <w:bottom w:val="nil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CCTGTAGCCCACGTCGTAG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nil"/>
              <w:bottom w:val="single" w:color="auto" w:sz="4" w:space="0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Tnfa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-R</w:t>
            </w:r>
          </w:p>
        </w:tc>
        <w:tc>
          <w:tcPr>
            <w:tcW w:w="3783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GGGAGTAGACAAGGTACAACCC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single" w:color="auto" w:sz="4" w:space="0"/>
              <w:bottom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Ifng-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F</w:t>
            </w:r>
          </w:p>
        </w:tc>
        <w:tc>
          <w:tcPr>
            <w:tcW w:w="3783" w:type="pct"/>
            <w:tcBorders>
              <w:top w:val="single" w:color="auto" w:sz="4" w:space="0"/>
              <w:left w:val="nil"/>
              <w:bottom w:val="nil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GCCACGGCACAGTCATTGA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nil"/>
              <w:bottom w:val="single" w:color="auto" w:sz="4" w:space="0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Ifng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-R</w:t>
            </w:r>
          </w:p>
        </w:tc>
        <w:tc>
          <w:tcPr>
            <w:tcW w:w="3783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TGCTGATGGCCTGATTGTCTT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single" w:color="auto" w:sz="4" w:space="0"/>
              <w:bottom w:val="nil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Gapdh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-F</w:t>
            </w:r>
          </w:p>
        </w:tc>
        <w:tc>
          <w:tcPr>
            <w:tcW w:w="3783" w:type="pct"/>
            <w:tcBorders>
              <w:top w:val="single" w:color="auto" w:sz="4" w:space="0"/>
              <w:left w:val="nil"/>
              <w:bottom w:val="nil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AACTTTGGCATTGTGGAAGG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7" w:type="pct"/>
            <w:tcBorders>
              <w:top w:val="nil"/>
              <w:bottom w:val="single" w:color="auto" w:sz="12" w:space="0"/>
              <w:right w:val="nil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Gapdh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-R</w:t>
            </w:r>
          </w:p>
        </w:tc>
        <w:tc>
          <w:tcPr>
            <w:tcW w:w="3783" w:type="pct"/>
            <w:tcBorders>
              <w:top w:val="nil"/>
              <w:left w:val="nil"/>
              <w:bottom w:val="single" w:color="auto" w:sz="12" w:space="0"/>
            </w:tcBorders>
            <w:shd w:val="clear" w:color="auto" w:fill="auto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ACACATTGGGGGTAGGAACA</w:t>
            </w:r>
          </w:p>
        </w:tc>
      </w:tr>
    </w:tbl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Histopathology damage scoring</w:t>
      </w:r>
    </w:p>
    <w:tbl>
      <w:tblPr>
        <w:tblStyle w:val="8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7"/>
        <w:gridCol w:w="4229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Key</w:t>
            </w:r>
          </w:p>
        </w:tc>
        <w:tc>
          <w:tcPr>
            <w:tcW w:w="425" w:type="pct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Score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gridSpan w:val="2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MinionPro-Regular" w:cs="Times New Roman"/>
                <w:b/>
                <w:bCs/>
                <w:color w:val="231F20"/>
                <w:kern w:val="0"/>
                <w:sz w:val="24"/>
                <w:szCs w:val="24"/>
              </w:rPr>
              <w:t>Kidney injury</w:t>
            </w:r>
          </w:p>
        </w:tc>
        <w:tc>
          <w:tcPr>
            <w:tcW w:w="425" w:type="pct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E</w:t>
            </w:r>
            <w:r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xpansion of Bowman’s capsule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V</w:t>
            </w:r>
            <w:r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acuolization and loss of brush border in renal tubular epithelial cells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N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o lesion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No lesion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</w:rPr>
            </w:pP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Lesion &lt;10% of the cortex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&lt;25% of the cortex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Lesion 10%–20% of the cortex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25%–50% of the cortex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Lesion 20%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–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30%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 of the cortex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50%–75% of the cortex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  <w:tcBorders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Lesion ≥30%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 of the cortex</w:t>
            </w:r>
          </w:p>
        </w:tc>
        <w:tc>
          <w:tcPr>
            <w:tcW w:w="2287" w:type="pct"/>
            <w:tcBorders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≥75% of the cortex</w:t>
            </w:r>
          </w:p>
        </w:tc>
        <w:tc>
          <w:tcPr>
            <w:tcW w:w="425" w:type="pct"/>
            <w:tcBorders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gridSpan w:val="2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MinionPro-Regular" w:cs="Times New Roman"/>
                <w:b/>
                <w:bCs/>
                <w:color w:val="231F20"/>
                <w:kern w:val="0"/>
                <w:sz w:val="24"/>
                <w:szCs w:val="24"/>
              </w:rPr>
              <w:t xml:space="preserve">Liver injury  </w:t>
            </w:r>
          </w:p>
        </w:tc>
        <w:tc>
          <w:tcPr>
            <w:tcW w:w="425" w:type="pct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Vacuolization of hepatocyte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arenchymal necrosis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No lesion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No lesion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&lt;25%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&lt;25%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25%–50% of the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 section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25%–50% of the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 section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50%–75%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50%–75%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  <w:tcBorders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≥75%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2287" w:type="pct"/>
            <w:tcBorders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≥75%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425" w:type="pct"/>
            <w:tcBorders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gridSpan w:val="2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MinionPro-Regular" w:cs="Times New Roman"/>
                <w:b/>
                <w:bCs/>
                <w:color w:val="231F20"/>
                <w:kern w:val="0"/>
                <w:sz w:val="24"/>
                <w:szCs w:val="24"/>
              </w:rPr>
              <w:t xml:space="preserve">Heart injury </w:t>
            </w:r>
          </w:p>
        </w:tc>
        <w:tc>
          <w:tcPr>
            <w:tcW w:w="425" w:type="pct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 xml:space="preserve">yocardial cells edema 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yocardial cells vacuolization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No lesion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No lesion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&lt;25%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&lt;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10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25%–50% of the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 section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10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%–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20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% of the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 section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50%–75%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20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%–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30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  <w:tcBorders>
              <w:bottom w:val="single" w:color="auto" w:sz="12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≥75%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2287" w:type="pct"/>
            <w:tcBorders>
              <w:bottom w:val="single" w:color="auto" w:sz="12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≥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30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425" w:type="pct"/>
            <w:tcBorders>
              <w:bottom w:val="single" w:color="auto" w:sz="12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gridSpan w:val="2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b/>
                <w:bCs/>
                <w:color w:val="231F20"/>
                <w:kern w:val="0"/>
                <w:sz w:val="24"/>
                <w:szCs w:val="24"/>
              </w:rPr>
              <w:t>Lung</w:t>
            </w:r>
            <w:r>
              <w:rPr>
                <w:rFonts w:ascii="Times New Roman" w:hAnsi="Times New Roman" w:eastAsia="MinionPro-Regular" w:cs="Times New Roman"/>
                <w:b/>
                <w:bCs/>
                <w:color w:val="231F20"/>
                <w:kern w:val="0"/>
                <w:sz w:val="24"/>
                <w:szCs w:val="24"/>
              </w:rPr>
              <w:t xml:space="preserve"> injury </w:t>
            </w:r>
          </w:p>
        </w:tc>
        <w:tc>
          <w:tcPr>
            <w:tcW w:w="425" w:type="pct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lveolar hemorrhage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 w:eastAsia="MinionPro-Regular" w:cs="Times New Roman"/>
                <w:i/>
                <w:iCs/>
                <w:color w:val="231F20"/>
                <w:kern w:val="0"/>
                <w:sz w:val="24"/>
                <w:szCs w:val="24"/>
              </w:rPr>
              <w:t>nfiltration of inflammatory cells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No lesion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No lesion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&lt;25%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&lt;25%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25%–50% of the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 section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esion 25%–50% of the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 section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50%–75%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2287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50%–75%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pct"/>
            <w:tcBorders>
              <w:bottom w:val="single" w:color="auto" w:sz="12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≥75%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2287" w:type="pct"/>
            <w:tcBorders>
              <w:bottom w:val="single" w:color="auto" w:sz="12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 xml:space="preserve">esion ≥75% of the </w:t>
            </w:r>
            <w:r>
              <w:rPr>
                <w:rFonts w:hint="eastAsia" w:ascii="Times New Roman" w:hAnsi="Times New Roman" w:eastAsia="MinionPro-Regular" w:cs="Times New Roman"/>
                <w:color w:val="231F20"/>
                <w:kern w:val="0"/>
                <w:sz w:val="24"/>
                <w:szCs w:val="24"/>
              </w:rPr>
              <w:t>section</w:t>
            </w:r>
          </w:p>
        </w:tc>
        <w:tc>
          <w:tcPr>
            <w:tcW w:w="425" w:type="pct"/>
            <w:tcBorders>
              <w:bottom w:val="single" w:color="auto" w:sz="12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</w:tr>
    </w:tbl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>3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Mice status scores</w:t>
      </w:r>
    </w:p>
    <w:tbl>
      <w:tblPr>
        <w:tblStyle w:val="8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6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Key</w:t>
            </w:r>
          </w:p>
        </w:tc>
        <w:tc>
          <w:tcPr>
            <w:tcW w:w="425" w:type="pct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Score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Mental state</w:t>
            </w:r>
          </w:p>
        </w:tc>
        <w:tc>
          <w:tcPr>
            <w:tcW w:w="425" w:type="pct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NewRomanPS-ItalicMT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General weakness, malaise, piloerection, and conditioned reflex avoidance 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Mice have all of the above conditions 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Mice have three of the above conditions 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Mice have two the of above conditions 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Mice have one of the above condition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tcBorders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Mice have none of the above conditions</w:t>
            </w:r>
          </w:p>
        </w:tc>
        <w:tc>
          <w:tcPr>
            <w:tcW w:w="425" w:type="pct"/>
            <w:tcBorders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TimesNewRomanPS-BoldMT" w:cs="Times New Roman"/>
                <w:b/>
                <w:bCs/>
                <w:color w:val="000000"/>
                <w:kern w:val="0"/>
                <w:sz w:val="24"/>
                <w:szCs w:val="24"/>
              </w:rPr>
              <w:t>Autonomous motor activity</w:t>
            </w:r>
          </w:p>
        </w:tc>
        <w:tc>
          <w:tcPr>
            <w:tcW w:w="425" w:type="pct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TimesNewRomanPS-ItalicMT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Under the condition of knocking the cage 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Mice show no movement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Mice show a few intermittent movements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Mice show some intermittent movements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Mice show consistent movements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tcBorders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Mice show autonomous movement</w:t>
            </w:r>
          </w:p>
        </w:tc>
        <w:tc>
          <w:tcPr>
            <w:tcW w:w="425" w:type="pct"/>
            <w:tcBorders>
              <w:bottom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TimesNewRomanPS-BoldMT" w:cs="Times New Roman"/>
                <w:b/>
                <w:bCs/>
                <w:color w:val="000000"/>
                <w:kern w:val="0"/>
                <w:sz w:val="24"/>
                <w:szCs w:val="24"/>
              </w:rPr>
              <w:t>Myodynamia</w:t>
            </w:r>
          </w:p>
        </w:tc>
        <w:tc>
          <w:tcPr>
            <w:tcW w:w="425" w:type="pct"/>
            <w:tcBorders>
              <w:top w:val="single" w:color="auto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TimesNewRomanPS-ItalicMT" w:cs="Times New Roman"/>
                <w:i/>
                <w:iCs/>
                <w:color w:val="000000"/>
                <w:kern w:val="0"/>
                <w:sz w:val="24"/>
                <w:szCs w:val="24"/>
              </w:rPr>
              <w:t>In mice placed on the metal cage and pulling the tail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Mice have no grip and can be moved easily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Mice perform gripping actions but can be moved easily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Mice perform gripping actions and have a sense of moving forward but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can’t against pulling force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Mice perform gripping actions and move forward but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can’t against pulling force</w:t>
            </w:r>
          </w:p>
        </w:tc>
        <w:tc>
          <w:tcPr>
            <w:tcW w:w="425" w:type="pc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5" w:type="pct"/>
            <w:tcBorders>
              <w:bottom w:val="single" w:color="auto" w:sz="12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Mice can grip and move forward actively</w:t>
            </w:r>
          </w:p>
        </w:tc>
        <w:tc>
          <w:tcPr>
            <w:tcW w:w="425" w:type="pct"/>
            <w:tcBorders>
              <w:bottom w:val="single" w:color="auto" w:sz="12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</w:tr>
    </w:tbl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ionPr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Italic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removePersonalInformation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3OWVhYTU0MzZhZWI3ZGFhYzI4YTYzNTg5YzE1NWUifQ=="/>
  </w:docVars>
  <w:rsids>
    <w:rsidRoot w:val="00182C75"/>
    <w:rsid w:val="00182C75"/>
    <w:rsid w:val="0019398F"/>
    <w:rsid w:val="00241B66"/>
    <w:rsid w:val="002B0557"/>
    <w:rsid w:val="00345465"/>
    <w:rsid w:val="003A5E40"/>
    <w:rsid w:val="004F4B24"/>
    <w:rsid w:val="005753C3"/>
    <w:rsid w:val="007E7FBA"/>
    <w:rsid w:val="0093098E"/>
    <w:rsid w:val="00971B5F"/>
    <w:rsid w:val="009A7F56"/>
    <w:rsid w:val="00AF0E35"/>
    <w:rsid w:val="00B71D28"/>
    <w:rsid w:val="00BC42F2"/>
    <w:rsid w:val="00C91152"/>
    <w:rsid w:val="00D97B1D"/>
    <w:rsid w:val="00DB2225"/>
    <w:rsid w:val="00ED7F28"/>
    <w:rsid w:val="00F01043"/>
    <w:rsid w:val="00F60433"/>
    <w:rsid w:val="00F774E8"/>
    <w:rsid w:val="00F82C3A"/>
    <w:rsid w:val="00FB0880"/>
    <w:rsid w:val="03862FFC"/>
    <w:rsid w:val="1492781F"/>
    <w:rsid w:val="2DC24F6E"/>
    <w:rsid w:val="2DD534E5"/>
    <w:rsid w:val="43BD7469"/>
    <w:rsid w:val="53DE121B"/>
    <w:rsid w:val="6C51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autoRedefine/>
    <w:semiHidden/>
    <w:unhideWhenUsed/>
    <w:qFormat/>
    <w:uiPriority w:val="99"/>
    <w:rPr>
      <w:sz w:val="20"/>
      <w:szCs w:val="20"/>
    </w:r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autoRedefine/>
    <w:semiHidden/>
    <w:unhideWhenUsed/>
    <w:qFormat/>
    <w:uiPriority w:val="99"/>
    <w:rPr>
      <w:b/>
      <w:bCs/>
    </w:rPr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autoRedefine/>
    <w:semiHidden/>
    <w:unhideWhenUsed/>
    <w:qFormat/>
    <w:uiPriority w:val="99"/>
    <w:rPr>
      <w:sz w:val="16"/>
      <w:szCs w:val="16"/>
    </w:rPr>
  </w:style>
  <w:style w:type="character" w:customStyle="1" w:styleId="11">
    <w:name w:val="font11"/>
    <w:basedOn w:val="9"/>
    <w:autoRedefine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2">
    <w:name w:val="页眉 字符"/>
    <w:basedOn w:val="9"/>
    <w:link w:val="5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9"/>
    <w:link w:val="4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7">
    <w:name w:val="批注文字 字符"/>
    <w:basedOn w:val="9"/>
    <w:link w:val="2"/>
    <w:autoRedefine/>
    <w:semiHidden/>
    <w:qFormat/>
    <w:uiPriority w:val="99"/>
    <w:rPr>
      <w:rFonts w:asciiTheme="minorHAnsi" w:hAnsiTheme="minorHAnsi" w:eastAsiaTheme="minorEastAsia" w:cstheme="minorBidi"/>
      <w:kern w:val="2"/>
    </w:rPr>
  </w:style>
  <w:style w:type="character" w:customStyle="1" w:styleId="18">
    <w:name w:val="批注主题 字符"/>
    <w:basedOn w:val="17"/>
    <w:link w:val="6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435</Words>
  <Characters>2486</Characters>
  <Lines>20</Lines>
  <Paragraphs>5</Paragraphs>
  <TotalTime>0</TotalTime>
  <ScaleCrop>false</ScaleCrop>
  <LinksUpToDate>false</LinksUpToDate>
  <CharactersWithSpaces>2916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2024-03-16T03:41:00Z</dcterms:created>
  <dcterms:modified xsi:type="dcterms:W3CDTF">2024-03-16T04:29:15Z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7D2ABD5EC9B74D4DAD5F83A8A322E38D_13</vt:lpwstr>
  </property>
</Properties>
</file>