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F2E" w:rsidRPr="00376F2E" w:rsidRDefault="00B14126" w:rsidP="00376F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Supplemental Digital Content </w:t>
      </w:r>
      <w:bookmarkStart w:id="0" w:name="_GoBack"/>
      <w:bookmarkEnd w:id="0"/>
      <w:r w:rsidR="00376F2E" w:rsidRPr="00376F2E">
        <w:rPr>
          <w:rFonts w:ascii="Times New Roman" w:eastAsia="Times New Roman" w:hAnsi="Times New Roman" w:cs="Times New Roman"/>
          <w:b/>
          <w:color w:val="000000"/>
        </w:rPr>
        <w:t>3 Patients characteristics on the index date or in 1-year before the index date in matched cohort stratified by under vs. over 45 years of age and insulin initiation</w:t>
      </w:r>
    </w:p>
    <w:p w:rsidR="00376F2E" w:rsidRPr="00376F2E" w:rsidRDefault="00376F2E" w:rsidP="00376F2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90"/>
        <w:gridCol w:w="1441"/>
        <w:gridCol w:w="1329"/>
        <w:gridCol w:w="1449"/>
        <w:gridCol w:w="1451"/>
      </w:tblGrid>
      <w:tr w:rsidR="00376F2E" w:rsidRPr="00376F2E" w:rsidTr="00376F2E">
        <w:trPr>
          <w:trHeight w:val="20"/>
          <w:tblHeader/>
        </w:trPr>
        <w:tc>
          <w:tcPr>
            <w:tcW w:w="197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376F2E" w:rsidRPr="00376F2E" w:rsidRDefault="00376F2E" w:rsidP="00E82B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  <w:b/>
              </w:rPr>
              <w:t xml:space="preserve">Characteristics 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  <w:b/>
              </w:rPr>
              <w:t>Adults aged ≤ 45 years</w:t>
            </w:r>
          </w:p>
        </w:tc>
        <w:tc>
          <w:tcPr>
            <w:tcW w:w="1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  <w:b/>
              </w:rPr>
              <w:t>Adults aged &gt;45 years</w:t>
            </w:r>
          </w:p>
        </w:tc>
      </w:tr>
      <w:tr w:rsidR="00376F2E" w:rsidRPr="00376F2E" w:rsidTr="00376F2E">
        <w:trPr>
          <w:trHeight w:val="20"/>
          <w:tblHeader/>
        </w:trPr>
        <w:tc>
          <w:tcPr>
            <w:tcW w:w="1971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  <w:b/>
              </w:rPr>
              <w:t xml:space="preserve">Insulin users </w:t>
            </w:r>
          </w:p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  <w:b/>
              </w:rPr>
              <w:t>N=</w:t>
            </w:r>
            <w:r w:rsidRPr="00376F2E">
              <w:rPr>
                <w:rFonts w:ascii="Times New Roman" w:hAnsi="Times New Roman" w:cs="Times New Roman"/>
              </w:rPr>
              <w:t xml:space="preserve"> </w:t>
            </w:r>
            <w:r w:rsidRPr="00376F2E">
              <w:rPr>
                <w:rFonts w:ascii="Times New Roman" w:hAnsi="Times New Roman" w:cs="Times New Roman"/>
                <w:b/>
              </w:rPr>
              <w:t>1526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B2889">
              <w:rPr>
                <w:rFonts w:ascii="Open Sans" w:hAnsi="Open Sans"/>
                <w:color w:val="000000"/>
                <w:shd w:val="clear" w:color="auto" w:fill="FFFFFF"/>
              </w:rPr>
              <w:t>§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  <w:b/>
              </w:rPr>
              <w:t xml:space="preserve">Non-insulin users </w:t>
            </w:r>
          </w:p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  <w:b/>
              </w:rPr>
              <w:t>N=</w:t>
            </w:r>
            <w:r w:rsidRPr="00376F2E">
              <w:rPr>
                <w:rFonts w:ascii="Times New Roman" w:hAnsi="Times New Roman" w:cs="Times New Roman"/>
              </w:rPr>
              <w:t xml:space="preserve"> </w:t>
            </w:r>
            <w:r w:rsidRPr="00376F2E">
              <w:rPr>
                <w:rFonts w:ascii="Times New Roman" w:hAnsi="Times New Roman" w:cs="Times New Roman"/>
                <w:b/>
              </w:rPr>
              <w:t>3219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  <w:b/>
              </w:rPr>
              <w:t xml:space="preserve">Insulin users </w:t>
            </w:r>
          </w:p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  <w:b/>
              </w:rPr>
              <w:t>N=</w:t>
            </w:r>
            <w:r w:rsidRPr="00376F2E">
              <w:rPr>
                <w:rFonts w:ascii="Times New Roman" w:hAnsi="Times New Roman" w:cs="Times New Roman"/>
              </w:rPr>
              <w:t xml:space="preserve"> </w:t>
            </w:r>
            <w:r w:rsidRPr="00376F2E">
              <w:rPr>
                <w:rFonts w:ascii="Times New Roman" w:hAnsi="Times New Roman" w:cs="Times New Roman"/>
                <w:b/>
              </w:rPr>
              <w:t>2099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B2889">
              <w:rPr>
                <w:rFonts w:ascii="Open Sans" w:hAnsi="Open Sans"/>
                <w:color w:val="000000"/>
                <w:shd w:val="clear" w:color="auto" w:fill="FFFFFF"/>
              </w:rPr>
              <w:t>§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  <w:b/>
              </w:rPr>
              <w:t xml:space="preserve">Non-insulin users </w:t>
            </w:r>
          </w:p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  <w:b/>
              </w:rPr>
              <w:t>N=</w:t>
            </w:r>
            <w:r w:rsidRPr="00376F2E">
              <w:rPr>
                <w:rFonts w:ascii="Times New Roman" w:hAnsi="Times New Roman" w:cs="Times New Roman"/>
              </w:rPr>
              <w:t xml:space="preserve"> </w:t>
            </w:r>
            <w:r w:rsidRPr="00376F2E">
              <w:rPr>
                <w:rFonts w:ascii="Times New Roman" w:hAnsi="Times New Roman" w:cs="Times New Roman"/>
                <w:b/>
              </w:rPr>
              <w:t>5804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tcBorders>
              <w:top w:val="single" w:sz="4" w:space="0" w:color="auto"/>
            </w:tcBorders>
            <w:shd w:val="clear" w:color="auto" w:fill="E7E6E6" w:themeFill="background2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76F2E">
              <w:rPr>
                <w:rFonts w:ascii="Times New Roman" w:hAnsi="Times New Roman" w:cs="Times New Roman"/>
                <w:b/>
                <w:i/>
              </w:rPr>
              <w:t xml:space="preserve">Demographic characteristics </w:t>
            </w:r>
          </w:p>
        </w:tc>
        <w:tc>
          <w:tcPr>
            <w:tcW w:w="770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0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376F2E" w:rsidRPr="00376F2E" w:rsidRDefault="00376F2E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Age, Mean(SD)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35.8 (6.6)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35.8 (7.0)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52.7 (4.6)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54.1 (5.0)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376F2E" w:rsidRPr="00376F2E" w:rsidRDefault="00376F2E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Female,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1102 (72.2%)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2235 (69.4%)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1329 (63.3%)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3682 (63.4%)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376F2E" w:rsidRPr="00376F2E" w:rsidRDefault="00376F2E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Race,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vAlign w:val="center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376F2E" w:rsidRPr="00376F2E" w:rsidRDefault="00376F2E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Non-Hispanic white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802 (52.6%)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1745 (54.2%)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1028 (49.0%)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3040 (52.4%)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376F2E" w:rsidRPr="00376F2E" w:rsidRDefault="00376F2E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Non-Hispanic black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447 (29.3%)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926 (28.8%)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724 (34.5%)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1679 (28.9%)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376F2E" w:rsidRPr="00376F2E" w:rsidRDefault="00376F2E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228 (14.9%)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438 (13.6%)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285 (13.6%)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810 (14.0%)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376F2E" w:rsidRPr="00376F2E" w:rsidRDefault="00376F2E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49 (3.2%)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110 (3.4%)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62 (3.0%)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275 (4.7%)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376F2E" w:rsidRPr="00376F2E" w:rsidRDefault="00376F2E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FFS,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485 (31.8%)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961 (29.9%)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598 (28.5%)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1501 (25.9%)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376F2E" w:rsidRPr="00376F2E" w:rsidRDefault="00376F2E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Disabled,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960 (62.9%)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2058 (63.9%)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1875 (89.3%)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5138 (88.5%)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Area deprivation index, Mean(SD)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110.2(7.1)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109.9(6.9)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110.4(7.2)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110.3(7.5)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Index year,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vAlign w:val="center"/>
          </w:tcPr>
          <w:p w:rsidR="00376F2E" w:rsidRPr="00376F2E" w:rsidRDefault="00376F2E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292 (19.1%)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484 (15.0%)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443 (21.1%)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964 (16.6%)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295 (19.3%)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516 (16.0%)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363 (17.3%)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953 (16.4%)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234 (15.3%)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537 (16.7%)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347 (16.5%)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981 (16.9%)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248 (16.3%)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553 (17.2%)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316 (15.1%)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959 (16.5%)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213 (14.0%)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515 (16.0%)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311 (14.8%)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921 (15.9%)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175 (11.5%)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428 (13.3%)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227 (10.8%)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743 (12.8%)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69 (4.5%)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186 (5.8%)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92 (4.4%)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283 (4.9%)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E7E6E6" w:themeFill="background2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76F2E">
              <w:rPr>
                <w:rFonts w:ascii="Times New Roman" w:hAnsi="Times New Roman" w:cs="Times New Roman"/>
                <w:b/>
                <w:i/>
              </w:rPr>
              <w:t>Health conditions</w:t>
            </w:r>
          </w:p>
        </w:tc>
        <w:tc>
          <w:tcPr>
            <w:tcW w:w="770" w:type="pct"/>
            <w:shd w:val="clear" w:color="auto" w:fill="E7E6E6" w:themeFill="background2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0" w:type="pct"/>
            <w:tcBorders>
              <w:right w:val="single" w:sz="4" w:space="0" w:color="auto"/>
            </w:tcBorders>
            <w:shd w:val="clear" w:color="auto" w:fill="E7E6E6" w:themeFill="background2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5" w:type="pct"/>
            <w:shd w:val="clear" w:color="auto" w:fill="E7E6E6" w:themeFill="background2"/>
            <w:vAlign w:val="center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Modified </w:t>
            </w:r>
            <w:proofErr w:type="spellStart"/>
            <w:r w:rsidRPr="00376F2E">
              <w:rPr>
                <w:rFonts w:ascii="Times New Roman" w:hAnsi="Times New Roman" w:cs="Times New Roman"/>
              </w:rPr>
              <w:t>Elixhauser</w:t>
            </w:r>
            <w:proofErr w:type="spellEnd"/>
            <w:r w:rsidRPr="00376F2E">
              <w:rPr>
                <w:rFonts w:ascii="Times New Roman" w:hAnsi="Times New Roman" w:cs="Times New Roman"/>
              </w:rPr>
              <w:t xml:space="preserve"> index, Mean(SD)</w:t>
            </w:r>
            <w:r w:rsidRPr="005B2889">
              <w:rPr>
                <w:rFonts w:ascii="Times New Roman" w:hAnsi="Times New Roman" w:cs="Times New Roman"/>
              </w:rPr>
              <w:t xml:space="preserve"> ‡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1.3 (1.4)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1.2 (1.3)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1.9 (1.7)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1.5 (1.5)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>Hypertension,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714 (46.8%)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1451 (45.1%)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1490 (71.0%)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4264 (73.5%)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>Obesity,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618 (40.5%)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1370 (42.6%)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624 (29.7%)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1624 (28.0%)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>Depression,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465 (30.5%)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996 (30.9%)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659 (31.4%)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 xml:space="preserve">†  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1627 (28.0%)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kern w:val="24"/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>Psychoses,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603 (39.5%)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1284 (39.9%)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814 (38.8%)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2097 (36.1%)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kern w:val="24"/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>Congestive heart failure</w:t>
            </w:r>
            <w:r w:rsidRPr="00376F2E">
              <w:rPr>
                <w:sz w:val="22"/>
                <w:szCs w:val="22"/>
              </w:rPr>
              <w:t>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45 (2.9%)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84 (2.6%)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197 (9.4%)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432 (7.4%)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376F2E">
              <w:rPr>
                <w:sz w:val="22"/>
                <w:szCs w:val="22"/>
              </w:rPr>
              <w:t>Diabetes complications,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ind w:left="144"/>
              <w:rPr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>Nephropathy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44 (2.9%)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80 (2.5%)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144 (6.9%)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310 (5.3%)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ind w:left="144"/>
              <w:rPr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 xml:space="preserve">Neuropathy 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160 (10.5%)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291 (9.0%)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296 (14.1%)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759 (13.1%)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ind w:left="144"/>
              <w:rPr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 xml:space="preserve">Retinopathy 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27 (1.8%)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58 (1.8%)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83 (4.0%)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206 (3.5%)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ind w:left="144"/>
              <w:rPr>
                <w:kern w:val="24"/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>Peripheral Vascular Disease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</w:rPr>
              <w:t>44 (2.9%)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F2E">
              <w:rPr>
                <w:rFonts w:ascii="Times New Roman" w:hAnsi="Times New Roman" w:cs="Times New Roman"/>
              </w:rPr>
              <w:t>84 (2.6%)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191 (9.1%)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408 (7.0%)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ind w:left="144"/>
              <w:rPr>
                <w:kern w:val="24"/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>Metabolic complications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10 (0.7%)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6 (0.2%)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34 (1.6%)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30 (0.5%)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ind w:left="144"/>
              <w:rPr>
                <w:kern w:val="24"/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>Cardiovascular complications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128 (8.4%)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231 (7.2%)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544 (25.9%)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1335 (23.0%)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tabs>
                <w:tab w:val="left" w:pos="678"/>
              </w:tabs>
              <w:spacing w:before="0" w:beforeAutospacing="0" w:after="0" w:afterAutospacing="0"/>
              <w:ind w:left="144"/>
              <w:rPr>
                <w:kern w:val="24"/>
                <w:sz w:val="22"/>
                <w:szCs w:val="22"/>
              </w:rPr>
            </w:pPr>
            <w:r w:rsidRPr="00376F2E">
              <w:rPr>
                <w:kern w:val="24"/>
                <w:sz w:val="22"/>
                <w:szCs w:val="22"/>
              </w:rPr>
              <w:t>Cerebrovascular complications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35 (2.3%)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60 (1.9%)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138 (6.6%)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345 (5.9%)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E7E6E6" w:themeFill="background2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b/>
                <w:i/>
                <w:kern w:val="24"/>
                <w:sz w:val="22"/>
                <w:szCs w:val="22"/>
              </w:rPr>
            </w:pPr>
            <w:r w:rsidRPr="00376F2E">
              <w:rPr>
                <w:b/>
                <w:i/>
                <w:kern w:val="24"/>
                <w:sz w:val="22"/>
                <w:szCs w:val="22"/>
              </w:rPr>
              <w:t>Use of medication, N (%)</w:t>
            </w:r>
          </w:p>
        </w:tc>
        <w:tc>
          <w:tcPr>
            <w:tcW w:w="770" w:type="pct"/>
            <w:shd w:val="clear" w:color="auto" w:fill="E7E6E6" w:themeFill="background2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0" w:type="pct"/>
            <w:tcBorders>
              <w:right w:val="single" w:sz="4" w:space="0" w:color="auto"/>
            </w:tcBorders>
            <w:shd w:val="clear" w:color="auto" w:fill="E7E6E6" w:themeFill="background2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5" w:type="pct"/>
            <w:shd w:val="clear" w:color="auto" w:fill="E7E6E6" w:themeFill="background2"/>
            <w:vAlign w:val="center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376F2E">
              <w:rPr>
                <w:rFonts w:eastAsiaTheme="minorEastAsia"/>
                <w:kern w:val="24"/>
                <w:sz w:val="22"/>
                <w:szCs w:val="22"/>
              </w:rPr>
              <w:t>Anti-hypertensive medications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449 (29.4%)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952 (29.6%)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1078 (51.4%)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3073 (52.9%)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376F2E">
              <w:rPr>
                <w:rFonts w:eastAsiaTheme="minorEastAsia"/>
                <w:kern w:val="24"/>
                <w:sz w:val="22"/>
                <w:szCs w:val="22"/>
              </w:rPr>
              <w:t>Anticoagulants or platelet inhibitors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66 (4.3%)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121 (3.8%)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213 (10.1%)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578 (10.0%)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376F2E">
              <w:rPr>
                <w:rFonts w:eastAsiaTheme="minorEastAsia"/>
                <w:kern w:val="24"/>
                <w:sz w:val="22"/>
                <w:szCs w:val="22"/>
              </w:rPr>
              <w:t>Statin and other lipid lowering agents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406 (26.6%)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848 (26.3%)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938 (44.7%)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3126 (53.9%)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Nitrates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23 (1.5%)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37 (1.1%)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122 (5.8%)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330 (5.7%)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Loop Diuretics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103 (6.7%)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228 (7.1%)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335 (16.0%)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771 (13.3%)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E7E6E6" w:themeFill="background2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rFonts w:eastAsia="Calibri"/>
                <w:b/>
                <w:i/>
                <w:kern w:val="24"/>
                <w:sz w:val="22"/>
                <w:szCs w:val="22"/>
              </w:rPr>
            </w:pPr>
            <w:r w:rsidRPr="00376F2E">
              <w:rPr>
                <w:rFonts w:eastAsia="Calibri"/>
                <w:b/>
                <w:i/>
                <w:kern w:val="24"/>
                <w:sz w:val="22"/>
                <w:szCs w:val="22"/>
              </w:rPr>
              <w:t xml:space="preserve">Healthcare utilization </w:t>
            </w:r>
          </w:p>
        </w:tc>
        <w:tc>
          <w:tcPr>
            <w:tcW w:w="770" w:type="pct"/>
            <w:shd w:val="clear" w:color="auto" w:fill="E7E6E6" w:themeFill="background2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  <w:tcBorders>
              <w:right w:val="single" w:sz="4" w:space="0" w:color="auto"/>
            </w:tcBorders>
            <w:shd w:val="clear" w:color="auto" w:fill="E7E6E6" w:themeFill="background2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shd w:val="clear" w:color="auto" w:fill="E7E6E6" w:themeFill="background2"/>
            <w:vAlign w:val="center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376F2E">
              <w:rPr>
                <w:rFonts w:eastAsia="Calibri"/>
                <w:kern w:val="24"/>
                <w:sz w:val="22"/>
                <w:szCs w:val="22"/>
              </w:rPr>
              <w:lastRenderedPageBreak/>
              <w:t>All-cause hospitalization,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366 (24.0%)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648 (20.1%)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683 (32.5%)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1298 (22.4%)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376F2E">
              <w:rPr>
                <w:rFonts w:eastAsia="Calibri"/>
                <w:kern w:val="24"/>
                <w:sz w:val="22"/>
                <w:szCs w:val="22"/>
              </w:rPr>
              <w:t>Number of inpatient stays, Mean (SD)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0.4 (0.9)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0.3 (0.8)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0.5 (1.1)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0.4 (0.8)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376F2E">
              <w:rPr>
                <w:rFonts w:eastAsia="Calibri"/>
                <w:kern w:val="24"/>
                <w:sz w:val="22"/>
                <w:szCs w:val="22"/>
              </w:rPr>
              <w:t>Number of inpatient stays, Median (IQR)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0.0 (0.0,0.0)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0.0 (0.0,0.0)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0.0 (0.0,1.0)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0.0 (0.0,0.0)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376F2E">
              <w:rPr>
                <w:rFonts w:eastAsia="Calibri"/>
                <w:kern w:val="24"/>
                <w:sz w:val="22"/>
                <w:szCs w:val="22"/>
              </w:rPr>
              <w:t>All-cause ER visits, N (%)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1022 (67.0%)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1878 (58.3%)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1203 (57.3%)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2628 (45.3%)</w:t>
            </w:r>
          </w:p>
        </w:tc>
      </w:tr>
      <w:tr w:rsidR="00376F2E" w:rsidRPr="00376F2E" w:rsidTr="00376F2E">
        <w:trPr>
          <w:trHeight w:val="21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376F2E">
              <w:rPr>
                <w:rFonts w:eastAsia="Calibri"/>
                <w:kern w:val="24"/>
                <w:sz w:val="22"/>
                <w:szCs w:val="22"/>
              </w:rPr>
              <w:t>Number of ER visits, Mean (SD)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2.3 (3.6)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1.9 (3.3)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1.6 (3.1)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1.2 (2.6)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376F2E">
              <w:rPr>
                <w:rFonts w:eastAsia="Calibri"/>
                <w:kern w:val="24"/>
                <w:sz w:val="22"/>
                <w:szCs w:val="22"/>
              </w:rPr>
              <w:t>Number of ER visits, Median (IQR)</w:t>
            </w:r>
          </w:p>
        </w:tc>
        <w:tc>
          <w:tcPr>
            <w:tcW w:w="770" w:type="pct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1.0 (0.0,3.0)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710" w:type="pct"/>
            <w:tcBorders>
              <w:right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1.0 (0.0,2.0)</w:t>
            </w:r>
          </w:p>
        </w:tc>
        <w:tc>
          <w:tcPr>
            <w:tcW w:w="774" w:type="pct"/>
            <w:tcBorders>
              <w:left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1.0 (0.0,2.0)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775" w:type="pct"/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0.0 (0.0,1.0)</w:t>
            </w:r>
          </w:p>
        </w:tc>
      </w:tr>
      <w:tr w:rsidR="00376F2E" w:rsidRPr="00376F2E" w:rsidTr="00376F2E">
        <w:trPr>
          <w:trHeight w:val="20"/>
        </w:trPr>
        <w:tc>
          <w:tcPr>
            <w:tcW w:w="197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376F2E" w:rsidRPr="00376F2E" w:rsidRDefault="00376F2E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376F2E">
              <w:rPr>
                <w:rFonts w:eastAsia="Calibri"/>
                <w:kern w:val="24"/>
                <w:sz w:val="22"/>
                <w:szCs w:val="22"/>
              </w:rPr>
              <w:t>All-cause outpatient visits, N (%)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1434 (94.0%)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10" w:type="pct"/>
            <w:tcBorders>
              <w:bottom w:val="single" w:sz="4" w:space="0" w:color="auto"/>
              <w:right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3101 (96.3%)</w:t>
            </w:r>
          </w:p>
        </w:tc>
        <w:tc>
          <w:tcPr>
            <w:tcW w:w="774" w:type="pct"/>
            <w:tcBorders>
              <w:left w:val="single" w:sz="4" w:space="0" w:color="auto"/>
              <w:bottom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 xml:space="preserve">1958 (93.3%) </w:t>
            </w:r>
            <w:r w:rsidRPr="00376F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:rsidR="00376F2E" w:rsidRPr="00376F2E" w:rsidRDefault="00376F2E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6F2E">
              <w:rPr>
                <w:rFonts w:ascii="Times New Roman" w:hAnsi="Times New Roman" w:cs="Times New Roman"/>
              </w:rPr>
              <w:t>5617 (96.8%)</w:t>
            </w:r>
          </w:p>
        </w:tc>
      </w:tr>
    </w:tbl>
    <w:p w:rsidR="00376F2E" w:rsidRPr="00376F2E" w:rsidRDefault="00376F2E" w:rsidP="00376F2E">
      <w:pPr>
        <w:keepNext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76F2E">
        <w:rPr>
          <w:rFonts w:ascii="Times New Roman" w:hAnsi="Times New Roman" w:cs="Times New Roman"/>
          <w:color w:val="000000"/>
          <w:sz w:val="20"/>
          <w:szCs w:val="20"/>
        </w:rPr>
        <w:t>IQR: interquartile range</w:t>
      </w:r>
    </w:p>
    <w:p w:rsidR="00376F2E" w:rsidRPr="00376F2E" w:rsidRDefault="00376F2E" w:rsidP="00376F2E">
      <w:pPr>
        <w:keepNext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76F2E">
        <w:rPr>
          <w:rFonts w:ascii="Times New Roman" w:hAnsi="Times New Roman" w:cs="Times New Roman"/>
          <w:color w:val="000000"/>
          <w:sz w:val="20"/>
          <w:szCs w:val="20"/>
        </w:rPr>
        <w:t>FFS: fee-for-service</w:t>
      </w:r>
    </w:p>
    <w:p w:rsidR="00376F2E" w:rsidRPr="00376F2E" w:rsidRDefault="00376F2E" w:rsidP="00376F2E">
      <w:pPr>
        <w:keepNext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76F2E">
        <w:rPr>
          <w:rFonts w:ascii="Times New Roman" w:hAnsi="Times New Roman" w:cs="Times New Roman"/>
          <w:color w:val="000000"/>
          <w:sz w:val="20"/>
          <w:szCs w:val="20"/>
        </w:rPr>
        <w:t>ER: emergence room</w:t>
      </w:r>
    </w:p>
    <w:p w:rsidR="00376F2E" w:rsidRPr="00376F2E" w:rsidRDefault="00376F2E" w:rsidP="00376F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6F2E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376F2E">
        <w:rPr>
          <w:rFonts w:ascii="Times New Roman" w:hAnsi="Times New Roman" w:cs="Times New Roman"/>
          <w:sz w:val="20"/>
          <w:szCs w:val="20"/>
        </w:rPr>
        <w:t xml:space="preserve"> P-value&lt;.05 with non-insulin users as the reference</w:t>
      </w:r>
    </w:p>
    <w:p w:rsidR="00376F2E" w:rsidRPr="00376F2E" w:rsidRDefault="00376F2E" w:rsidP="00376F2E">
      <w:pPr>
        <w:keepNext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76F2E">
        <w:rPr>
          <w:rFonts w:ascii="Times New Roman" w:hAnsi="Times New Roman" w:cs="Times New Roman"/>
          <w:sz w:val="20"/>
          <w:szCs w:val="20"/>
        </w:rPr>
        <w:t xml:space="preserve">‡ </w:t>
      </w:r>
      <w:r w:rsidRPr="00376F2E">
        <w:rPr>
          <w:rFonts w:ascii="Times New Roman" w:hAnsi="Times New Roman" w:cs="Times New Roman"/>
          <w:color w:val="000000"/>
          <w:sz w:val="20"/>
          <w:szCs w:val="20"/>
        </w:rPr>
        <w:t xml:space="preserve">Modified </w:t>
      </w:r>
      <w:proofErr w:type="spellStart"/>
      <w:r w:rsidRPr="00376F2E">
        <w:rPr>
          <w:rFonts w:ascii="Times New Roman" w:hAnsi="Times New Roman" w:cs="Times New Roman"/>
          <w:color w:val="000000"/>
          <w:sz w:val="20"/>
          <w:szCs w:val="20"/>
        </w:rPr>
        <w:t>Elixhauser</w:t>
      </w:r>
      <w:proofErr w:type="spellEnd"/>
      <w:r w:rsidRPr="00376F2E">
        <w:rPr>
          <w:rFonts w:ascii="Times New Roman" w:hAnsi="Times New Roman" w:cs="Times New Roman"/>
          <w:color w:val="000000"/>
          <w:sz w:val="20"/>
          <w:szCs w:val="20"/>
        </w:rPr>
        <w:t xml:space="preserve"> Comorbidity Index evaluated 22 comorbidities, excluding hypertension, obesity, depression, psychoses, congestive heart failure, diabetes and diabetes related complications which are shown separately</w:t>
      </w:r>
    </w:p>
    <w:p w:rsidR="00376F2E" w:rsidRPr="00376F2E" w:rsidRDefault="00376F2E" w:rsidP="00376F2E">
      <w:pPr>
        <w:keepNext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76F2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§ </w:t>
      </w:r>
      <w:proofErr w:type="spellStart"/>
      <w:r w:rsidRPr="00376F2E">
        <w:rPr>
          <w:rFonts w:ascii="Times New Roman" w:hAnsi="Times New Roman" w:cs="Times New Roman"/>
          <w:sz w:val="20"/>
          <w:szCs w:val="20"/>
        </w:rPr>
        <w:t>McNemar’s</w:t>
      </w:r>
      <w:proofErr w:type="spellEnd"/>
      <w:r w:rsidRPr="00376F2E">
        <w:rPr>
          <w:rFonts w:ascii="Times New Roman" w:hAnsi="Times New Roman" w:cs="Times New Roman"/>
          <w:sz w:val="20"/>
          <w:szCs w:val="20"/>
        </w:rPr>
        <w:t xml:space="preserve"> tests for categorical variables, paired t-test for continuous variables with normal distribution, and Wilcoxon Rank sum tests for non-normally distributed continuous variables </w:t>
      </w:r>
    </w:p>
    <w:p w:rsidR="00376F2E" w:rsidRPr="004D188E" w:rsidRDefault="00376F2E" w:rsidP="00376F2E">
      <w:pPr>
        <w:keepNext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376F2E" w:rsidRDefault="00376F2E" w:rsidP="00376F2E">
      <w:pPr>
        <w:rPr>
          <w:rFonts w:ascii="Times New Roman" w:hAnsi="Times New Roman" w:cs="Times New Roman"/>
          <w:sz w:val="21"/>
          <w:szCs w:val="21"/>
        </w:rPr>
      </w:pPr>
    </w:p>
    <w:p w:rsidR="00376F2E" w:rsidRDefault="00376F2E" w:rsidP="00376F2E">
      <w:pPr>
        <w:rPr>
          <w:rFonts w:ascii="Times New Roman" w:hAnsi="Times New Roman" w:cs="Times New Roman"/>
          <w:sz w:val="21"/>
          <w:szCs w:val="21"/>
        </w:rPr>
      </w:pPr>
    </w:p>
    <w:p w:rsidR="00CF00FE" w:rsidRDefault="00B14126"/>
    <w:sectPr w:rsidR="00CF00FE" w:rsidSect="009C7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4B"/>
    <w:rsid w:val="00162F73"/>
    <w:rsid w:val="00376F2E"/>
    <w:rsid w:val="003C7C4B"/>
    <w:rsid w:val="004804C5"/>
    <w:rsid w:val="009014D0"/>
    <w:rsid w:val="00B14126"/>
    <w:rsid w:val="00B72C39"/>
    <w:rsid w:val="00E3392C"/>
    <w:rsid w:val="00E4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FA888D-8ADC-4AFE-A043-29E50DCB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F2E"/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lingshu</dc:creator>
  <cp:keywords/>
  <dc:description/>
  <cp:lastModifiedBy>Xue, Lingshu</cp:lastModifiedBy>
  <cp:revision>4</cp:revision>
  <dcterms:created xsi:type="dcterms:W3CDTF">2019-11-17T05:16:00Z</dcterms:created>
  <dcterms:modified xsi:type="dcterms:W3CDTF">2020-01-08T04:58:00Z</dcterms:modified>
</cp:coreProperties>
</file>