
<file path=[Content_Types].xml><?xml version="1.0" encoding="utf-8"?>
<Types xmlns="http://schemas.openxmlformats.org/package/2006/content-types">
  <Default Extension="bin" ContentType="application/vnd.openxmlformats-officedocument.oleObject"/>
  <Default Extension="wmf" ContentType="image/x-wmf"/>
  <Default Extension="png" ContentType="image/png"/>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auto"/>
        <w:rPr>
          <w:b/>
          <w:bCs/>
          <w:sz w:val="24"/>
          <w:szCs w:val="24"/>
        </w:rPr>
      </w:pPr>
      <w:r>
        <w:rPr>
          <w:b/>
          <w:bCs/>
          <w:sz w:val="24"/>
          <w:szCs w:val="24"/>
        </w:rPr>
        <w:t xml:space="preserve">Antioxidant mechanism of </w:t>
      </w:r>
      <w:r>
        <w:rPr>
          <w:b/>
          <w:bCs/>
          <w:i/>
          <w:sz w:val="24"/>
          <w:szCs w:val="24"/>
        </w:rPr>
        <w:t>Rosmarinus officinali</w:t>
      </w:r>
      <w:r>
        <w:rPr>
          <w:b/>
          <w:bCs/>
          <w:sz w:val="24"/>
          <w:szCs w:val="24"/>
        </w:rPr>
        <w:t xml:space="preserve">s essential oil </w:t>
      </w:r>
      <w:r>
        <w:rPr>
          <w:rFonts w:hint="eastAsia"/>
          <w:b/>
          <w:bCs/>
          <w:sz w:val="24"/>
          <w:szCs w:val="24"/>
        </w:rPr>
        <w:t xml:space="preserve">ameliorating </w:t>
      </w:r>
      <w:r>
        <w:rPr>
          <w:b/>
          <w:bCs/>
          <w:sz w:val="24"/>
          <w:szCs w:val="24"/>
        </w:rPr>
        <w:t xml:space="preserve">pulmonary oxidative stress by activating NRF2 </w:t>
      </w:r>
      <w:r>
        <w:rPr>
          <w:rFonts w:hint="eastAsia"/>
          <w:b/>
          <w:bCs/>
          <w:sz w:val="24"/>
          <w:szCs w:val="24"/>
          <w:lang w:val="en-US" w:eastAsia="zh-CN"/>
        </w:rPr>
        <w:t xml:space="preserve">signaling </w:t>
      </w:r>
      <w:r>
        <w:rPr>
          <w:b/>
          <w:bCs/>
          <w:sz w:val="24"/>
          <w:szCs w:val="24"/>
        </w:rPr>
        <w:t>pathway</w:t>
      </w:r>
    </w:p>
    <w:p>
      <w:pPr>
        <w:spacing w:line="360" w:lineRule="auto"/>
        <w:rPr>
          <w:rFonts w:hint="eastAsia"/>
          <w:sz w:val="24"/>
          <w:szCs w:val="24"/>
        </w:rPr>
      </w:pPr>
      <w:r>
        <w:rPr>
          <w:rFonts w:hint="eastAsia"/>
          <w:sz w:val="24"/>
          <w:szCs w:val="24"/>
        </w:rPr>
        <w:t>Yuanyuan Li</w:t>
      </w:r>
      <w:r>
        <w:rPr>
          <w:sz w:val="24"/>
          <w:szCs w:val="24"/>
        </w:rPr>
        <w:t xml:space="preserve"> </w:t>
      </w:r>
      <w:r>
        <w:rPr>
          <w:sz w:val="24"/>
          <w:szCs w:val="24"/>
          <w:vertAlign w:val="superscript"/>
        </w:rPr>
        <w:t>a</w:t>
      </w:r>
      <w:r>
        <w:rPr>
          <w:rFonts w:hint="eastAsia"/>
          <w:sz w:val="24"/>
          <w:szCs w:val="24"/>
        </w:rPr>
        <w:t>, Lei Huang</w:t>
      </w:r>
      <w:r>
        <w:rPr>
          <w:rStyle w:val="9"/>
          <w:sz w:val="24"/>
          <w:szCs w:val="24"/>
        </w:rPr>
        <w:t xml:space="preserve"> </w:t>
      </w:r>
      <w:r>
        <w:rPr>
          <w:sz w:val="24"/>
          <w:szCs w:val="24"/>
          <w:vertAlign w:val="superscript"/>
        </w:rPr>
        <w:t>a</w:t>
      </w:r>
      <w:r>
        <w:rPr>
          <w:rFonts w:hint="eastAsia"/>
          <w:sz w:val="24"/>
          <w:szCs w:val="24"/>
        </w:rPr>
        <w:t>, Yongfang Xu</w:t>
      </w:r>
      <w:r>
        <w:rPr>
          <w:sz w:val="24"/>
          <w:szCs w:val="24"/>
        </w:rPr>
        <w:t xml:space="preserve"> </w:t>
      </w:r>
      <w:r>
        <w:rPr>
          <w:sz w:val="24"/>
          <w:szCs w:val="24"/>
          <w:vertAlign w:val="superscript"/>
        </w:rPr>
        <w:t>b</w:t>
      </w:r>
      <w:r>
        <w:rPr>
          <w:rFonts w:hint="eastAsia"/>
          <w:sz w:val="24"/>
          <w:szCs w:val="24"/>
        </w:rPr>
        <w:t>, Biao Cheng</w:t>
      </w:r>
      <w:r>
        <w:rPr>
          <w:rStyle w:val="9"/>
          <w:sz w:val="24"/>
          <w:szCs w:val="24"/>
        </w:rPr>
        <w:t xml:space="preserve"> </w:t>
      </w:r>
      <w:r>
        <w:rPr>
          <w:sz w:val="24"/>
          <w:szCs w:val="24"/>
          <w:vertAlign w:val="superscript"/>
        </w:rPr>
        <w:t>a</w:t>
      </w:r>
      <w:r>
        <w:rPr>
          <w:rFonts w:hint="eastAsia"/>
          <w:sz w:val="24"/>
          <w:szCs w:val="24"/>
        </w:rPr>
        <w:t>,</w:t>
      </w:r>
      <w:r>
        <w:rPr>
          <w:sz w:val="24"/>
          <w:szCs w:val="24"/>
        </w:rPr>
        <w:t xml:space="preserve"> </w:t>
      </w:r>
      <w:r>
        <w:rPr>
          <w:rFonts w:hint="eastAsia"/>
          <w:sz w:val="24"/>
          <w:szCs w:val="24"/>
        </w:rPr>
        <w:t>Mingqin Zhao</w:t>
      </w:r>
      <w:r>
        <w:rPr>
          <w:rStyle w:val="9"/>
          <w:sz w:val="24"/>
          <w:szCs w:val="24"/>
        </w:rPr>
        <w:t xml:space="preserve"> </w:t>
      </w:r>
      <w:r>
        <w:rPr>
          <w:sz w:val="24"/>
          <w:szCs w:val="24"/>
          <w:vertAlign w:val="superscript"/>
        </w:rPr>
        <w:t xml:space="preserve">a, </w:t>
      </w:r>
      <w:r>
        <w:rPr>
          <w:rStyle w:val="6"/>
          <w:sz w:val="24"/>
          <w:szCs w:val="24"/>
        </w:rPr>
        <w:footnoteReference w:id="0" w:customMarkFollows="1"/>
        <w:sym w:font="Symbol" w:char="F02A"/>
      </w:r>
    </w:p>
    <w:p>
      <w:pPr>
        <w:spacing w:line="360" w:lineRule="auto"/>
        <w:ind w:left="240" w:hanging="240" w:hangingChars="100"/>
        <w:rPr>
          <w:i/>
          <w:szCs w:val="21"/>
        </w:rPr>
      </w:pPr>
      <w:r>
        <w:rPr>
          <w:i/>
          <w:sz w:val="24"/>
          <w:szCs w:val="24"/>
          <w:vertAlign w:val="superscript"/>
        </w:rPr>
        <w:t>a</w:t>
      </w:r>
      <w:r>
        <w:rPr>
          <w:rFonts w:hint="eastAsia"/>
          <w:i/>
          <w:szCs w:val="21"/>
        </w:rPr>
        <w:t xml:space="preserve"> </w:t>
      </w:r>
      <w:r>
        <w:rPr>
          <w:i/>
          <w:szCs w:val="21"/>
        </w:rPr>
        <w:t xml:space="preserve">Flavors and Fragrance Engineering &amp; Technology Research Center of Henan Province, </w:t>
      </w:r>
      <w:r>
        <w:rPr>
          <w:rFonts w:hint="eastAsia"/>
          <w:i/>
          <w:szCs w:val="21"/>
        </w:rPr>
        <w:t>College of Tobacco Science, Henan Agricultural University, Zhengzhou 4500</w:t>
      </w:r>
      <w:r>
        <w:rPr>
          <w:i/>
          <w:szCs w:val="21"/>
        </w:rPr>
        <w:t>46</w:t>
      </w:r>
      <w:r>
        <w:rPr>
          <w:rFonts w:hint="eastAsia"/>
          <w:i/>
          <w:szCs w:val="21"/>
        </w:rPr>
        <w:t>, China;</w:t>
      </w:r>
    </w:p>
    <w:p>
      <w:pPr>
        <w:spacing w:line="360" w:lineRule="auto"/>
        <w:rPr>
          <w:rFonts w:hint="eastAsia"/>
          <w:i/>
          <w:szCs w:val="21"/>
        </w:rPr>
      </w:pPr>
      <w:r>
        <w:rPr>
          <w:i/>
          <w:sz w:val="24"/>
          <w:szCs w:val="24"/>
          <w:vertAlign w:val="superscript"/>
        </w:rPr>
        <w:t>b</w:t>
      </w:r>
      <w:r>
        <w:rPr>
          <w:i/>
          <w:szCs w:val="21"/>
        </w:rPr>
        <w:t xml:space="preserve"> School of Pharmacy, </w:t>
      </w:r>
      <w:r>
        <w:rPr>
          <w:rFonts w:hint="eastAsia"/>
          <w:i/>
          <w:szCs w:val="21"/>
        </w:rPr>
        <w:t>Zhengzhou Shuqing Medical College, Zhengzhou 450064, China;</w:t>
      </w:r>
    </w:p>
    <w:p>
      <w:pPr>
        <w:snapToGrid w:val="0"/>
        <w:spacing w:line="480" w:lineRule="auto"/>
        <w:rPr>
          <w:b/>
          <w:bCs/>
          <w:sz w:val="24"/>
          <w:szCs w:val="24"/>
        </w:rPr>
      </w:pPr>
    </w:p>
    <w:p>
      <w:pPr>
        <w:snapToGrid w:val="0"/>
        <w:spacing w:line="480" w:lineRule="auto"/>
        <w:rPr>
          <w:b/>
          <w:bCs/>
          <w:sz w:val="24"/>
          <w:szCs w:val="24"/>
        </w:rPr>
      </w:pPr>
      <w:r>
        <w:rPr>
          <w:b/>
          <w:bCs/>
          <w:sz w:val="24"/>
          <w:szCs w:val="24"/>
        </w:rPr>
        <w:t>Materials and methods</w:t>
      </w:r>
    </w:p>
    <w:p>
      <w:pPr>
        <w:snapToGrid w:val="0"/>
        <w:spacing w:line="480" w:lineRule="auto"/>
        <w:rPr>
          <w:bCs/>
          <w:i/>
          <w:sz w:val="24"/>
          <w:szCs w:val="24"/>
          <w:highlight w:val="lightGray"/>
        </w:rPr>
      </w:pPr>
      <w:r>
        <w:rPr>
          <w:bCs/>
          <w:i/>
          <w:sz w:val="24"/>
          <w:szCs w:val="24"/>
        </w:rPr>
        <w:t>1. Experimental materials</w:t>
      </w:r>
    </w:p>
    <w:p>
      <w:pPr>
        <w:snapToGrid w:val="0"/>
        <w:spacing w:line="480" w:lineRule="auto"/>
        <w:ind w:firstLine="480" w:firstLineChars="200"/>
        <w:rPr>
          <w:sz w:val="24"/>
          <w:szCs w:val="24"/>
        </w:rPr>
      </w:pPr>
      <w:r>
        <w:rPr>
          <w:sz w:val="24"/>
          <w:szCs w:val="24"/>
        </w:rPr>
        <w:t>GC–MS analysis was conducted on an Agilent 7890 gas chromatograph</w:t>
      </w:r>
      <w:r>
        <w:rPr>
          <w:rFonts w:hint="eastAsia"/>
          <w:sz w:val="24"/>
          <w:szCs w:val="24"/>
        </w:rPr>
        <w:t>y</w:t>
      </w:r>
      <w:r>
        <w:rPr>
          <w:sz w:val="24"/>
          <w:szCs w:val="24"/>
        </w:rPr>
        <w:t xml:space="preserve"> mass spectrometer equipped with a flame ionization detector (</w:t>
      </w:r>
      <w:r>
        <w:rPr>
          <w:rFonts w:hint="eastAsia"/>
          <w:sz w:val="24"/>
          <w:szCs w:val="24"/>
        </w:rPr>
        <w:t xml:space="preserve">FID, </w:t>
      </w:r>
      <w:r>
        <w:rPr>
          <w:sz w:val="24"/>
          <w:szCs w:val="24"/>
        </w:rPr>
        <w:t>Agilent Corporation). BHA (betahydroxy acid), BHT (butylhydroxytoluene), ascorbic acid</w:t>
      </w:r>
      <w:r>
        <w:rPr>
          <w:rFonts w:hint="eastAsia"/>
          <w:sz w:val="24"/>
          <w:szCs w:val="24"/>
        </w:rPr>
        <w:t xml:space="preserve"> (Vitamin C, VC)</w:t>
      </w:r>
      <w:r>
        <w:rPr>
          <w:sz w:val="24"/>
          <w:szCs w:val="24"/>
        </w:rPr>
        <w:t>, H</w:t>
      </w:r>
      <w:r>
        <w:rPr>
          <w:sz w:val="24"/>
          <w:szCs w:val="24"/>
          <w:vertAlign w:val="subscript"/>
        </w:rPr>
        <w:t>2</w:t>
      </w:r>
      <w:r>
        <w:rPr>
          <w:sz w:val="24"/>
          <w:szCs w:val="24"/>
        </w:rPr>
        <w:t>O</w:t>
      </w:r>
      <w:r>
        <w:rPr>
          <w:sz w:val="24"/>
          <w:szCs w:val="24"/>
          <w:vertAlign w:val="subscript"/>
        </w:rPr>
        <w:t>2</w:t>
      </w:r>
      <w:r>
        <w:rPr>
          <w:sz w:val="24"/>
          <w:szCs w:val="24"/>
        </w:rPr>
        <w:t xml:space="preserve">, </w:t>
      </w:r>
      <w:r>
        <w:rPr>
          <w:rFonts w:hint="eastAsia"/>
          <w:sz w:val="24"/>
          <w:szCs w:val="24"/>
        </w:rPr>
        <w:t>DPPH</w:t>
      </w:r>
      <w:r>
        <w:rPr>
          <w:sz w:val="24"/>
          <w:szCs w:val="24"/>
        </w:rPr>
        <w:t>,</w:t>
      </w:r>
      <w:r>
        <w:rPr>
          <w:rFonts w:hint="eastAsia"/>
          <w:sz w:val="24"/>
          <w:szCs w:val="24"/>
        </w:rPr>
        <w:t xml:space="preserve"> </w:t>
      </w:r>
      <w:r>
        <w:rPr>
          <w:sz w:val="24"/>
          <w:szCs w:val="24"/>
        </w:rPr>
        <w:t xml:space="preserve">and </w:t>
      </w:r>
      <w:r>
        <w:rPr>
          <w:rFonts w:hint="eastAsia"/>
          <w:sz w:val="24"/>
          <w:szCs w:val="24"/>
        </w:rPr>
        <w:t>ABTS</w:t>
      </w:r>
      <w:r>
        <w:rPr>
          <w:sz w:val="24"/>
          <w:szCs w:val="24"/>
        </w:rPr>
        <w:t xml:space="preserve"> were </w:t>
      </w:r>
      <w:r>
        <w:rPr>
          <w:rFonts w:hint="eastAsia"/>
          <w:sz w:val="24"/>
          <w:szCs w:val="24"/>
        </w:rPr>
        <w:t>provid</w:t>
      </w:r>
      <w:r>
        <w:rPr>
          <w:sz w:val="24"/>
          <w:szCs w:val="24"/>
        </w:rPr>
        <w:t xml:space="preserve">ed with Sigma Chemical Co. (St. Louis, MO). Reactive oxygen species assay kit, RIPA lysis buffer, </w:t>
      </w:r>
      <w:r>
        <w:rPr>
          <w:rFonts w:hint="eastAsia"/>
          <w:sz w:val="24"/>
          <w:szCs w:val="24"/>
        </w:rPr>
        <w:t xml:space="preserve">SOD, GSH, MDA and CAT </w:t>
      </w:r>
      <w:r>
        <w:rPr>
          <w:sz w:val="24"/>
          <w:szCs w:val="24"/>
        </w:rPr>
        <w:t>assay kit were bought from Beyotime Biotechnology (Beyotime</w:t>
      </w:r>
      <w:r>
        <w:rPr>
          <w:rFonts w:hint="eastAsia"/>
          <w:sz w:val="24"/>
          <w:szCs w:val="24"/>
        </w:rPr>
        <w:t xml:space="preserve">, </w:t>
      </w:r>
      <w:r>
        <w:rPr>
          <w:sz w:val="24"/>
          <w:szCs w:val="24"/>
        </w:rPr>
        <w:t xml:space="preserve">Shanghai, China). </w:t>
      </w:r>
      <w:r>
        <w:rPr>
          <w:color w:val="000000"/>
          <w:kern w:val="0"/>
          <w:sz w:val="24"/>
          <w:szCs w:val="24"/>
        </w:rPr>
        <w:t xml:space="preserve">The antibodies of Nrf2, NQO1, HO-1, GAPDH and HRP-conjugated secondary antibodies were </w:t>
      </w:r>
      <w:r>
        <w:rPr>
          <w:rFonts w:hint="eastAsia"/>
          <w:color w:val="000000"/>
          <w:kern w:val="0"/>
          <w:sz w:val="24"/>
          <w:szCs w:val="24"/>
        </w:rPr>
        <w:t>obtained</w:t>
      </w:r>
      <w:r>
        <w:rPr>
          <w:color w:val="000000"/>
          <w:kern w:val="0"/>
          <w:sz w:val="24"/>
          <w:szCs w:val="24"/>
        </w:rPr>
        <w:t xml:space="preserve"> from CST (Cell Signaling Technology, MA, USA).</w:t>
      </w:r>
      <w:r>
        <w:rPr>
          <w:sz w:val="24"/>
          <w:szCs w:val="24"/>
        </w:rPr>
        <w:t xml:space="preserve"> All of the </w:t>
      </w:r>
      <w:r>
        <w:rPr>
          <w:rFonts w:hint="eastAsia"/>
          <w:sz w:val="24"/>
          <w:szCs w:val="24"/>
        </w:rPr>
        <w:t>reagents</w:t>
      </w:r>
      <w:r>
        <w:rPr>
          <w:sz w:val="24"/>
          <w:szCs w:val="24"/>
        </w:rPr>
        <w:t xml:space="preserve"> and solvents were purchased from </w:t>
      </w:r>
      <w:bookmarkStart w:id="0" w:name="OLE_LINK5"/>
      <w:bookmarkStart w:id="1" w:name="OLE_LINK6"/>
      <w:r>
        <w:rPr>
          <w:sz w:val="24"/>
          <w:szCs w:val="24"/>
        </w:rPr>
        <w:t xml:space="preserve">Sinopharm Chemical Reagent Co., Ltd, unless explicitly noted otherwise. </w:t>
      </w:r>
      <w:bookmarkEnd w:id="0"/>
      <w:bookmarkEnd w:id="1"/>
    </w:p>
    <w:p>
      <w:pPr>
        <w:snapToGrid w:val="0"/>
        <w:spacing w:line="480" w:lineRule="auto"/>
        <w:rPr>
          <w:bCs/>
          <w:i/>
          <w:sz w:val="24"/>
          <w:szCs w:val="24"/>
        </w:rPr>
      </w:pPr>
      <w:r>
        <w:rPr>
          <w:bCs/>
          <w:i/>
          <w:sz w:val="24"/>
          <w:szCs w:val="24"/>
        </w:rPr>
        <w:t>2. Preparation of Rosemary essential oil</w:t>
      </w:r>
    </w:p>
    <w:p>
      <w:pPr>
        <w:snapToGrid w:val="0"/>
        <w:spacing w:line="480" w:lineRule="auto"/>
        <w:ind w:firstLine="480" w:firstLineChars="200"/>
        <w:rPr>
          <w:sz w:val="24"/>
          <w:szCs w:val="24"/>
          <w:highlight w:val="lightGray"/>
        </w:rPr>
      </w:pPr>
      <w:r>
        <w:rPr>
          <w:sz w:val="24"/>
          <w:szCs w:val="24"/>
        </w:rPr>
        <w:t>Rosemary w</w:t>
      </w:r>
      <w:r>
        <w:rPr>
          <w:rFonts w:hint="eastAsia"/>
          <w:sz w:val="24"/>
          <w:szCs w:val="24"/>
        </w:rPr>
        <w:t>ere</w:t>
      </w:r>
      <w:r>
        <w:rPr>
          <w:sz w:val="24"/>
          <w:szCs w:val="24"/>
        </w:rPr>
        <w:t xml:space="preserve"> collected from </w:t>
      </w:r>
      <w:r>
        <w:rPr>
          <w:color w:val="000000"/>
          <w:sz w:val="24"/>
          <w:szCs w:val="24"/>
        </w:rPr>
        <w:t xml:space="preserve">Yuzhou Country, Xuchang City, </w:t>
      </w:r>
      <w:r>
        <w:rPr>
          <w:sz w:val="24"/>
          <w:szCs w:val="24"/>
        </w:rPr>
        <w:t>Henan Provinc</w:t>
      </w:r>
      <w:r>
        <w:rPr>
          <w:color w:val="000000"/>
          <w:sz w:val="24"/>
          <w:szCs w:val="24"/>
        </w:rPr>
        <w:t>e, China</w:t>
      </w:r>
      <w:r>
        <w:rPr>
          <w:sz w:val="24"/>
          <w:szCs w:val="24"/>
        </w:rPr>
        <w:t xml:space="preserve">. An average of 8.6 kg was harvested (September 2022). The voucher specimens (HAU 450066) were stored in Flavors and Fragrance Engineering &amp; Technology Research Center. Dried plants (overground part) </w:t>
      </w:r>
      <w:r>
        <w:rPr>
          <w:rFonts w:hint="eastAsia"/>
          <w:sz w:val="24"/>
          <w:szCs w:val="24"/>
        </w:rPr>
        <w:t>were</w:t>
      </w:r>
      <w:r>
        <w:rPr>
          <w:sz w:val="24"/>
          <w:szCs w:val="24"/>
        </w:rPr>
        <w:t xml:space="preserve"> pulverised into particles and placed in a </w:t>
      </w:r>
      <w:r>
        <w:rPr>
          <w:rFonts w:hint="eastAsia"/>
          <w:sz w:val="24"/>
          <w:szCs w:val="24"/>
        </w:rPr>
        <w:t>Clevenger apparatus</w:t>
      </w:r>
      <w:r>
        <w:rPr>
          <w:sz w:val="24"/>
          <w:szCs w:val="24"/>
        </w:rPr>
        <w:t>, then steam distillation was conducted for 4 h. After that, the distilled essential oil were kept at 4°C after being dried with anhydrous sodium sulfate.</w:t>
      </w:r>
    </w:p>
    <w:p>
      <w:pPr>
        <w:snapToGrid w:val="0"/>
        <w:spacing w:line="480" w:lineRule="auto"/>
        <w:rPr>
          <w:bCs/>
          <w:i/>
          <w:sz w:val="24"/>
          <w:szCs w:val="24"/>
        </w:rPr>
      </w:pPr>
      <w:r>
        <w:rPr>
          <w:bCs/>
          <w:i/>
          <w:sz w:val="24"/>
          <w:szCs w:val="24"/>
        </w:rPr>
        <w:t>3. GC-MS analysis of Rosemary essential oil</w:t>
      </w:r>
    </w:p>
    <w:p>
      <w:pPr>
        <w:snapToGrid w:val="0"/>
        <w:spacing w:line="480" w:lineRule="auto"/>
        <w:ind w:firstLine="480" w:firstLineChars="200"/>
        <w:rPr>
          <w:sz w:val="24"/>
          <w:szCs w:val="24"/>
        </w:rPr>
      </w:pPr>
      <w:r>
        <w:rPr>
          <w:sz w:val="24"/>
          <w:szCs w:val="24"/>
        </w:rPr>
        <w:t>The quantification analysis of REO was conducted on an Agilent 7890 gas chromatograph-</w:t>
      </w:r>
      <w:r>
        <w:t xml:space="preserve"> </w:t>
      </w:r>
      <w:r>
        <w:rPr>
          <w:sz w:val="24"/>
          <w:szCs w:val="24"/>
        </w:rPr>
        <w:t>mass spectrometry (GC-MS) equipped with an HP-5ms capillary column (30 m×0.25 mm, 0.25μm, Thermo Fisher Scientific Inc., Waltham, MA, USA) following the procedure outlined by Hao et al</w:t>
      </w:r>
      <w:r>
        <w:rPr>
          <w:rFonts w:hint="eastAsia"/>
          <w:sz w:val="24"/>
          <w:szCs w:val="24"/>
          <w:lang w:val="en-US" w:eastAsia="zh-CN"/>
        </w:rPr>
        <w:t xml:space="preserve"> </w:t>
      </w:r>
      <w:r>
        <w:rPr>
          <w:rFonts w:hint="eastAsia" w:ascii="Times New Roman" w:hAnsi="Times New Roman" w:eastAsia="宋体"/>
          <w:color w:val="auto"/>
          <w:sz w:val="24"/>
          <w:szCs w:val="24"/>
          <w:lang w:val="en-US" w:eastAsia="zh-CN"/>
        </w:rPr>
        <w:t>[</w:t>
      </w:r>
      <w:r>
        <w:rPr>
          <w:rFonts w:hint="eastAsia" w:cs="Times New Roman"/>
          <w:color w:val="0000FF"/>
          <w:sz w:val="24"/>
          <w:szCs w:val="24"/>
          <w:lang w:val="en-US" w:eastAsia="zh-CN"/>
        </w:rPr>
        <w:t>1</w:t>
      </w:r>
      <w:r>
        <w:rPr>
          <w:rFonts w:hint="eastAsia" w:ascii="Times New Roman" w:hAnsi="Times New Roman" w:eastAsia="宋体"/>
          <w:color w:val="auto"/>
          <w:sz w:val="24"/>
          <w:szCs w:val="24"/>
          <w:lang w:val="en-US" w:eastAsia="zh-CN"/>
        </w:rPr>
        <w:t>]</w:t>
      </w:r>
      <w:r>
        <w:rPr>
          <w:sz w:val="24"/>
          <w:szCs w:val="24"/>
        </w:rPr>
        <w:t>. The REO sample was prepared with 1 mg/mL diluted by CH</w:t>
      </w:r>
      <w:r>
        <w:rPr>
          <w:sz w:val="24"/>
          <w:szCs w:val="24"/>
          <w:vertAlign w:val="subscript"/>
        </w:rPr>
        <w:t>2</w:t>
      </w:r>
      <w:r>
        <w:rPr>
          <w:sz w:val="24"/>
          <w:szCs w:val="24"/>
        </w:rPr>
        <w:t>Cl</w:t>
      </w:r>
      <w:r>
        <w:rPr>
          <w:sz w:val="24"/>
          <w:szCs w:val="24"/>
          <w:vertAlign w:val="subscript"/>
        </w:rPr>
        <w:t>2</w:t>
      </w:r>
      <w:r>
        <w:rPr>
          <w:sz w:val="24"/>
          <w:szCs w:val="24"/>
        </w:rPr>
        <w:t>. The initial column temperature was set at 60°C for 2 min, raised to 180°C at 10°C/min, held for 1 min, then boosted to 260°C at 20°C/min, maintained for 15 min. The temperature of the injector was kept at 250°C, detector (FID) temperature 280°C. The carrier gas (Helium) was 1.0 mL/min. An injection volume of 1 µL was injected at a split ratio of 1:100. Mass spectrometry was performed in full scan mode ranged from 50 to 550 m/z. Ionization voltage was set at 70 eV. The components were identified through referencing the RI and mass spectra in the National Institute of Standards and Technology (NIST14)</w:t>
      </w:r>
      <w:r>
        <w:t xml:space="preserve"> </w:t>
      </w:r>
      <w:r>
        <w:rPr>
          <w:sz w:val="24"/>
          <w:szCs w:val="24"/>
        </w:rPr>
        <w:t>database. The proportions of each constituent were determined by considering individual and total peak areas. 1,8-Cineole were verified with its standard.</w:t>
      </w:r>
    </w:p>
    <w:p>
      <w:pPr>
        <w:snapToGrid w:val="0"/>
        <w:spacing w:line="480" w:lineRule="auto"/>
        <w:rPr>
          <w:bCs/>
          <w:i/>
          <w:sz w:val="24"/>
          <w:szCs w:val="24"/>
        </w:rPr>
      </w:pPr>
      <w:r>
        <w:rPr>
          <w:bCs/>
          <w:i/>
          <w:sz w:val="24"/>
          <w:szCs w:val="24"/>
        </w:rPr>
        <w:t>4. Antioxidant activity of Rosemary essential oil</w:t>
      </w:r>
    </w:p>
    <w:p>
      <w:pPr>
        <w:snapToGrid w:val="0"/>
        <w:spacing w:line="480" w:lineRule="auto"/>
        <w:rPr>
          <w:bCs/>
          <w:i/>
          <w:sz w:val="24"/>
          <w:szCs w:val="24"/>
        </w:rPr>
      </w:pPr>
      <w:r>
        <w:rPr>
          <w:bCs/>
          <w:i/>
          <w:sz w:val="24"/>
          <w:szCs w:val="24"/>
        </w:rPr>
        <w:t>4.1. DPPH radical scavenging activity of Rosemary essential oil</w:t>
      </w:r>
    </w:p>
    <w:p>
      <w:pPr>
        <w:snapToGrid w:val="0"/>
        <w:spacing w:line="480" w:lineRule="auto"/>
        <w:ind w:firstLine="480" w:firstLineChars="200"/>
        <w:rPr>
          <w:sz w:val="24"/>
          <w:szCs w:val="24"/>
        </w:rPr>
      </w:pPr>
      <w:r>
        <w:rPr>
          <w:sz w:val="24"/>
          <w:szCs w:val="24"/>
        </w:rPr>
        <w:t>The free radical scavenging activity of ERO was assessed using the methodology previously described by Li et al</w:t>
      </w:r>
      <w:r>
        <w:rPr>
          <w:rFonts w:hint="eastAsia"/>
          <w:sz w:val="24"/>
          <w:szCs w:val="24"/>
          <w:lang w:val="en-US" w:eastAsia="zh-CN"/>
        </w:rPr>
        <w:t xml:space="preserve"> [</w:t>
      </w:r>
      <w:r>
        <w:rPr>
          <w:rFonts w:hint="eastAsia" w:cs="Times New Roman"/>
          <w:color w:val="0000FF"/>
          <w:sz w:val="24"/>
          <w:szCs w:val="24"/>
          <w:lang w:val="en-US" w:eastAsia="zh-CN"/>
        </w:rPr>
        <w:t>2</w:t>
      </w:r>
      <w:r>
        <w:rPr>
          <w:rFonts w:hint="eastAsia"/>
          <w:sz w:val="24"/>
          <w:szCs w:val="24"/>
          <w:lang w:val="en-US" w:eastAsia="zh-CN"/>
        </w:rPr>
        <w:t>]</w:t>
      </w:r>
      <w:r>
        <w:rPr>
          <w:sz w:val="24"/>
          <w:szCs w:val="24"/>
        </w:rPr>
        <w:t>. Briefly, a series of concentrations of REO (62.5-1000 μg/mL) or positive standard BHA, BHT, ascorbic acid (200 μg/mL) were combined with DPPH (0.2 mM) in a 96-well plate with total volume of 150 μL. After incubation at room temperature for 30 min in the dark, its absorbance was determined at 520 nm. Methanol was used instead of sample in blank control. The formula used to determine radical scavenging activity was as follows:</w:t>
      </w:r>
    </w:p>
    <w:p>
      <w:pPr>
        <w:snapToGrid w:val="0"/>
        <w:spacing w:line="480" w:lineRule="auto"/>
        <w:ind w:firstLine="480" w:firstLineChars="200"/>
        <w:jc w:val="center"/>
        <w:rPr>
          <w:sz w:val="24"/>
          <w:szCs w:val="24"/>
        </w:rPr>
      </w:pPr>
      <w:r>
        <w:rPr>
          <w:position w:val="-14"/>
          <w:sz w:val="24"/>
          <w:szCs w:val="24"/>
        </w:rPr>
        <w:object>
          <v:shape id="_x0000_i1025" o:spt="75" type="#_x0000_t75" style="height:19pt;width:317pt;" o:ole="t" filled="f" o:preferrelative="t" stroked="f" coordsize="21600,21600">
            <v:path/>
            <v:fill on="f" alignshape="1" focussize="0,0"/>
            <v:stroke on="f"/>
            <v:imagedata r:id="rId6" grayscale="f" bilevel="f" o:title=""/>
            <o:lock v:ext="edit" aspectratio="t"/>
            <w10:wrap type="none"/>
            <w10:anchorlock/>
          </v:shape>
          <o:OLEObject Type="Embed" ProgID="Equation.DSMT4" ShapeID="_x0000_i1025" DrawAspect="Content" ObjectID="_1468075725" r:id="rId5">
            <o:LockedField>false</o:LockedField>
          </o:OLEObject>
        </w:object>
      </w:r>
    </w:p>
    <w:p>
      <w:pPr>
        <w:snapToGrid w:val="0"/>
        <w:spacing w:line="480" w:lineRule="auto"/>
        <w:rPr>
          <w:sz w:val="24"/>
          <w:szCs w:val="24"/>
        </w:rPr>
      </w:pPr>
      <w:r>
        <w:rPr>
          <w:sz w:val="24"/>
          <w:szCs w:val="24"/>
        </w:rPr>
        <w:t>A</w:t>
      </w:r>
      <w:r>
        <w:rPr>
          <w:sz w:val="24"/>
          <w:szCs w:val="24"/>
          <w:vertAlign w:val="subscript"/>
        </w:rPr>
        <w:t>1</w:t>
      </w:r>
      <w:r>
        <w:rPr>
          <w:sz w:val="24"/>
          <w:szCs w:val="24"/>
        </w:rPr>
        <w:t xml:space="preserve"> was recorded as the absorbance of REO. A</w:t>
      </w:r>
      <w:r>
        <w:rPr>
          <w:sz w:val="24"/>
          <w:szCs w:val="24"/>
          <w:vertAlign w:val="subscript"/>
        </w:rPr>
        <w:t>2</w:t>
      </w:r>
      <w:r>
        <w:rPr>
          <w:sz w:val="24"/>
          <w:szCs w:val="24"/>
        </w:rPr>
        <w:t xml:space="preserve"> was recorded as the absorbance of methanol instead of DPPH</w:t>
      </w:r>
      <w:r>
        <w:rPr>
          <w:rFonts w:hint="eastAsia"/>
          <w:sz w:val="24"/>
          <w:szCs w:val="24"/>
        </w:rPr>
        <w:t>.</w:t>
      </w:r>
      <w:r>
        <w:rPr>
          <w:sz w:val="24"/>
          <w:szCs w:val="24"/>
        </w:rPr>
        <w:t xml:space="preserve"> A</w:t>
      </w:r>
      <w:r>
        <w:rPr>
          <w:sz w:val="24"/>
          <w:szCs w:val="24"/>
          <w:vertAlign w:val="subscript"/>
        </w:rPr>
        <w:t xml:space="preserve">0 </w:t>
      </w:r>
      <w:r>
        <w:rPr>
          <w:sz w:val="24"/>
          <w:szCs w:val="24"/>
        </w:rPr>
        <w:t>was recorded as the absorbance of methanol. Experiments were conducted in triplicate.</w:t>
      </w:r>
    </w:p>
    <w:p>
      <w:pPr>
        <w:snapToGrid w:val="0"/>
        <w:spacing w:line="480" w:lineRule="auto"/>
        <w:rPr>
          <w:bCs/>
          <w:i/>
          <w:sz w:val="24"/>
          <w:szCs w:val="24"/>
        </w:rPr>
      </w:pPr>
      <w:r>
        <w:rPr>
          <w:bCs/>
          <w:i/>
          <w:sz w:val="24"/>
          <w:szCs w:val="24"/>
        </w:rPr>
        <w:t>4.2. ABTS</w:t>
      </w:r>
      <w:r>
        <w:rPr>
          <w:bCs/>
          <w:i/>
          <w:sz w:val="24"/>
          <w:szCs w:val="24"/>
          <w:vertAlign w:val="superscript"/>
        </w:rPr>
        <w:t>+</w:t>
      </w:r>
      <w:r>
        <w:rPr>
          <w:bCs/>
          <w:i/>
          <w:sz w:val="24"/>
          <w:szCs w:val="24"/>
        </w:rPr>
        <w:t xml:space="preserve"> radical scavenging activity of Rosemary essential oil</w:t>
      </w:r>
    </w:p>
    <w:p>
      <w:pPr>
        <w:snapToGrid w:val="0"/>
        <w:spacing w:line="480" w:lineRule="auto"/>
        <w:ind w:firstLine="480" w:firstLineChars="200"/>
        <w:rPr>
          <w:sz w:val="24"/>
          <w:szCs w:val="24"/>
        </w:rPr>
      </w:pPr>
      <w:r>
        <w:rPr>
          <w:sz w:val="24"/>
          <w:szCs w:val="24"/>
        </w:rPr>
        <w:t>The ABTS test was conducted according to Re et al</w:t>
      </w:r>
      <w:r>
        <w:rPr>
          <w:rFonts w:hint="eastAsia"/>
          <w:sz w:val="24"/>
          <w:szCs w:val="24"/>
          <w:lang w:val="en-US" w:eastAsia="zh-CN"/>
        </w:rPr>
        <w:t xml:space="preserve"> [</w:t>
      </w:r>
      <w:r>
        <w:rPr>
          <w:rFonts w:hint="eastAsia" w:cs="Times New Roman"/>
          <w:color w:val="0000FF"/>
          <w:sz w:val="24"/>
          <w:szCs w:val="24"/>
          <w:lang w:val="en-US" w:eastAsia="zh-CN"/>
        </w:rPr>
        <w:t>3</w:t>
      </w:r>
      <w:r>
        <w:rPr>
          <w:rFonts w:hint="eastAsia"/>
          <w:sz w:val="24"/>
          <w:szCs w:val="24"/>
          <w:lang w:val="en-US" w:eastAsia="zh-CN"/>
        </w:rPr>
        <w:t>]</w:t>
      </w:r>
      <w:r>
        <w:rPr>
          <w:sz w:val="24"/>
          <w:szCs w:val="24"/>
        </w:rPr>
        <w:t>, with minor modifications. Briefly, the solution of ABTS</w:t>
      </w:r>
      <w:r>
        <w:rPr>
          <w:sz w:val="24"/>
          <w:szCs w:val="24"/>
          <w:vertAlign w:val="superscript"/>
        </w:rPr>
        <w:t>+</w:t>
      </w:r>
      <w:r>
        <w:rPr>
          <w:sz w:val="24"/>
          <w:szCs w:val="24"/>
        </w:rPr>
        <w:t xml:space="preserve"> was combined with 5 mL of 7 mmol/L ABTS</w:t>
      </w:r>
      <w:r>
        <w:rPr>
          <w:sz w:val="24"/>
          <w:szCs w:val="24"/>
          <w:vertAlign w:val="superscript"/>
        </w:rPr>
        <w:t>+</w:t>
      </w:r>
      <w:r>
        <w:rPr>
          <w:sz w:val="24"/>
          <w:szCs w:val="24"/>
        </w:rPr>
        <w:t xml:space="preserve"> and 88 µL of 140 mmol/L potassium persulfate. The reaction was conducted for 12 h at room temperature, in the dark. About 2 mL of REO (62.5-1000 μg/mL) was mixed with ABTS</w:t>
      </w:r>
      <w:r>
        <w:rPr>
          <w:sz w:val="24"/>
          <w:szCs w:val="24"/>
          <w:vertAlign w:val="superscript"/>
        </w:rPr>
        <w:t>+</w:t>
      </w:r>
      <w:r>
        <w:rPr>
          <w:sz w:val="24"/>
          <w:szCs w:val="24"/>
        </w:rPr>
        <w:t xml:space="preserve"> solution (2 mL) left to react for 6 min in darkness. The absorbance was measured at 734nm, with BHA, BHT, ascorbic acid for positive group. The formula used to determine radical scavenging activity was as follows:</w:t>
      </w:r>
    </w:p>
    <w:p>
      <w:pPr>
        <w:snapToGrid w:val="0"/>
        <w:spacing w:line="480" w:lineRule="auto"/>
        <w:jc w:val="center"/>
        <w:rPr>
          <w:sz w:val="24"/>
          <w:szCs w:val="24"/>
        </w:rPr>
      </w:pPr>
      <w:r>
        <w:rPr>
          <w:position w:val="-14"/>
          <w:sz w:val="24"/>
          <w:szCs w:val="24"/>
        </w:rPr>
        <w:object>
          <v:shape id="_x0000_i1026" o:spt="75" type="#_x0000_t75" style="height:19pt;width:298pt;" o:ole="t" filled="f" o:preferrelative="t" stroked="f" coordsize="21600,21600">
            <v:path/>
            <v:fill on="f" alignshape="1" focussize="0,0"/>
            <v:stroke on="f"/>
            <v:imagedata r:id="rId8" grayscale="f" bilevel="f" o:title=""/>
            <o:lock v:ext="edit" aspectratio="t"/>
            <w10:wrap type="none"/>
            <w10:anchorlock/>
          </v:shape>
          <o:OLEObject Type="Embed" ProgID="Equation.DSMT4" ShapeID="_x0000_i1026" DrawAspect="Content" ObjectID="_1468075726" r:id="rId7">
            <o:LockedField>false</o:LockedField>
          </o:OLEObject>
        </w:object>
      </w:r>
    </w:p>
    <w:p>
      <w:pPr>
        <w:snapToGrid w:val="0"/>
        <w:spacing w:line="480" w:lineRule="auto"/>
        <w:rPr>
          <w:sz w:val="24"/>
          <w:szCs w:val="24"/>
        </w:rPr>
      </w:pPr>
      <w:r>
        <w:rPr>
          <w:sz w:val="24"/>
          <w:szCs w:val="24"/>
        </w:rPr>
        <w:t>The absorbance of REO were recorded as As. A</w:t>
      </w:r>
      <w:r>
        <w:rPr>
          <w:sz w:val="24"/>
          <w:szCs w:val="24"/>
          <w:vertAlign w:val="subscript"/>
        </w:rPr>
        <w:t>0</w:t>
      </w:r>
      <w:r>
        <w:rPr>
          <w:sz w:val="24"/>
          <w:szCs w:val="24"/>
        </w:rPr>
        <w:t xml:space="preserve"> was recorded as blank control by using ethanol instead. Experiments were conducted in triplicate.</w:t>
      </w:r>
    </w:p>
    <w:p>
      <w:pPr>
        <w:snapToGrid w:val="0"/>
        <w:spacing w:line="480" w:lineRule="auto"/>
        <w:rPr>
          <w:bCs/>
          <w:i/>
          <w:sz w:val="24"/>
          <w:szCs w:val="24"/>
        </w:rPr>
      </w:pPr>
      <w:r>
        <w:rPr>
          <w:bCs/>
          <w:i/>
          <w:sz w:val="24"/>
          <w:szCs w:val="24"/>
        </w:rPr>
        <w:t>4.3. Hydroxyl radical scavenging activity of Rosemary essential oil</w:t>
      </w:r>
    </w:p>
    <w:p>
      <w:pPr>
        <w:snapToGrid w:val="0"/>
        <w:spacing w:line="480" w:lineRule="auto"/>
        <w:ind w:firstLine="480" w:firstLineChars="200"/>
        <w:rPr>
          <w:sz w:val="24"/>
          <w:szCs w:val="24"/>
        </w:rPr>
      </w:pPr>
      <w:r>
        <w:rPr>
          <w:sz w:val="24"/>
          <w:szCs w:val="24"/>
        </w:rPr>
        <w:t>The hydroxyl radical scavenging activity was assayed according to the method described by Zhu L. et al</w:t>
      </w:r>
      <w:r>
        <w:rPr>
          <w:rFonts w:hint="eastAsia"/>
          <w:sz w:val="24"/>
          <w:szCs w:val="24"/>
          <w:lang w:val="en-US" w:eastAsia="zh-CN"/>
        </w:rPr>
        <w:t xml:space="preserve"> [</w:t>
      </w:r>
      <w:r>
        <w:rPr>
          <w:rFonts w:hint="eastAsia" w:cs="Times New Roman"/>
          <w:color w:val="0000FF"/>
          <w:sz w:val="24"/>
          <w:szCs w:val="24"/>
          <w:lang w:val="en-US" w:eastAsia="zh-CN"/>
        </w:rPr>
        <w:t>4</w:t>
      </w:r>
      <w:r>
        <w:rPr>
          <w:rFonts w:hint="eastAsia"/>
          <w:sz w:val="24"/>
          <w:szCs w:val="24"/>
          <w:lang w:val="en-US" w:eastAsia="zh-CN"/>
        </w:rPr>
        <w:t>]</w:t>
      </w:r>
      <w:r>
        <w:rPr>
          <w:sz w:val="24"/>
          <w:szCs w:val="24"/>
        </w:rPr>
        <w:t xml:space="preserve"> in previous reports. A mixture with of 5.0 mM</w:t>
      </w:r>
      <w:r>
        <w:rPr>
          <w:rFonts w:hint="eastAsia"/>
          <w:sz w:val="24"/>
          <w:szCs w:val="24"/>
        </w:rPr>
        <w:t xml:space="preserve"> </w:t>
      </w:r>
      <w:r>
        <w:rPr>
          <w:sz w:val="24"/>
          <w:szCs w:val="24"/>
        </w:rPr>
        <w:t>1,10-phenanthroline (600 μL), 5.0 mM FeSO</w:t>
      </w:r>
      <w:r>
        <w:rPr>
          <w:sz w:val="24"/>
          <w:szCs w:val="24"/>
          <w:vertAlign w:val="subscript"/>
        </w:rPr>
        <w:t>4</w:t>
      </w:r>
      <w:r>
        <w:rPr>
          <w:sz w:val="24"/>
          <w:szCs w:val="24"/>
        </w:rPr>
        <w:t xml:space="preserve"> (600 μL) and 15mM EDTA (600 μL) were combined with 0.2 M sodium phosphate buffer (400 μL, pH 7.4). Next, REO (600 μL) at 62.5-1000 μg/mL and 0.01% H</w:t>
      </w:r>
      <w:r>
        <w:rPr>
          <w:sz w:val="24"/>
          <w:szCs w:val="24"/>
          <w:vertAlign w:val="subscript"/>
        </w:rPr>
        <w:t>2</w:t>
      </w:r>
      <w:r>
        <w:rPr>
          <w:sz w:val="24"/>
          <w:szCs w:val="24"/>
        </w:rPr>
        <w:t>O</w:t>
      </w:r>
      <w:r>
        <w:rPr>
          <w:sz w:val="24"/>
          <w:szCs w:val="24"/>
          <w:vertAlign w:val="subscript"/>
        </w:rPr>
        <w:t>2</w:t>
      </w:r>
      <w:r>
        <w:rPr>
          <w:sz w:val="24"/>
          <w:szCs w:val="24"/>
        </w:rPr>
        <w:t xml:space="preserve"> (800 μL) were combined, then incubated for 60 min at 37 °C, next the absorbance was read at 540 nm. With BHA, BHT, and VC as positive control. The formula used to calculate hydroxyl radical scavenging activity was as follows:</w:t>
      </w:r>
    </w:p>
    <w:p>
      <w:pPr>
        <w:snapToGrid w:val="0"/>
        <w:spacing w:line="480" w:lineRule="auto"/>
        <w:jc w:val="center"/>
        <w:rPr>
          <w:sz w:val="24"/>
          <w:szCs w:val="24"/>
        </w:rPr>
      </w:pPr>
      <w:r>
        <w:rPr>
          <w:position w:val="-14"/>
          <w:sz w:val="24"/>
          <w:szCs w:val="24"/>
        </w:rPr>
        <w:object>
          <v:shape id="_x0000_i1027" o:spt="75" type="#_x0000_t75" style="height:19pt;width:337.95pt;" o:ole="t" filled="f" o:preferrelative="t" stroked="f" coordsize="21600,21600">
            <v:path/>
            <v:fill on="f" alignshape="1" focussize="0,0"/>
            <v:stroke on="f"/>
            <v:imagedata r:id="rId10" grayscale="f" bilevel="f" o:title=""/>
            <o:lock v:ext="edit" aspectratio="t"/>
            <w10:wrap type="none"/>
            <w10:anchorlock/>
          </v:shape>
          <o:OLEObject Type="Embed" ProgID="Equation.DSMT4" ShapeID="_x0000_i1027" DrawAspect="Content" ObjectID="_1468075727" r:id="rId9">
            <o:LockedField>false</o:LockedField>
          </o:OLEObject>
        </w:object>
      </w:r>
    </w:p>
    <w:p>
      <w:pPr>
        <w:snapToGrid w:val="0"/>
        <w:spacing w:line="480" w:lineRule="auto"/>
        <w:rPr>
          <w:sz w:val="24"/>
          <w:szCs w:val="24"/>
        </w:rPr>
      </w:pPr>
      <w:r>
        <w:rPr>
          <w:sz w:val="24"/>
          <w:szCs w:val="24"/>
        </w:rPr>
        <w:t>As was recorded as the absorbance of REO. The absorbance of blank solution using distilled water replaced REO was recorded as Ab. An was recorded as the absorbance of control solution in the absence of H</w:t>
      </w:r>
      <w:r>
        <w:rPr>
          <w:sz w:val="24"/>
          <w:szCs w:val="24"/>
          <w:vertAlign w:val="subscript"/>
        </w:rPr>
        <w:t>2</w:t>
      </w:r>
      <w:r>
        <w:rPr>
          <w:sz w:val="24"/>
          <w:szCs w:val="24"/>
        </w:rPr>
        <w:t>O</w:t>
      </w:r>
      <w:r>
        <w:rPr>
          <w:sz w:val="24"/>
          <w:szCs w:val="24"/>
          <w:vertAlign w:val="subscript"/>
        </w:rPr>
        <w:t>2</w:t>
      </w:r>
      <w:r>
        <w:rPr>
          <w:sz w:val="24"/>
          <w:szCs w:val="24"/>
        </w:rPr>
        <w:t>. Experiments were repeated in triplicate.</w:t>
      </w:r>
    </w:p>
    <w:p>
      <w:pPr>
        <w:snapToGrid w:val="0"/>
        <w:spacing w:line="480" w:lineRule="auto"/>
        <w:rPr>
          <w:bCs/>
          <w:i/>
          <w:sz w:val="24"/>
          <w:szCs w:val="24"/>
        </w:rPr>
      </w:pPr>
      <w:r>
        <w:rPr>
          <w:bCs/>
          <w:i/>
          <w:sz w:val="24"/>
          <w:szCs w:val="24"/>
        </w:rPr>
        <w:t>4.4. Superoxide anion radical scavenging activity of Rosemary essential oil</w:t>
      </w:r>
    </w:p>
    <w:p>
      <w:pPr>
        <w:snapToGrid w:val="0"/>
        <w:spacing w:line="480" w:lineRule="auto"/>
        <w:ind w:firstLine="480" w:firstLineChars="200"/>
        <w:rPr>
          <w:sz w:val="24"/>
          <w:szCs w:val="24"/>
        </w:rPr>
      </w:pPr>
      <w:r>
        <w:rPr>
          <w:sz w:val="24"/>
          <w:szCs w:val="24"/>
        </w:rPr>
        <w:t>Superoxide anion radical scavenging ability of REO was assessed using Siddhuraju's previously reported</w:t>
      </w:r>
      <w:r>
        <w:rPr>
          <w:color w:val="0000FF"/>
          <w:sz w:val="24"/>
          <w:szCs w:val="24"/>
        </w:rPr>
        <w:t xml:space="preserve"> </w:t>
      </w:r>
      <w:r>
        <w:rPr>
          <w:sz w:val="24"/>
          <w:szCs w:val="24"/>
        </w:rPr>
        <w:t>method</w:t>
      </w:r>
      <w:r>
        <w:rPr>
          <w:rFonts w:hint="eastAsia"/>
          <w:sz w:val="24"/>
          <w:szCs w:val="24"/>
          <w:lang w:val="en-US" w:eastAsia="zh-CN"/>
        </w:rPr>
        <w:t xml:space="preserve"> [</w:t>
      </w:r>
      <w:r>
        <w:rPr>
          <w:rFonts w:hint="eastAsia" w:cs="Times New Roman"/>
          <w:color w:val="0000FF"/>
          <w:sz w:val="24"/>
          <w:szCs w:val="24"/>
          <w:lang w:val="en-US" w:eastAsia="zh-CN"/>
        </w:rPr>
        <w:t>5</w:t>
      </w:r>
      <w:r>
        <w:rPr>
          <w:rFonts w:hint="eastAsia"/>
          <w:sz w:val="24"/>
          <w:szCs w:val="24"/>
          <w:lang w:val="en-US" w:eastAsia="zh-CN"/>
        </w:rPr>
        <w:t>]</w:t>
      </w:r>
      <w:r>
        <w:rPr>
          <w:sz w:val="24"/>
          <w:szCs w:val="24"/>
        </w:rPr>
        <w:t>. 0.1 M tris-HCl buffer solution (4.5 mL, pH 8.2) was mixed with REO (1mL) at 62.5-1000 μg/mL. These mixtures were combined with 10 mM pyrogallol solution (0.1mL), and left at room temperature for 30 min, then combined with sample immediately, finally the absorbance was detected at 320 nm. Superoxide anion clearance was calculated with the following formula:</w:t>
      </w:r>
    </w:p>
    <w:p>
      <w:pPr>
        <w:snapToGrid w:val="0"/>
        <w:spacing w:before="156" w:beforeLines="50" w:after="156" w:afterLines="50" w:line="480" w:lineRule="auto"/>
        <w:jc w:val="center"/>
        <w:rPr>
          <w:sz w:val="24"/>
          <w:szCs w:val="24"/>
        </w:rPr>
      </w:pPr>
      <w:r>
        <w:rPr>
          <w:position w:val="-14"/>
          <w:sz w:val="24"/>
          <w:szCs w:val="24"/>
        </w:rPr>
        <w:object>
          <v:shape id="_x0000_i1028" o:spt="75" type="#_x0000_t75" style="height:19pt;width:332pt;" o:ole="t" filled="f" o:preferrelative="t" stroked="f" coordsize="21600,21600">
            <v:path/>
            <v:fill on="f" alignshape="1" focussize="0,0"/>
            <v:stroke on="f"/>
            <v:imagedata r:id="rId12" grayscale="f" bilevel="f" o:title=""/>
            <o:lock v:ext="edit" aspectratio="t"/>
            <w10:wrap type="none"/>
            <w10:anchorlock/>
          </v:shape>
          <o:OLEObject Type="Embed" ProgID="Equation.DSMT4" ShapeID="_x0000_i1028" DrawAspect="Content" ObjectID="_1468075728" r:id="rId11">
            <o:LockedField>false</o:LockedField>
          </o:OLEObject>
        </w:object>
      </w:r>
    </w:p>
    <w:p>
      <w:pPr>
        <w:snapToGrid w:val="0"/>
        <w:spacing w:before="156" w:beforeLines="50" w:after="156" w:afterLines="50" w:line="480" w:lineRule="auto"/>
        <w:rPr>
          <w:sz w:val="24"/>
          <w:szCs w:val="24"/>
        </w:rPr>
      </w:pPr>
      <w:r>
        <w:rPr>
          <w:sz w:val="24"/>
          <w:szCs w:val="24"/>
        </w:rPr>
        <w:t>As were recorded as the absorbance of REO. A</w:t>
      </w:r>
      <w:r>
        <w:rPr>
          <w:sz w:val="24"/>
          <w:szCs w:val="24"/>
          <w:vertAlign w:val="subscript"/>
        </w:rPr>
        <w:t>0</w:t>
      </w:r>
      <w:r>
        <w:rPr>
          <w:sz w:val="24"/>
          <w:szCs w:val="24"/>
        </w:rPr>
        <w:t xml:space="preserve"> was recorded as the absorbance of blank control for pyrogallol solution. Experiments were performed in triplicate.</w:t>
      </w:r>
    </w:p>
    <w:p>
      <w:pPr>
        <w:snapToGrid w:val="0"/>
        <w:spacing w:line="480" w:lineRule="auto"/>
        <w:rPr>
          <w:bCs/>
          <w:i/>
          <w:sz w:val="24"/>
          <w:szCs w:val="24"/>
        </w:rPr>
      </w:pPr>
      <w:r>
        <w:rPr>
          <w:bCs/>
          <w:i/>
          <w:sz w:val="24"/>
          <w:szCs w:val="24"/>
        </w:rPr>
        <w:t>5. Cell Culture</w:t>
      </w:r>
    </w:p>
    <w:p>
      <w:pPr>
        <w:snapToGrid w:val="0"/>
        <w:spacing w:before="156" w:beforeLines="50" w:after="156" w:afterLines="50" w:line="480" w:lineRule="auto"/>
        <w:ind w:firstLine="480" w:firstLineChars="200"/>
        <w:rPr>
          <w:sz w:val="24"/>
          <w:szCs w:val="24"/>
        </w:rPr>
      </w:pPr>
      <w:r>
        <w:rPr>
          <w:bCs/>
          <w:sz w:val="24"/>
          <w:szCs w:val="24"/>
        </w:rPr>
        <w:t>A549</w:t>
      </w:r>
      <w:r>
        <w:rPr>
          <w:sz w:val="24"/>
          <w:szCs w:val="24"/>
        </w:rPr>
        <w:t xml:space="preserve"> cells (obtained from Chinese Academy of Sciences, Shanghai, China) were incubated in a humidified atmosphere containing 5% CO</w:t>
      </w:r>
      <w:r>
        <w:rPr>
          <w:sz w:val="24"/>
          <w:szCs w:val="24"/>
          <w:vertAlign w:val="subscript"/>
        </w:rPr>
        <w:t>2</w:t>
      </w:r>
      <w:r>
        <w:rPr>
          <w:sz w:val="24"/>
          <w:szCs w:val="24"/>
        </w:rPr>
        <w:t xml:space="preserve"> at 37°C, with DMEM containing 10% fetal bovine serum, 1% L-glutamine, 1% penicillin and streptomycin. The 3-7 generations of A549 cells were used in </w:t>
      </w:r>
      <w:r>
        <w:rPr>
          <w:rFonts w:hint="eastAsia"/>
          <w:sz w:val="24"/>
          <w:szCs w:val="24"/>
        </w:rPr>
        <w:t>our</w:t>
      </w:r>
      <w:r>
        <w:rPr>
          <w:sz w:val="24"/>
          <w:szCs w:val="24"/>
        </w:rPr>
        <w:t xml:space="preserve"> experiments.</w:t>
      </w:r>
    </w:p>
    <w:p>
      <w:pPr>
        <w:autoSpaceDE w:val="0"/>
        <w:autoSpaceDN w:val="0"/>
        <w:adjustRightInd w:val="0"/>
        <w:snapToGrid w:val="0"/>
        <w:spacing w:line="480" w:lineRule="auto"/>
        <w:rPr>
          <w:bCs/>
          <w:i/>
          <w:sz w:val="24"/>
          <w:szCs w:val="24"/>
        </w:rPr>
      </w:pPr>
      <w:r>
        <w:rPr>
          <w:bCs/>
          <w:i/>
          <w:sz w:val="24"/>
          <w:szCs w:val="24"/>
        </w:rPr>
        <w:t>6. MTT assay</w:t>
      </w:r>
    </w:p>
    <w:p>
      <w:pPr>
        <w:snapToGrid w:val="0"/>
        <w:spacing w:line="480" w:lineRule="auto"/>
        <w:ind w:firstLine="480" w:firstLineChars="200"/>
        <w:rPr>
          <w:sz w:val="24"/>
          <w:szCs w:val="24"/>
        </w:rPr>
      </w:pPr>
      <w:r>
        <w:rPr>
          <w:sz w:val="24"/>
          <w:szCs w:val="24"/>
        </w:rPr>
        <w:t>A549 cells were seeded in 96-well plates at 2×10</w:t>
      </w:r>
      <w:r>
        <w:rPr>
          <w:sz w:val="24"/>
          <w:szCs w:val="24"/>
          <w:vertAlign w:val="superscript"/>
        </w:rPr>
        <w:t>4</w:t>
      </w:r>
      <w:r>
        <w:rPr>
          <w:sz w:val="24"/>
          <w:szCs w:val="24"/>
        </w:rPr>
        <w:t xml:space="preserve"> cells/well overnight at 37 °C. Then cells incubated with REO (12.5, 25, 50</w:t>
      </w:r>
      <w:r>
        <w:rPr>
          <w:rFonts w:hint="eastAsia"/>
          <w:sz w:val="24"/>
          <w:szCs w:val="24"/>
        </w:rPr>
        <w:t>, 100</w:t>
      </w:r>
      <w:r>
        <w:rPr>
          <w:sz w:val="24"/>
          <w:szCs w:val="24"/>
        </w:rPr>
        <w:t xml:space="preserve"> μg/mL) for 24 h, with stimulation of H</w:t>
      </w:r>
      <w:r>
        <w:rPr>
          <w:sz w:val="24"/>
          <w:szCs w:val="24"/>
          <w:vertAlign w:val="subscript"/>
        </w:rPr>
        <w:t>2</w:t>
      </w:r>
      <w:r>
        <w:rPr>
          <w:sz w:val="24"/>
          <w:szCs w:val="24"/>
        </w:rPr>
        <w:t>O</w:t>
      </w:r>
      <w:r>
        <w:rPr>
          <w:sz w:val="24"/>
          <w:szCs w:val="24"/>
          <w:vertAlign w:val="subscript"/>
        </w:rPr>
        <w:t xml:space="preserve">2 </w:t>
      </w:r>
      <w:r>
        <w:rPr>
          <w:sz w:val="24"/>
          <w:szCs w:val="24"/>
        </w:rPr>
        <w:t>(100 μM) for another 4 h. Then, 5 mg/mL MTT (20μL) was added and incubated for another 4 h at 37°C. After that, the supernatant was substituted with 150 μL DMSO, and then the absorbance was read at 570 nm. Nrf2 activator Oltipraz was used as the positive standard (POS). Relative cell viability was expressed as a percentage compared to control. Experiment were performed in triplicate.</w:t>
      </w:r>
    </w:p>
    <w:p>
      <w:pPr>
        <w:snapToGrid w:val="0"/>
        <w:spacing w:line="480" w:lineRule="auto"/>
        <w:rPr>
          <w:bCs/>
          <w:i/>
          <w:iCs/>
          <w:sz w:val="24"/>
          <w:szCs w:val="24"/>
        </w:rPr>
      </w:pPr>
      <w:r>
        <w:rPr>
          <w:bCs/>
          <w:i/>
          <w:sz w:val="24"/>
          <w:szCs w:val="24"/>
        </w:rPr>
        <w:t>7. ROS Scavenging Activity</w:t>
      </w:r>
      <w:r>
        <w:rPr>
          <w:bCs/>
          <w:i/>
          <w:iCs/>
          <w:sz w:val="24"/>
          <w:szCs w:val="24"/>
        </w:rPr>
        <w:t xml:space="preserve"> of </w:t>
      </w:r>
      <w:r>
        <w:rPr>
          <w:bCs/>
          <w:i/>
          <w:sz w:val="24"/>
          <w:szCs w:val="24"/>
        </w:rPr>
        <w:t>Rosemary essential oil</w:t>
      </w:r>
      <w:r>
        <w:rPr>
          <w:bCs/>
          <w:i/>
          <w:iCs/>
          <w:sz w:val="24"/>
          <w:szCs w:val="24"/>
        </w:rPr>
        <w:t xml:space="preserve"> in vitro</w:t>
      </w:r>
    </w:p>
    <w:p>
      <w:pPr>
        <w:snapToGrid w:val="0"/>
        <w:spacing w:line="480" w:lineRule="auto"/>
        <w:ind w:firstLine="480" w:firstLineChars="200"/>
        <w:rPr>
          <w:sz w:val="24"/>
          <w:szCs w:val="24"/>
        </w:rPr>
      </w:pPr>
      <w:r>
        <w:rPr>
          <w:sz w:val="24"/>
          <w:szCs w:val="24"/>
        </w:rPr>
        <w:t>A549 cells were seeded in 96-well plates with 2×10</w:t>
      </w:r>
      <w:r>
        <w:rPr>
          <w:sz w:val="24"/>
          <w:szCs w:val="24"/>
          <w:vertAlign w:val="superscript"/>
        </w:rPr>
        <w:t>4</w:t>
      </w:r>
      <w:r>
        <w:rPr>
          <w:sz w:val="24"/>
          <w:szCs w:val="24"/>
        </w:rPr>
        <w:t xml:space="preserve"> cells/well for 24h, and treated with H</w:t>
      </w:r>
      <w:r>
        <w:rPr>
          <w:sz w:val="24"/>
          <w:szCs w:val="24"/>
          <w:vertAlign w:val="subscript"/>
        </w:rPr>
        <w:t>2</w:t>
      </w:r>
      <w:r>
        <w:rPr>
          <w:sz w:val="24"/>
          <w:szCs w:val="24"/>
        </w:rPr>
        <w:t>O</w:t>
      </w:r>
      <w:r>
        <w:rPr>
          <w:sz w:val="24"/>
          <w:szCs w:val="24"/>
          <w:vertAlign w:val="subscript"/>
        </w:rPr>
        <w:t xml:space="preserve">2 </w:t>
      </w:r>
      <w:r>
        <w:rPr>
          <w:sz w:val="24"/>
          <w:szCs w:val="24"/>
        </w:rPr>
        <w:t xml:space="preserve">(100 μM) and REO (12.5, 25, 50 μg/mL) with the same procedure as described </w:t>
      </w:r>
      <w:r>
        <w:rPr>
          <w:rFonts w:hint="eastAsia"/>
          <w:sz w:val="24"/>
          <w:szCs w:val="24"/>
        </w:rPr>
        <w:t>above</w:t>
      </w:r>
      <w:r>
        <w:rPr>
          <w:sz w:val="24"/>
          <w:szCs w:val="24"/>
        </w:rPr>
        <w:t>. Then, the cells supernatant was removed, and incubated with 10 μM DCFH-DA (100 μL) in the dark for 30 min. Then cells were washed with PBS twice, and the fluorescence intensity was recorded at an emission wavelength of 525 nm and an excitation wavelength of 488 nm. Meanwhile, cells were photographed under a fluorescence microscope (Leica DMIL LED, Germany).</w:t>
      </w:r>
    </w:p>
    <w:p>
      <w:pPr>
        <w:autoSpaceDE w:val="0"/>
        <w:autoSpaceDN w:val="0"/>
        <w:adjustRightInd w:val="0"/>
        <w:snapToGrid w:val="0"/>
        <w:spacing w:line="480" w:lineRule="auto"/>
        <w:rPr>
          <w:bCs/>
          <w:i/>
          <w:iCs/>
          <w:sz w:val="24"/>
          <w:szCs w:val="24"/>
        </w:rPr>
      </w:pPr>
      <w:r>
        <w:rPr>
          <w:bCs/>
          <w:i/>
          <w:sz w:val="24"/>
          <w:szCs w:val="24"/>
        </w:rPr>
        <w:t xml:space="preserve">8. Assessment of enzymatic and non-enzymatic antioxidant parameters </w:t>
      </w:r>
      <w:r>
        <w:rPr>
          <w:bCs/>
          <w:i/>
          <w:iCs/>
          <w:sz w:val="24"/>
          <w:szCs w:val="24"/>
        </w:rPr>
        <w:t>in vitro</w:t>
      </w:r>
    </w:p>
    <w:p>
      <w:pPr>
        <w:autoSpaceDE w:val="0"/>
        <w:autoSpaceDN w:val="0"/>
        <w:adjustRightInd w:val="0"/>
        <w:snapToGrid w:val="0"/>
        <w:spacing w:line="480" w:lineRule="auto"/>
        <w:ind w:firstLine="480" w:firstLineChars="200"/>
        <w:rPr>
          <w:sz w:val="24"/>
          <w:szCs w:val="24"/>
        </w:rPr>
      </w:pPr>
      <w:r>
        <w:rPr>
          <w:sz w:val="24"/>
          <w:szCs w:val="24"/>
        </w:rPr>
        <w:t>A549 cells were seeded into a six-well plate at 1×10</w:t>
      </w:r>
      <w:r>
        <w:rPr>
          <w:sz w:val="24"/>
          <w:szCs w:val="24"/>
          <w:vertAlign w:val="superscript"/>
        </w:rPr>
        <w:t>6</w:t>
      </w:r>
      <w:r>
        <w:rPr>
          <w:sz w:val="24"/>
          <w:szCs w:val="24"/>
        </w:rPr>
        <w:t xml:space="preserve"> cells/well overnight. Subsequently, cells were incubated with REO for 24 h, with the stimulation of H</w:t>
      </w:r>
      <w:r>
        <w:rPr>
          <w:sz w:val="24"/>
          <w:szCs w:val="24"/>
          <w:vertAlign w:val="subscript"/>
        </w:rPr>
        <w:t>2</w:t>
      </w:r>
      <w:r>
        <w:rPr>
          <w:sz w:val="24"/>
          <w:szCs w:val="24"/>
        </w:rPr>
        <w:t>O</w:t>
      </w:r>
      <w:r>
        <w:rPr>
          <w:sz w:val="24"/>
          <w:szCs w:val="24"/>
          <w:vertAlign w:val="subscript"/>
        </w:rPr>
        <w:t xml:space="preserve">2 </w:t>
      </w:r>
      <w:r>
        <w:rPr>
          <w:sz w:val="24"/>
          <w:szCs w:val="24"/>
        </w:rPr>
        <w:t>(100 μM) for another 4 h. Then cells were</w:t>
      </w:r>
      <w:bookmarkStart w:id="2" w:name="_Hlk55246091"/>
      <w:r>
        <w:rPr>
          <w:sz w:val="24"/>
          <w:szCs w:val="24"/>
        </w:rPr>
        <w:t xml:space="preserve"> collected and </w:t>
      </w:r>
      <w:bookmarkEnd w:id="2"/>
      <w:r>
        <w:rPr>
          <w:sz w:val="24"/>
          <w:szCs w:val="24"/>
        </w:rPr>
        <w:t>homogenated to measure the content of MDA, SOD, GSH and glutathione disulfide (GSSG), by commercially available kits according to the manufacturer’s instruction (Beyotime Biotechnology</w:t>
      </w:r>
      <w:r>
        <w:rPr>
          <w:rFonts w:hint="eastAsia"/>
          <w:sz w:val="24"/>
          <w:szCs w:val="24"/>
        </w:rPr>
        <w:t xml:space="preserve">, </w:t>
      </w:r>
      <w:r>
        <w:rPr>
          <w:sz w:val="24"/>
          <w:szCs w:val="24"/>
        </w:rPr>
        <w:t>Shanghai, China).</w:t>
      </w:r>
    </w:p>
    <w:p>
      <w:pPr>
        <w:autoSpaceDE w:val="0"/>
        <w:autoSpaceDN w:val="0"/>
        <w:adjustRightInd w:val="0"/>
        <w:snapToGrid w:val="0"/>
        <w:spacing w:line="480" w:lineRule="auto"/>
        <w:rPr>
          <w:bCs/>
          <w:i/>
          <w:sz w:val="24"/>
          <w:szCs w:val="24"/>
        </w:rPr>
      </w:pPr>
      <w:r>
        <w:rPr>
          <w:bCs/>
          <w:i/>
          <w:sz w:val="24"/>
          <w:szCs w:val="24"/>
        </w:rPr>
        <w:t xml:space="preserve">9. </w:t>
      </w:r>
      <w:r>
        <w:rPr>
          <w:bCs/>
          <w:i/>
          <w:color w:val="000000"/>
          <w:sz w:val="24"/>
          <w:szCs w:val="24"/>
        </w:rPr>
        <w:t>Western Blot Analysis</w:t>
      </w:r>
      <w:r>
        <w:rPr>
          <w:bCs/>
          <w:i/>
          <w:color w:val="000000"/>
          <w:szCs w:val="24"/>
        </w:rPr>
        <w:t xml:space="preserve"> </w:t>
      </w:r>
    </w:p>
    <w:p>
      <w:pPr>
        <w:snapToGrid w:val="0"/>
        <w:spacing w:line="480" w:lineRule="auto"/>
        <w:ind w:firstLine="480" w:firstLineChars="200"/>
        <w:rPr>
          <w:sz w:val="24"/>
          <w:szCs w:val="24"/>
        </w:rPr>
      </w:pPr>
      <w:r>
        <w:rPr>
          <w:sz w:val="24"/>
          <w:szCs w:val="24"/>
        </w:rPr>
        <w:t>A549 cells</w:t>
      </w:r>
      <w:r>
        <w:rPr>
          <w:kern w:val="0"/>
          <w:sz w:val="24"/>
          <w:szCs w:val="24"/>
        </w:rPr>
        <w:t xml:space="preserve"> were seeded into a six-well plate and operated similarly as described above.</w:t>
      </w:r>
      <w:r>
        <w:rPr>
          <w:sz w:val="24"/>
          <w:szCs w:val="24"/>
        </w:rPr>
        <w:t xml:space="preserve"> Protein concentration was determined by BCA assay after cells were lysed with RIPA buffer at 4°C for 30 min. An equal quantity of protein was </w:t>
      </w:r>
      <w:r>
        <w:rPr>
          <w:rFonts w:hint="eastAsia"/>
          <w:sz w:val="24"/>
          <w:szCs w:val="24"/>
        </w:rPr>
        <w:t>load</w:t>
      </w:r>
      <w:r>
        <w:rPr>
          <w:sz w:val="24"/>
          <w:szCs w:val="24"/>
        </w:rPr>
        <w:t>ed in SDS-PAGE gels and transferred onto a PVDF membrane. Incubated with different primary antibodies overnight a</w:t>
      </w:r>
      <w:r>
        <w:rPr>
          <w:kern w:val="0"/>
          <w:sz w:val="24"/>
          <w:szCs w:val="24"/>
        </w:rPr>
        <w:t>fter blocking with 5% fat-free milk for 30 min,</w:t>
      </w:r>
      <w:r>
        <w:rPr>
          <w:sz w:val="24"/>
          <w:szCs w:val="24"/>
        </w:rPr>
        <w:t xml:space="preserve"> followed by HRP-conjugated secondary antibody incubation for another 1h, respectively. The protein bands were </w:t>
      </w:r>
      <w:r>
        <w:rPr>
          <w:kern w:val="0"/>
          <w:sz w:val="24"/>
          <w:szCs w:val="24"/>
        </w:rPr>
        <w:t>visualised by</w:t>
      </w:r>
      <w:r>
        <w:rPr>
          <w:sz w:val="24"/>
          <w:szCs w:val="24"/>
        </w:rPr>
        <w:t xml:space="preserve"> </w:t>
      </w:r>
      <w:r>
        <w:rPr>
          <w:kern w:val="0"/>
          <w:sz w:val="24"/>
          <w:szCs w:val="24"/>
        </w:rPr>
        <w:t>electrochemiluminescence</w:t>
      </w:r>
      <w:r>
        <w:rPr>
          <w:sz w:val="24"/>
          <w:szCs w:val="24"/>
        </w:rPr>
        <w:t xml:space="preserve"> (ECL) kit with Bio-Rad ChemiDoc™ imaging systems.</w:t>
      </w:r>
    </w:p>
    <w:p>
      <w:pPr>
        <w:autoSpaceDE w:val="0"/>
        <w:autoSpaceDN w:val="0"/>
        <w:adjustRightInd w:val="0"/>
        <w:snapToGrid w:val="0"/>
        <w:spacing w:line="480" w:lineRule="auto"/>
        <w:rPr>
          <w:i/>
          <w:sz w:val="24"/>
          <w:szCs w:val="24"/>
        </w:rPr>
      </w:pPr>
      <w:r>
        <w:rPr>
          <w:bCs/>
          <w:i/>
          <w:sz w:val="24"/>
          <w:szCs w:val="24"/>
        </w:rPr>
        <w:t xml:space="preserve">10. Molecular docking </w:t>
      </w:r>
    </w:p>
    <w:p>
      <w:pPr>
        <w:snapToGrid w:val="0"/>
        <w:spacing w:line="480" w:lineRule="auto"/>
        <w:ind w:firstLine="480" w:firstLineChars="200"/>
        <w:rPr>
          <w:sz w:val="24"/>
          <w:szCs w:val="24"/>
        </w:rPr>
      </w:pPr>
      <w:r>
        <w:rPr>
          <w:sz w:val="24"/>
          <w:szCs w:val="24"/>
        </w:rPr>
        <w:t xml:space="preserve">The 3D structure of 1,8-cineole (CAS: 406-82-6) was downloaded from chemspider database for molecular simulation. The 3D structure of the Kelch domain of KEAP1 (PDB ID: 4IQK) were downloaded from Protein Data Bank. The process of molecular docking was simulated using AutoDock Vina. The ligand and receptor files were converted to PDBQT format, with the insertion of polar hydrogen atoms and the removal of water molecules. Finally, all figures were visualized using PYMOL and Schrödinger molecular modeling software, and the docking scores were recorded as </w:t>
      </w:r>
      <w:r>
        <w:rPr>
          <w:rFonts w:hint="eastAsia"/>
          <w:sz w:val="24"/>
          <w:szCs w:val="24"/>
        </w:rPr>
        <w:t>Gibbs free binding energy</w:t>
      </w:r>
      <w:r>
        <w:rPr>
          <w:sz w:val="24"/>
          <w:szCs w:val="24"/>
        </w:rPr>
        <w:t xml:space="preserve"> (ΔG)</w:t>
      </w:r>
      <w:r>
        <w:rPr>
          <w:rFonts w:hint="eastAsia"/>
          <w:sz w:val="24"/>
          <w:szCs w:val="24"/>
          <w:lang w:val="en-US" w:eastAsia="zh-CN"/>
        </w:rPr>
        <w:t xml:space="preserve"> [</w:t>
      </w:r>
      <w:r>
        <w:rPr>
          <w:rFonts w:hint="eastAsia" w:cs="Times New Roman"/>
          <w:color w:val="0000FF"/>
          <w:sz w:val="24"/>
          <w:szCs w:val="24"/>
          <w:lang w:val="en-US" w:eastAsia="zh-CN"/>
        </w:rPr>
        <w:t>6</w:t>
      </w:r>
      <w:r>
        <w:rPr>
          <w:rFonts w:hint="eastAsia"/>
          <w:sz w:val="24"/>
          <w:szCs w:val="24"/>
          <w:lang w:val="en-US" w:eastAsia="zh-CN"/>
        </w:rPr>
        <w:t>]</w:t>
      </w:r>
      <w:r>
        <w:rPr>
          <w:sz w:val="24"/>
          <w:szCs w:val="24"/>
        </w:rPr>
        <w:t>.</w:t>
      </w:r>
    </w:p>
    <w:p>
      <w:pPr>
        <w:autoSpaceDE w:val="0"/>
        <w:autoSpaceDN w:val="0"/>
        <w:adjustRightInd w:val="0"/>
        <w:snapToGrid w:val="0"/>
        <w:spacing w:line="480" w:lineRule="auto"/>
        <w:rPr>
          <w:bCs/>
          <w:i/>
          <w:sz w:val="24"/>
          <w:szCs w:val="24"/>
        </w:rPr>
      </w:pPr>
      <w:r>
        <w:rPr>
          <w:bCs/>
          <w:i/>
          <w:sz w:val="24"/>
          <w:szCs w:val="24"/>
        </w:rPr>
        <w:t xml:space="preserve">11. Statistical Analysis </w:t>
      </w:r>
    </w:p>
    <w:p>
      <w:pPr>
        <w:autoSpaceDE w:val="0"/>
        <w:autoSpaceDN w:val="0"/>
        <w:adjustRightInd w:val="0"/>
        <w:snapToGrid w:val="0"/>
        <w:spacing w:line="480" w:lineRule="auto"/>
        <w:ind w:firstLine="480" w:firstLineChars="200"/>
        <w:rPr>
          <w:sz w:val="24"/>
          <w:szCs w:val="24"/>
        </w:rPr>
      </w:pPr>
      <w:r>
        <w:rPr>
          <w:sz w:val="24"/>
          <w:szCs w:val="24"/>
        </w:rPr>
        <w:t>Quantitative data were expressed as Mean ± SEM. Statistical comparison was performed by one-way analysis of variance followed by Tukey’s test using SPSS 20.0. Statistical tests were considered statistically significant with</w:t>
      </w:r>
      <w:r>
        <w:rPr>
          <w:i/>
          <w:iCs/>
          <w:sz w:val="24"/>
          <w:szCs w:val="24"/>
        </w:rPr>
        <w:t xml:space="preserve"> p</w:t>
      </w:r>
      <w:r>
        <w:rPr>
          <w:sz w:val="24"/>
          <w:szCs w:val="24"/>
        </w:rPr>
        <w:t xml:space="preserve"> &lt; 0.05.</w:t>
      </w:r>
    </w:p>
    <w:p>
      <w:pPr>
        <w:rPr>
          <w:b/>
          <w:bCs/>
          <w:sz w:val="24"/>
          <w:szCs w:val="24"/>
        </w:rPr>
      </w:pPr>
      <w:r>
        <w:rPr>
          <w:rFonts w:hint="eastAsia"/>
          <w:b/>
          <w:bCs/>
          <w:sz w:val="24"/>
          <w:szCs w:val="24"/>
        </w:rPr>
        <w:t>Figure S1.</w:t>
      </w:r>
    </w:p>
    <w:p>
      <w:pPr>
        <w:snapToGrid w:val="0"/>
        <w:spacing w:line="480" w:lineRule="auto"/>
        <w:jc w:val="center"/>
        <w:rPr>
          <w:b/>
          <w:szCs w:val="21"/>
        </w:rPr>
      </w:pPr>
      <w:r>
        <w:rPr>
          <w:b/>
          <w:szCs w:val="21"/>
        </w:rPr>
        <w:drawing>
          <wp:inline distT="0" distB="0" distL="114300" distR="114300">
            <wp:extent cx="3618230" cy="1688465"/>
            <wp:effectExtent l="0" t="0" r="1270" b="6985"/>
            <wp:docPr id="1" name="图片 5" descr="迷迭香 精油 G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迷迭香 精油 GC"/>
                    <pic:cNvPicPr>
                      <a:picLocks noChangeAspect="1"/>
                    </pic:cNvPicPr>
                  </pic:nvPicPr>
                  <pic:blipFill>
                    <a:blip r:embed="rId13"/>
                    <a:stretch>
                      <a:fillRect/>
                    </a:stretch>
                  </pic:blipFill>
                  <pic:spPr>
                    <a:xfrm>
                      <a:off x="0" y="0"/>
                      <a:ext cx="3618230" cy="1688465"/>
                    </a:xfrm>
                    <a:prstGeom prst="rect">
                      <a:avLst/>
                    </a:prstGeom>
                    <a:noFill/>
                    <a:ln>
                      <a:noFill/>
                    </a:ln>
                  </pic:spPr>
                </pic:pic>
              </a:graphicData>
            </a:graphic>
          </wp:inline>
        </w:drawing>
      </w:r>
    </w:p>
    <w:p>
      <w:pPr>
        <w:snapToGrid w:val="0"/>
        <w:spacing w:line="480" w:lineRule="auto"/>
        <w:ind w:firstLine="361" w:firstLineChars="200"/>
        <w:jc w:val="center"/>
        <w:rPr>
          <w:rFonts w:hint="eastAsia"/>
          <w:sz w:val="18"/>
          <w:szCs w:val="18"/>
        </w:rPr>
      </w:pPr>
      <w:r>
        <w:rPr>
          <w:b/>
          <w:sz w:val="18"/>
          <w:szCs w:val="18"/>
        </w:rPr>
        <w:t xml:space="preserve">Figure </w:t>
      </w:r>
      <w:r>
        <w:rPr>
          <w:rFonts w:hint="eastAsia"/>
          <w:b/>
          <w:sz w:val="18"/>
          <w:szCs w:val="18"/>
          <w:lang w:val="en-US" w:eastAsia="zh-CN"/>
        </w:rPr>
        <w:t>S</w:t>
      </w:r>
      <w:r>
        <w:rPr>
          <w:b/>
          <w:sz w:val="18"/>
          <w:szCs w:val="18"/>
        </w:rPr>
        <w:t xml:space="preserve">1. </w:t>
      </w:r>
      <w:r>
        <w:rPr>
          <w:sz w:val="18"/>
          <w:szCs w:val="18"/>
        </w:rPr>
        <w:t xml:space="preserve">GC-MS analysis of </w:t>
      </w:r>
      <w:r>
        <w:rPr>
          <w:i/>
          <w:sz w:val="18"/>
          <w:szCs w:val="18"/>
        </w:rPr>
        <w:t>Rosmarinus officinalis</w:t>
      </w:r>
      <w:r>
        <w:rPr>
          <w:sz w:val="18"/>
          <w:szCs w:val="18"/>
        </w:rPr>
        <w:t xml:space="preserve"> L. essential oil</w:t>
      </w:r>
      <w:r>
        <w:rPr>
          <w:rFonts w:hint="eastAsia"/>
          <w:sz w:val="18"/>
          <w:szCs w:val="18"/>
        </w:rPr>
        <w:t xml:space="preserve"> (R</w:t>
      </w:r>
      <w:r>
        <w:rPr>
          <w:sz w:val="18"/>
          <w:szCs w:val="18"/>
        </w:rPr>
        <w:t>EO</w:t>
      </w:r>
      <w:r>
        <w:rPr>
          <w:rFonts w:hint="eastAsia"/>
          <w:sz w:val="18"/>
          <w:szCs w:val="18"/>
        </w:rPr>
        <w:t>)</w:t>
      </w:r>
    </w:p>
    <w:p>
      <w:pPr>
        <w:rPr>
          <w:rFonts w:hint="eastAsia"/>
          <w:sz w:val="18"/>
          <w:szCs w:val="18"/>
          <w:lang w:val="en-US" w:eastAsia="zh-CN"/>
        </w:rPr>
      </w:pPr>
      <w:r>
        <w:rPr>
          <w:rFonts w:hint="eastAsia"/>
          <w:b/>
          <w:bCs/>
          <w:sz w:val="24"/>
          <w:szCs w:val="24"/>
        </w:rPr>
        <w:t>Figure S</w:t>
      </w:r>
      <w:r>
        <w:rPr>
          <w:rFonts w:hint="eastAsia"/>
          <w:b/>
          <w:bCs/>
          <w:sz w:val="24"/>
          <w:szCs w:val="24"/>
          <w:lang w:val="en-US" w:eastAsia="zh-CN"/>
        </w:rPr>
        <w:t>2</w:t>
      </w:r>
      <w:r>
        <w:rPr>
          <w:rFonts w:hint="eastAsia"/>
          <w:b/>
          <w:bCs/>
          <w:sz w:val="24"/>
          <w:szCs w:val="24"/>
        </w:rPr>
        <w:t>.</w:t>
      </w:r>
      <w:r>
        <w:rPr>
          <w:rFonts w:hint="eastAsia"/>
          <w:b/>
          <w:bCs/>
          <w:sz w:val="24"/>
          <w:szCs w:val="24"/>
          <w:lang w:val="en-US" w:eastAsia="zh-CN"/>
        </w:rPr>
        <w:t xml:space="preserve"> </w:t>
      </w:r>
      <w:r>
        <w:rPr>
          <w:rFonts w:hint="eastAsia"/>
          <w:sz w:val="18"/>
          <w:szCs w:val="18"/>
          <w:lang w:val="en-US" w:eastAsia="zh-CN"/>
        </w:rPr>
        <w:t>T</w:t>
      </w:r>
      <w:r>
        <w:rPr>
          <w:rFonts w:hint="eastAsia"/>
          <w:sz w:val="18"/>
          <w:szCs w:val="18"/>
        </w:rPr>
        <w:t>he full uncropped Gels and Blots image</w:t>
      </w:r>
      <w:r>
        <w:rPr>
          <w:rFonts w:hint="eastAsia"/>
          <w:sz w:val="18"/>
          <w:szCs w:val="18"/>
          <w:lang w:val="en-US" w:eastAsia="zh-CN"/>
        </w:rPr>
        <w:t xml:space="preserve"> of Nrf2.</w:t>
      </w:r>
    </w:p>
    <w:p>
      <w:pPr>
        <w:rPr>
          <w:rFonts w:hint="eastAsia"/>
          <w:sz w:val="18"/>
          <w:szCs w:val="18"/>
          <w:lang w:val="en-US" w:eastAsia="zh-CN"/>
        </w:rPr>
      </w:pPr>
      <w:r>
        <w:rPr>
          <w:rFonts w:hint="eastAsia"/>
          <w:sz w:val="18"/>
          <w:szCs w:val="18"/>
          <w:lang w:val="en-US" w:eastAsia="zh-CN"/>
        </w:rPr>
        <w:drawing>
          <wp:inline distT="0" distB="0" distL="114300" distR="114300">
            <wp:extent cx="3420110" cy="1269365"/>
            <wp:effectExtent l="0" t="0" r="0" b="0"/>
            <wp:docPr id="2" name="图片 2" descr="Nrf2____Administrator 2020-10-19 21 时 16 分_Exposure_33.8s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Nrf2____Administrator 2020-10-19 21 时 16 分_Exposure_33.8sec"/>
                    <pic:cNvPicPr>
                      <a:picLocks noChangeAspect="1"/>
                    </pic:cNvPicPr>
                  </pic:nvPicPr>
                  <pic:blipFill>
                    <a:blip r:embed="rId14"/>
                    <a:srcRect t="15465" b="34833"/>
                    <a:stretch>
                      <a:fillRect/>
                    </a:stretch>
                  </pic:blipFill>
                  <pic:spPr>
                    <a:xfrm>
                      <a:off x="0" y="0"/>
                      <a:ext cx="3420110" cy="1269365"/>
                    </a:xfrm>
                    <a:prstGeom prst="rect">
                      <a:avLst/>
                    </a:prstGeom>
                  </pic:spPr>
                </pic:pic>
              </a:graphicData>
            </a:graphic>
          </wp:inline>
        </w:drawing>
      </w:r>
    </w:p>
    <w:p>
      <w:pPr>
        <w:rPr>
          <w:rFonts w:hint="eastAsia"/>
          <w:sz w:val="18"/>
          <w:szCs w:val="18"/>
          <w:lang w:val="en-US" w:eastAsia="zh-CN"/>
        </w:rPr>
      </w:pPr>
      <w:r>
        <w:rPr>
          <w:rFonts w:hint="eastAsia"/>
          <w:b/>
          <w:bCs/>
          <w:sz w:val="24"/>
          <w:szCs w:val="24"/>
        </w:rPr>
        <w:t>Figure S</w:t>
      </w:r>
      <w:r>
        <w:rPr>
          <w:rFonts w:hint="eastAsia"/>
          <w:b/>
          <w:bCs/>
          <w:sz w:val="24"/>
          <w:szCs w:val="24"/>
          <w:lang w:val="en-US" w:eastAsia="zh-CN"/>
        </w:rPr>
        <w:t>3</w:t>
      </w:r>
      <w:r>
        <w:rPr>
          <w:rFonts w:hint="eastAsia"/>
          <w:b/>
          <w:bCs/>
          <w:sz w:val="24"/>
          <w:szCs w:val="24"/>
        </w:rPr>
        <w:t>.</w:t>
      </w:r>
      <w:r>
        <w:rPr>
          <w:rFonts w:hint="eastAsia"/>
          <w:b/>
          <w:bCs/>
          <w:sz w:val="24"/>
          <w:szCs w:val="24"/>
          <w:lang w:val="en-US" w:eastAsia="zh-CN"/>
        </w:rPr>
        <w:t xml:space="preserve"> </w:t>
      </w:r>
      <w:r>
        <w:rPr>
          <w:rFonts w:hint="eastAsia"/>
          <w:sz w:val="18"/>
          <w:szCs w:val="18"/>
          <w:lang w:val="en-US" w:eastAsia="zh-CN"/>
        </w:rPr>
        <w:t>T</w:t>
      </w:r>
      <w:r>
        <w:rPr>
          <w:rFonts w:hint="eastAsia"/>
          <w:sz w:val="18"/>
          <w:szCs w:val="18"/>
        </w:rPr>
        <w:t>he full uncropped Gels and Blots image</w:t>
      </w:r>
      <w:r>
        <w:rPr>
          <w:rFonts w:hint="eastAsia"/>
          <w:sz w:val="18"/>
          <w:szCs w:val="18"/>
          <w:lang w:val="en-US" w:eastAsia="zh-CN"/>
        </w:rPr>
        <w:t xml:space="preserve"> of NQO1.</w:t>
      </w:r>
    </w:p>
    <w:p>
      <w:pPr>
        <w:rPr>
          <w:rFonts w:hint="eastAsia"/>
          <w:sz w:val="18"/>
          <w:szCs w:val="18"/>
          <w:lang w:val="en-US" w:eastAsia="zh-CN"/>
        </w:rPr>
      </w:pPr>
      <w:r>
        <w:rPr>
          <w:rFonts w:hint="eastAsia"/>
          <w:sz w:val="18"/>
          <w:szCs w:val="18"/>
          <w:lang w:val="en-US" w:eastAsia="zh-CN"/>
        </w:rPr>
        <w:drawing>
          <wp:inline distT="0" distB="0" distL="114300" distR="114300">
            <wp:extent cx="3420110" cy="1191260"/>
            <wp:effectExtent l="0" t="0" r="0" b="0"/>
            <wp:docPr id="3" name="图片 3" descr="NQO1___Administrator 2020-10-19 20 时 50 分_Exposure_5.0s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NQO1___Administrator 2020-10-19 20 时 50 分_Exposure_5.0sec"/>
                    <pic:cNvPicPr>
                      <a:picLocks noChangeAspect="1"/>
                    </pic:cNvPicPr>
                  </pic:nvPicPr>
                  <pic:blipFill>
                    <a:blip r:embed="rId15"/>
                    <a:srcRect t="28344" b="25012"/>
                    <a:stretch>
                      <a:fillRect/>
                    </a:stretch>
                  </pic:blipFill>
                  <pic:spPr>
                    <a:xfrm>
                      <a:off x="0" y="0"/>
                      <a:ext cx="3420110" cy="1191260"/>
                    </a:xfrm>
                    <a:prstGeom prst="rect">
                      <a:avLst/>
                    </a:prstGeom>
                  </pic:spPr>
                </pic:pic>
              </a:graphicData>
            </a:graphic>
          </wp:inline>
        </w:drawing>
      </w:r>
    </w:p>
    <w:p>
      <w:pPr>
        <w:rPr>
          <w:rFonts w:hint="eastAsia"/>
          <w:sz w:val="18"/>
          <w:szCs w:val="18"/>
          <w:lang w:val="en-US" w:eastAsia="zh-CN"/>
        </w:rPr>
      </w:pPr>
      <w:r>
        <w:rPr>
          <w:rFonts w:hint="eastAsia"/>
          <w:b/>
          <w:bCs/>
          <w:sz w:val="24"/>
          <w:szCs w:val="24"/>
        </w:rPr>
        <w:t>Figure S</w:t>
      </w:r>
      <w:r>
        <w:rPr>
          <w:rFonts w:hint="eastAsia"/>
          <w:b/>
          <w:bCs/>
          <w:sz w:val="24"/>
          <w:szCs w:val="24"/>
          <w:lang w:val="en-US" w:eastAsia="zh-CN"/>
        </w:rPr>
        <w:t>4</w:t>
      </w:r>
      <w:r>
        <w:rPr>
          <w:rFonts w:hint="eastAsia"/>
          <w:b/>
          <w:bCs/>
          <w:sz w:val="24"/>
          <w:szCs w:val="24"/>
        </w:rPr>
        <w:t>.</w:t>
      </w:r>
      <w:r>
        <w:rPr>
          <w:rFonts w:hint="eastAsia"/>
          <w:b/>
          <w:bCs/>
          <w:sz w:val="24"/>
          <w:szCs w:val="24"/>
          <w:lang w:val="en-US" w:eastAsia="zh-CN"/>
        </w:rPr>
        <w:t xml:space="preserve"> </w:t>
      </w:r>
      <w:r>
        <w:rPr>
          <w:rFonts w:hint="eastAsia"/>
          <w:sz w:val="18"/>
          <w:szCs w:val="18"/>
          <w:lang w:val="en-US" w:eastAsia="zh-CN"/>
        </w:rPr>
        <w:t>T</w:t>
      </w:r>
      <w:r>
        <w:rPr>
          <w:rFonts w:hint="eastAsia"/>
          <w:sz w:val="18"/>
          <w:szCs w:val="18"/>
        </w:rPr>
        <w:t>he full uncropped Gels and Blots image</w:t>
      </w:r>
      <w:r>
        <w:rPr>
          <w:rFonts w:hint="eastAsia"/>
          <w:sz w:val="18"/>
          <w:szCs w:val="18"/>
          <w:lang w:val="en-US" w:eastAsia="zh-CN"/>
        </w:rPr>
        <w:t xml:space="preserve"> of HO-1.</w:t>
      </w:r>
    </w:p>
    <w:p>
      <w:pPr>
        <w:rPr>
          <w:rFonts w:hint="eastAsia"/>
          <w:b/>
          <w:bCs/>
          <w:sz w:val="24"/>
          <w:szCs w:val="24"/>
        </w:rPr>
      </w:pPr>
      <w:r>
        <w:rPr>
          <w:rFonts w:hint="eastAsia"/>
          <w:b/>
          <w:bCs/>
          <w:sz w:val="24"/>
          <w:szCs w:val="24"/>
        </w:rPr>
        <w:drawing>
          <wp:inline distT="0" distB="0" distL="114300" distR="114300">
            <wp:extent cx="3420110" cy="1661160"/>
            <wp:effectExtent l="0" t="0" r="0" b="0"/>
            <wp:docPr id="4" name="图片 4" descr="HO-1 ___Administrator 2020-10-19 21 时 02 分_Exposure_17.3s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O-1 ___Administrator 2020-10-19 21 时 02 分_Exposure_17.3sec"/>
                    <pic:cNvPicPr>
                      <a:picLocks noChangeAspect="1"/>
                    </pic:cNvPicPr>
                  </pic:nvPicPr>
                  <pic:blipFill>
                    <a:blip r:embed="rId16"/>
                    <a:srcRect t="31278" b="3680"/>
                    <a:stretch>
                      <a:fillRect/>
                    </a:stretch>
                  </pic:blipFill>
                  <pic:spPr>
                    <a:xfrm>
                      <a:off x="0" y="0"/>
                      <a:ext cx="3420110" cy="1661160"/>
                    </a:xfrm>
                    <a:prstGeom prst="rect">
                      <a:avLst/>
                    </a:prstGeom>
                  </pic:spPr>
                </pic:pic>
              </a:graphicData>
            </a:graphic>
          </wp:inline>
        </w:drawing>
      </w:r>
    </w:p>
    <w:p>
      <w:pPr>
        <w:rPr>
          <w:rFonts w:hint="eastAsia"/>
          <w:sz w:val="18"/>
          <w:szCs w:val="18"/>
          <w:lang w:val="en-US" w:eastAsia="zh-CN"/>
        </w:rPr>
      </w:pPr>
      <w:r>
        <w:rPr>
          <w:rFonts w:hint="eastAsia"/>
          <w:b/>
          <w:bCs/>
          <w:sz w:val="24"/>
          <w:szCs w:val="24"/>
        </w:rPr>
        <w:t>Figure S</w:t>
      </w:r>
      <w:r>
        <w:rPr>
          <w:rFonts w:hint="eastAsia"/>
          <w:b/>
          <w:bCs/>
          <w:sz w:val="24"/>
          <w:szCs w:val="24"/>
          <w:lang w:val="en-US" w:eastAsia="zh-CN"/>
        </w:rPr>
        <w:t>5</w:t>
      </w:r>
      <w:r>
        <w:rPr>
          <w:rFonts w:hint="eastAsia"/>
          <w:b/>
          <w:bCs/>
          <w:sz w:val="24"/>
          <w:szCs w:val="24"/>
        </w:rPr>
        <w:t>.</w:t>
      </w:r>
      <w:r>
        <w:rPr>
          <w:rFonts w:hint="eastAsia"/>
          <w:b/>
          <w:bCs/>
          <w:sz w:val="24"/>
          <w:szCs w:val="24"/>
          <w:lang w:val="en-US" w:eastAsia="zh-CN"/>
        </w:rPr>
        <w:t xml:space="preserve"> </w:t>
      </w:r>
      <w:r>
        <w:rPr>
          <w:rFonts w:hint="eastAsia"/>
          <w:sz w:val="18"/>
          <w:szCs w:val="18"/>
          <w:lang w:val="en-US" w:eastAsia="zh-CN"/>
        </w:rPr>
        <w:t>T</w:t>
      </w:r>
      <w:r>
        <w:rPr>
          <w:rFonts w:hint="eastAsia"/>
          <w:sz w:val="18"/>
          <w:szCs w:val="18"/>
        </w:rPr>
        <w:t>he full uncropped Gels and Blots image</w:t>
      </w:r>
      <w:r>
        <w:rPr>
          <w:rFonts w:hint="eastAsia"/>
          <w:sz w:val="18"/>
          <w:szCs w:val="18"/>
          <w:lang w:val="en-US" w:eastAsia="zh-CN"/>
        </w:rPr>
        <w:t xml:space="preserve"> of GAPDH.</w:t>
      </w:r>
    </w:p>
    <w:p>
      <w:pPr>
        <w:rPr>
          <w:rFonts w:hint="eastAsia"/>
          <w:sz w:val="18"/>
          <w:szCs w:val="18"/>
          <w:lang w:val="en-US" w:eastAsia="zh-CN"/>
        </w:rPr>
      </w:pPr>
      <w:r>
        <w:rPr>
          <w:rFonts w:hint="eastAsia"/>
          <w:sz w:val="18"/>
          <w:szCs w:val="18"/>
          <w:lang w:val="en-US" w:eastAsia="zh-CN"/>
        </w:rPr>
        <w:drawing>
          <wp:inline distT="0" distB="0" distL="114300" distR="114300">
            <wp:extent cx="3605530" cy="1755140"/>
            <wp:effectExtent l="0" t="0" r="0" b="0"/>
            <wp:docPr id="5" name="图片 5" descr="GAPDH___Administrator 2020-10-20 19 时 46 分_Exposure_7.4s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GAPDH___Administrator 2020-10-20 19 时 46 分_Exposure_7.4sec"/>
                    <pic:cNvPicPr>
                      <a:picLocks noChangeAspect="1"/>
                    </pic:cNvPicPr>
                  </pic:nvPicPr>
                  <pic:blipFill>
                    <a:blip r:embed="rId17"/>
                    <a:srcRect t="11930" b="25621"/>
                    <a:stretch>
                      <a:fillRect/>
                    </a:stretch>
                  </pic:blipFill>
                  <pic:spPr>
                    <a:xfrm>
                      <a:off x="0" y="0"/>
                      <a:ext cx="3605530" cy="1755140"/>
                    </a:xfrm>
                    <a:prstGeom prst="rect">
                      <a:avLst/>
                    </a:prstGeom>
                  </pic:spPr>
                </pic:pic>
              </a:graphicData>
            </a:graphic>
          </wp:inline>
        </w:drawing>
      </w:r>
    </w:p>
    <w:p>
      <w:pPr>
        <w:rPr>
          <w:rFonts w:hint="default"/>
          <w:sz w:val="18"/>
          <w:szCs w:val="18"/>
          <w:lang w:val="en-US" w:eastAsia="zh-CN"/>
        </w:rPr>
      </w:pPr>
      <w:bookmarkStart w:id="7" w:name="_GoBack"/>
      <w:bookmarkEnd w:id="7"/>
    </w:p>
    <w:p>
      <w:pPr>
        <w:pStyle w:val="8"/>
        <w:spacing w:before="0" w:after="0" w:line="480" w:lineRule="auto"/>
        <w:ind w:left="482" w:hanging="480" w:hangingChars="200"/>
        <w:jc w:val="both"/>
        <w:rPr>
          <w:rFonts w:ascii="Times New Roman" w:hAnsi="Times New Roman"/>
          <w:sz w:val="24"/>
          <w:szCs w:val="24"/>
        </w:rPr>
      </w:pPr>
      <w:r>
        <w:rPr>
          <w:rFonts w:ascii="Times New Roman" w:hAnsi="Times New Roman"/>
          <w:sz w:val="24"/>
          <w:szCs w:val="24"/>
        </w:rPr>
        <w:t>References</w:t>
      </w:r>
    </w:p>
    <w:p>
      <w:pPr>
        <w:pStyle w:val="7"/>
        <w:snapToGrid w:val="0"/>
        <w:spacing w:line="480" w:lineRule="auto"/>
        <w:ind w:left="480" w:hanging="480" w:hangingChars="200"/>
        <w:rPr>
          <w:color w:val="0000FF"/>
          <w:sz w:val="24"/>
          <w:szCs w:val="24"/>
        </w:rPr>
      </w:pPr>
      <w:r>
        <w:rPr>
          <w:rFonts w:hint="eastAsia" w:ascii="Times New Roman" w:hAnsi="Times New Roman" w:eastAsia="宋体"/>
          <w:color w:val="auto"/>
          <w:sz w:val="24"/>
          <w:szCs w:val="24"/>
          <w:lang w:val="en-US" w:eastAsia="zh-CN"/>
        </w:rPr>
        <w:t>[</w:t>
      </w:r>
      <w:r>
        <w:rPr>
          <w:rFonts w:hint="eastAsia"/>
          <w:color w:val="auto"/>
          <w:sz w:val="24"/>
          <w:szCs w:val="24"/>
          <w:lang w:val="en-US" w:eastAsia="zh-CN"/>
        </w:rPr>
        <w:t>1</w:t>
      </w:r>
      <w:r>
        <w:rPr>
          <w:rFonts w:hint="eastAsia" w:ascii="Times New Roman" w:hAnsi="Times New Roman" w:eastAsia="宋体"/>
          <w:color w:val="auto"/>
          <w:sz w:val="24"/>
          <w:szCs w:val="24"/>
          <w:lang w:val="en-US" w:eastAsia="zh-CN"/>
        </w:rPr>
        <w:t xml:space="preserve">] </w:t>
      </w:r>
      <w:bookmarkStart w:id="3" w:name="_ENREF_11"/>
      <w:r>
        <w:rPr>
          <w:color w:val="auto"/>
          <w:sz w:val="24"/>
          <w:szCs w:val="24"/>
        </w:rPr>
        <w:t xml:space="preserve">Hao, Y., Guo, X., Zhang, W., Xia, F., Yang, E., Li, H., Bai, H., Shi, L., 2022. Label-free quantitative proteomics reveals the antibacterial mechanism of rosemary essential oil against </w:t>
      </w:r>
      <w:r>
        <w:rPr>
          <w:i/>
          <w:color w:val="auto"/>
          <w:sz w:val="24"/>
          <w:szCs w:val="24"/>
        </w:rPr>
        <w:t xml:space="preserve">Salmonella enterica serovar </w:t>
      </w:r>
      <w:r>
        <w:rPr>
          <w:color w:val="auto"/>
          <w:sz w:val="24"/>
          <w:szCs w:val="24"/>
        </w:rPr>
        <w:t xml:space="preserve">Typhimurium. Industrial Crops and Products 189, 115757. </w:t>
      </w:r>
      <w:r>
        <w:rPr>
          <w:color w:val="0000FF"/>
          <w:sz w:val="24"/>
          <w:szCs w:val="24"/>
        </w:rPr>
        <w:t>https://doi.org/10.1016/j.indcrop.2022.115757</w:t>
      </w:r>
      <w:bookmarkEnd w:id="3"/>
      <w:r>
        <w:rPr>
          <w:color w:val="0000FF"/>
          <w:sz w:val="24"/>
          <w:szCs w:val="24"/>
        </w:rPr>
        <w:t>.</w:t>
      </w:r>
    </w:p>
    <w:p>
      <w:pPr>
        <w:pStyle w:val="7"/>
        <w:snapToGrid w:val="0"/>
        <w:spacing w:line="480" w:lineRule="auto"/>
        <w:ind w:left="480" w:hanging="480" w:hangingChars="200"/>
        <w:rPr>
          <w:color w:val="0000FF"/>
          <w:sz w:val="24"/>
          <w:szCs w:val="24"/>
        </w:rPr>
      </w:pPr>
      <w:r>
        <w:rPr>
          <w:rFonts w:hint="eastAsia" w:ascii="Times New Roman" w:hAnsi="Times New Roman" w:eastAsia="宋体"/>
          <w:color w:val="auto"/>
          <w:sz w:val="24"/>
          <w:szCs w:val="24"/>
          <w:lang w:val="en-US" w:eastAsia="zh-CN"/>
        </w:rPr>
        <w:t>[</w:t>
      </w:r>
      <w:r>
        <w:rPr>
          <w:rFonts w:hint="eastAsia"/>
          <w:color w:val="auto"/>
          <w:sz w:val="24"/>
          <w:szCs w:val="24"/>
          <w:lang w:val="en-US" w:eastAsia="zh-CN"/>
        </w:rPr>
        <w:t>2</w:t>
      </w:r>
      <w:r>
        <w:rPr>
          <w:rFonts w:hint="eastAsia" w:ascii="Times New Roman" w:hAnsi="Times New Roman" w:eastAsia="宋体"/>
          <w:color w:val="auto"/>
          <w:sz w:val="24"/>
          <w:szCs w:val="24"/>
          <w:lang w:val="en-US" w:eastAsia="zh-CN"/>
        </w:rPr>
        <w:t xml:space="preserve">] </w:t>
      </w:r>
      <w:bookmarkStart w:id="4" w:name="_ENREF_16"/>
      <w:r>
        <w:rPr>
          <w:color w:val="auto"/>
          <w:sz w:val="24"/>
          <w:szCs w:val="24"/>
        </w:rPr>
        <w:t xml:space="preserve">Li, Y., Li, D., An, Q., Ma, H., Mu, Y., Qiao, W., Zhang, Z., Zhang, J., Huang, X., Li, L., 2019. New acylated phenolic glycosides with ROS-scavenging activity from </w:t>
      </w:r>
      <w:r>
        <w:rPr>
          <w:i/>
          <w:color w:val="auto"/>
          <w:sz w:val="24"/>
          <w:szCs w:val="24"/>
        </w:rPr>
        <w:t>Psidium guajava</w:t>
      </w:r>
      <w:r>
        <w:rPr>
          <w:color w:val="auto"/>
          <w:sz w:val="24"/>
          <w:szCs w:val="24"/>
        </w:rPr>
        <w:t xml:space="preserve"> leaves. Journal of Agricultural and Food Chemistry 67, 11089-11098. </w:t>
      </w:r>
      <w:r>
        <w:rPr>
          <w:color w:val="0000FF"/>
          <w:sz w:val="24"/>
          <w:szCs w:val="24"/>
        </w:rPr>
        <w:t>https://doi.org/10.1021/acs.jafc.9b04318</w:t>
      </w:r>
      <w:bookmarkEnd w:id="4"/>
      <w:r>
        <w:rPr>
          <w:color w:val="0000FF"/>
          <w:sz w:val="24"/>
          <w:szCs w:val="24"/>
        </w:rPr>
        <w:t>.</w:t>
      </w:r>
    </w:p>
    <w:p>
      <w:pPr>
        <w:pStyle w:val="7"/>
        <w:snapToGrid w:val="0"/>
        <w:spacing w:line="480" w:lineRule="auto"/>
        <w:ind w:left="480" w:hanging="480" w:hangingChars="200"/>
        <w:rPr>
          <w:color w:val="0000FF"/>
          <w:sz w:val="24"/>
          <w:szCs w:val="24"/>
        </w:rPr>
      </w:pPr>
      <w:r>
        <w:rPr>
          <w:rFonts w:hint="eastAsia" w:ascii="Times New Roman" w:hAnsi="Times New Roman" w:eastAsia="宋体"/>
          <w:color w:val="auto"/>
          <w:sz w:val="24"/>
          <w:szCs w:val="24"/>
          <w:lang w:val="en-US" w:eastAsia="zh-CN"/>
        </w:rPr>
        <w:t>[</w:t>
      </w:r>
      <w:r>
        <w:rPr>
          <w:rFonts w:hint="eastAsia"/>
          <w:color w:val="auto"/>
          <w:sz w:val="24"/>
          <w:szCs w:val="24"/>
          <w:lang w:val="en-US" w:eastAsia="zh-CN"/>
        </w:rPr>
        <w:t>3</w:t>
      </w:r>
      <w:r>
        <w:rPr>
          <w:rFonts w:hint="eastAsia" w:ascii="Times New Roman" w:hAnsi="Times New Roman" w:eastAsia="宋体"/>
          <w:color w:val="auto"/>
          <w:sz w:val="24"/>
          <w:szCs w:val="24"/>
          <w:lang w:val="en-US" w:eastAsia="zh-CN"/>
        </w:rPr>
        <w:t xml:space="preserve">] </w:t>
      </w:r>
      <w:bookmarkStart w:id="5" w:name="_ENREF_27"/>
      <w:r>
        <w:rPr>
          <w:color w:val="auto"/>
          <w:sz w:val="24"/>
          <w:szCs w:val="24"/>
        </w:rPr>
        <w:t xml:space="preserve">Re, R., Pellegrini, N., Proteggente, A., Pannala, A., Yang, M., Rice-Evans, C., 1999. Antioxidant activity applying an improved ABTS radical cation decolorization assay. Free Radical Biology and Medicine 26, 1231-1237. </w:t>
      </w:r>
      <w:r>
        <w:rPr>
          <w:color w:val="0000FF"/>
          <w:sz w:val="24"/>
          <w:szCs w:val="24"/>
        </w:rPr>
        <w:t>https://doi.org/10.1016/S0891-5849(98)00315-3</w:t>
      </w:r>
      <w:bookmarkEnd w:id="5"/>
      <w:r>
        <w:rPr>
          <w:color w:val="0000FF"/>
          <w:sz w:val="24"/>
          <w:szCs w:val="24"/>
        </w:rPr>
        <w:t>.</w:t>
      </w:r>
    </w:p>
    <w:p>
      <w:pPr>
        <w:pStyle w:val="8"/>
        <w:spacing w:before="0" w:after="0" w:line="480" w:lineRule="auto"/>
        <w:ind w:left="482" w:hanging="480" w:hangingChars="200"/>
        <w:jc w:val="both"/>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 xml:space="preserve">[4] Zhu, L., Chen, J., Tang, X., Xiong, Y.L., 2008. Reducing, radical scavenging, and chelation properties of in Vitro digests of alcalase-treated zein hydrolysate. Journal of Agricultural and Food Chemistry 56, 2714-2721. </w:t>
      </w:r>
      <w:r>
        <w:rPr>
          <w:rFonts w:hint="eastAsia" w:ascii="Times New Roman" w:hAnsi="Times New Roman" w:eastAsia="宋体" w:cs="Times New Roman"/>
          <w:b w:val="0"/>
          <w:snapToGrid/>
          <w:color w:val="0000FF"/>
          <w:kern w:val="2"/>
          <w:sz w:val="24"/>
          <w:szCs w:val="24"/>
          <w:lang w:val="en-US" w:eastAsia="zh-CN" w:bidi="ar-SA"/>
        </w:rPr>
        <w:fldChar w:fldCharType="begin"/>
      </w:r>
      <w:r>
        <w:rPr>
          <w:rFonts w:hint="eastAsia" w:ascii="Times New Roman" w:hAnsi="Times New Roman" w:eastAsia="宋体" w:cs="Times New Roman"/>
          <w:b w:val="0"/>
          <w:snapToGrid/>
          <w:color w:val="0000FF"/>
          <w:kern w:val="2"/>
          <w:sz w:val="24"/>
          <w:szCs w:val="24"/>
          <w:lang w:val="en-US" w:eastAsia="zh-CN" w:bidi="ar-SA"/>
        </w:rPr>
        <w:instrText xml:space="preserve"> HYPERLINK "https://doi.org/10.1021/jf703697e." </w:instrText>
      </w:r>
      <w:r>
        <w:rPr>
          <w:rFonts w:hint="eastAsia" w:ascii="Times New Roman" w:hAnsi="Times New Roman" w:eastAsia="宋体" w:cs="Times New Roman"/>
          <w:b w:val="0"/>
          <w:snapToGrid/>
          <w:color w:val="0000FF"/>
          <w:kern w:val="2"/>
          <w:sz w:val="24"/>
          <w:szCs w:val="24"/>
          <w:lang w:val="en-US" w:eastAsia="zh-CN" w:bidi="ar-SA"/>
        </w:rPr>
        <w:fldChar w:fldCharType="separate"/>
      </w:r>
      <w:r>
        <w:rPr>
          <w:rStyle w:val="5"/>
          <w:rFonts w:hint="eastAsia" w:ascii="Times New Roman" w:hAnsi="Times New Roman" w:eastAsia="宋体" w:cs="Times New Roman"/>
          <w:b w:val="0"/>
          <w:snapToGrid/>
          <w:kern w:val="2"/>
          <w:sz w:val="24"/>
          <w:szCs w:val="24"/>
          <w:lang w:val="en-US" w:eastAsia="zh-CN" w:bidi="ar-SA"/>
        </w:rPr>
        <w:t>https://doi.org/10.1021/jf703697e</w:t>
      </w:r>
      <w:r>
        <w:rPr>
          <w:rStyle w:val="5"/>
          <w:rFonts w:hint="eastAsia" w:ascii="Times New Roman" w:hAnsi="Times New Roman" w:eastAsia="宋体"/>
          <w:b w:val="0"/>
          <w:bCs/>
          <w:sz w:val="24"/>
          <w:szCs w:val="24"/>
          <w:lang w:val="en-US" w:eastAsia="zh-CN"/>
        </w:rPr>
        <w:t>.</w:t>
      </w:r>
      <w:r>
        <w:rPr>
          <w:rFonts w:hint="eastAsia" w:ascii="Times New Roman" w:hAnsi="Times New Roman" w:eastAsia="宋体" w:cs="Times New Roman"/>
          <w:b w:val="0"/>
          <w:snapToGrid/>
          <w:color w:val="0000FF"/>
          <w:kern w:val="2"/>
          <w:sz w:val="24"/>
          <w:szCs w:val="24"/>
          <w:lang w:val="en-US" w:eastAsia="zh-CN" w:bidi="ar-SA"/>
        </w:rPr>
        <w:fldChar w:fldCharType="end"/>
      </w:r>
    </w:p>
    <w:p>
      <w:pPr>
        <w:pStyle w:val="8"/>
        <w:spacing w:before="0" w:after="0" w:line="480" w:lineRule="auto"/>
        <w:ind w:left="482" w:hanging="480" w:hangingChars="200"/>
        <w:jc w:val="both"/>
        <w:rPr>
          <w:rFonts w:hint="eastAsia" w:ascii="Times New Roman" w:hAnsi="Times New Roman" w:eastAsia="宋体" w:cs="Times New Roman"/>
          <w:b w:val="0"/>
          <w:snapToGrid/>
          <w:color w:val="0000FF"/>
          <w:kern w:val="2"/>
          <w:sz w:val="24"/>
          <w:szCs w:val="24"/>
          <w:lang w:val="en-US" w:eastAsia="zh-CN" w:bidi="ar-SA"/>
        </w:rPr>
      </w:pPr>
      <w:r>
        <w:rPr>
          <w:rFonts w:hint="eastAsia" w:ascii="Times New Roman" w:hAnsi="Times New Roman" w:eastAsia="宋体"/>
          <w:b w:val="0"/>
          <w:bCs/>
          <w:color w:val="auto"/>
          <w:sz w:val="24"/>
          <w:szCs w:val="24"/>
          <w:lang w:val="en-US" w:eastAsia="zh-CN"/>
        </w:rPr>
        <w:t xml:space="preserve">[5] Siddhuraju, P., 2006. The antioxidant activity and free radical-scavenging capacity of phenolics of raw and dry heated moth bean (Vigna aconitifolia) (Jacq.) Marechal seed extracts. Food Chemistry 99, 149-157. </w:t>
      </w:r>
      <w:r>
        <w:rPr>
          <w:rFonts w:hint="eastAsia" w:ascii="Times New Roman" w:hAnsi="Times New Roman" w:eastAsia="宋体" w:cs="Times New Roman"/>
          <w:b w:val="0"/>
          <w:snapToGrid/>
          <w:color w:val="0000FF"/>
          <w:kern w:val="2"/>
          <w:sz w:val="24"/>
          <w:szCs w:val="24"/>
          <w:lang w:val="en-US" w:eastAsia="zh-CN" w:bidi="ar-SA"/>
        </w:rPr>
        <w:fldChar w:fldCharType="begin"/>
      </w:r>
      <w:r>
        <w:rPr>
          <w:rFonts w:hint="eastAsia" w:ascii="Times New Roman" w:hAnsi="Times New Roman" w:eastAsia="宋体" w:cs="Times New Roman"/>
          <w:b w:val="0"/>
          <w:snapToGrid/>
          <w:color w:val="0000FF"/>
          <w:kern w:val="2"/>
          <w:sz w:val="24"/>
          <w:szCs w:val="24"/>
          <w:lang w:val="en-US" w:eastAsia="zh-CN" w:bidi="ar-SA"/>
        </w:rPr>
        <w:instrText xml:space="preserve"> HYPERLINK "https://doi.org/10.1016/j.foodchem.2005.07.029." </w:instrText>
      </w:r>
      <w:r>
        <w:rPr>
          <w:rFonts w:hint="eastAsia" w:ascii="Times New Roman" w:hAnsi="Times New Roman" w:eastAsia="宋体" w:cs="Times New Roman"/>
          <w:b w:val="0"/>
          <w:snapToGrid/>
          <w:color w:val="0000FF"/>
          <w:kern w:val="2"/>
          <w:sz w:val="24"/>
          <w:szCs w:val="24"/>
          <w:lang w:val="en-US" w:eastAsia="zh-CN" w:bidi="ar-SA"/>
        </w:rPr>
        <w:fldChar w:fldCharType="separate"/>
      </w:r>
      <w:r>
        <w:rPr>
          <w:rStyle w:val="5"/>
          <w:rFonts w:hint="eastAsia" w:ascii="Times New Roman" w:hAnsi="Times New Roman" w:eastAsia="宋体" w:cs="Times New Roman"/>
          <w:b w:val="0"/>
          <w:snapToGrid/>
          <w:kern w:val="2"/>
          <w:sz w:val="24"/>
          <w:szCs w:val="24"/>
          <w:lang w:val="en-US" w:eastAsia="zh-CN" w:bidi="ar-SA"/>
        </w:rPr>
        <w:t>https://doi.org/10.1016/j.foodchem.2005.07.029.</w:t>
      </w:r>
      <w:r>
        <w:rPr>
          <w:rFonts w:hint="eastAsia" w:ascii="Times New Roman" w:hAnsi="Times New Roman" w:eastAsia="宋体" w:cs="Times New Roman"/>
          <w:b w:val="0"/>
          <w:snapToGrid/>
          <w:color w:val="0000FF"/>
          <w:kern w:val="2"/>
          <w:sz w:val="24"/>
          <w:szCs w:val="24"/>
          <w:lang w:val="en-US" w:eastAsia="zh-CN" w:bidi="ar-SA"/>
        </w:rPr>
        <w:fldChar w:fldCharType="end"/>
      </w:r>
    </w:p>
    <w:p>
      <w:pPr>
        <w:pStyle w:val="7"/>
        <w:snapToGrid w:val="0"/>
        <w:spacing w:line="480" w:lineRule="auto"/>
        <w:ind w:left="480" w:hanging="480" w:hangingChars="200"/>
        <w:rPr>
          <w:color w:val="auto"/>
          <w:sz w:val="24"/>
          <w:szCs w:val="24"/>
        </w:rPr>
      </w:pPr>
      <w:r>
        <w:rPr>
          <w:rFonts w:hint="default" w:ascii="Times New Roman" w:hAnsi="Times New Roman" w:eastAsia="宋体" w:cs="Times New Roman"/>
          <w:b w:val="0"/>
          <w:bCs w:val="0"/>
          <w:snapToGrid/>
          <w:color w:val="auto"/>
          <w:kern w:val="2"/>
          <w:sz w:val="24"/>
          <w:szCs w:val="24"/>
          <w:lang w:val="en-US" w:eastAsia="zh-CN" w:bidi="ar-SA"/>
        </w:rPr>
        <w:t>[</w:t>
      </w:r>
      <w:r>
        <w:rPr>
          <w:rFonts w:hint="eastAsia" w:cs="Times New Roman"/>
          <w:b w:val="0"/>
          <w:bCs w:val="0"/>
          <w:snapToGrid/>
          <w:color w:val="auto"/>
          <w:kern w:val="2"/>
          <w:sz w:val="24"/>
          <w:szCs w:val="24"/>
          <w:lang w:val="en-US" w:eastAsia="zh-CN" w:bidi="ar-SA"/>
        </w:rPr>
        <w:t>6</w:t>
      </w:r>
      <w:r>
        <w:rPr>
          <w:rFonts w:hint="default" w:ascii="Times New Roman" w:hAnsi="Times New Roman" w:eastAsia="宋体" w:cs="Times New Roman"/>
          <w:b w:val="0"/>
          <w:bCs w:val="0"/>
          <w:snapToGrid/>
          <w:color w:val="auto"/>
          <w:kern w:val="2"/>
          <w:sz w:val="24"/>
          <w:szCs w:val="24"/>
          <w:lang w:val="en-US" w:eastAsia="zh-CN" w:bidi="ar-SA"/>
        </w:rPr>
        <w:t>]</w:t>
      </w:r>
      <w:r>
        <w:rPr>
          <w:rFonts w:hint="eastAsia" w:ascii="Times New Roman" w:hAnsi="Times New Roman" w:eastAsia="宋体" w:cs="Times New Roman"/>
          <w:b w:val="0"/>
          <w:bCs w:val="0"/>
          <w:snapToGrid/>
          <w:color w:val="auto"/>
          <w:kern w:val="2"/>
          <w:sz w:val="24"/>
          <w:szCs w:val="24"/>
          <w:lang w:val="en-US" w:eastAsia="zh-CN" w:bidi="ar-SA"/>
        </w:rPr>
        <w:t xml:space="preserve"> </w:t>
      </w:r>
      <w:bookmarkStart w:id="6" w:name="_ENREF_29"/>
      <w:r>
        <w:rPr>
          <w:color w:val="auto"/>
          <w:sz w:val="24"/>
          <w:szCs w:val="24"/>
        </w:rPr>
        <w:t xml:space="preserve">Selvan G, T., Ashok, A.K., Rao S. J, A., Gollapalli, P., R, V., N, S.K., Chaudhury, N.K., 2023. Nrf2-regulated antioxidant response ameliorating ionizing radiation-induced damages explored through </w:t>
      </w:r>
      <w:r>
        <w:rPr>
          <w:i/>
          <w:color w:val="auto"/>
          <w:sz w:val="24"/>
          <w:szCs w:val="24"/>
        </w:rPr>
        <w:t xml:space="preserve">in vitro </w:t>
      </w:r>
      <w:r>
        <w:rPr>
          <w:color w:val="auto"/>
          <w:sz w:val="24"/>
          <w:szCs w:val="24"/>
        </w:rPr>
        <w:t xml:space="preserve">and molecular dynamics simulations. Journal of Biomolecular Structure and Dynamics 41, 8472-8484. </w:t>
      </w:r>
      <w:r>
        <w:rPr>
          <w:color w:val="0000FF"/>
          <w:sz w:val="24"/>
          <w:szCs w:val="24"/>
        </w:rPr>
        <w:t>https://doi.org/10.1080/07391102.2022.2137245</w:t>
      </w:r>
      <w:bookmarkEnd w:id="6"/>
      <w:r>
        <w:rPr>
          <w:color w:val="0000FF"/>
          <w:sz w:val="24"/>
          <w:szCs w:val="24"/>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alatino Linotype">
    <w:panose1 w:val="02040502050505030304"/>
    <w:charset w:val="00"/>
    <w:family w:val="roman"/>
    <w:pitch w:val="default"/>
    <w:sig w:usb0="E0000287" w:usb1="40000013" w:usb2="00000000" w:usb3="00000000" w:csb0="2000019F" w:csb1="00000000"/>
  </w:font>
  <w:font w:name="Segoe UI">
    <w:panose1 w:val="020B0502040204020203"/>
    <w:charset w:val="00"/>
    <w:family w:val="auto"/>
    <w:pitch w:val="default"/>
    <w:sig w:usb0="E10022FF" w:usb1="C000E47F" w:usb2="00000029" w:usb3="00000000" w:csb0="200001DF" w:csb1="2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2"/>
        <w:jc w:val="both"/>
        <w:rPr>
          <w:rFonts w:hint="default" w:eastAsia="宋体"/>
          <w:lang w:val="en-US" w:eastAsia="zh-CN"/>
        </w:rPr>
      </w:pPr>
      <w:r>
        <w:rPr>
          <w:lang w:val="en-GB"/>
        </w:rPr>
        <w:t xml:space="preserve">*Corresponding author. E-mail: </w:t>
      </w:r>
      <w:r>
        <w:fldChar w:fldCharType="begin"/>
      </w:r>
      <w:r>
        <w:instrText xml:space="preserve"> HYPERLINK "mailto:zhaomingqin@henau.edu.cn" </w:instrText>
      </w:r>
      <w:r>
        <w:fldChar w:fldCharType="separate"/>
      </w:r>
      <w:r>
        <w:rPr>
          <w:rStyle w:val="5"/>
          <w:lang w:val="en-GB"/>
        </w:rPr>
        <w:t>zhaomingqin@henau.edu.cn</w:t>
      </w:r>
      <w:r>
        <w:rPr>
          <w:rStyle w:val="5"/>
          <w:lang w:val="en-GB"/>
        </w:rPr>
        <w:fldChar w:fldCharType="end"/>
      </w:r>
      <w:r>
        <w:rPr>
          <w:lang w:val="en-GB"/>
        </w:rPr>
        <w:t xml:space="preserve"> (M. Zhao)</w:t>
      </w:r>
      <w:r>
        <w:rPr>
          <w:rFonts w:hint="eastAsia"/>
          <w:lang w:val="en-US" w:eastAsia="zh-CN"/>
        </w:rPr>
        <w:t xml:space="preserve"> Tel: +86 15702420061; fax: +86 68555219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3NDVjZmM0M2E4MjEyMTEyOTM3Y2U3MGYyNzliZjkifQ=="/>
  </w:docVars>
  <w:rsids>
    <w:rsidRoot w:val="7A702143"/>
    <w:rsid w:val="1CE912A0"/>
    <w:rsid w:val="35366B27"/>
    <w:rsid w:val="60675D31"/>
    <w:rsid w:val="655643B1"/>
    <w:rsid w:val="73D00F12"/>
    <w:rsid w:val="7A702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note text"/>
    <w:basedOn w:val="1"/>
    <w:autoRedefine/>
    <w:qFormat/>
    <w:uiPriority w:val="99"/>
    <w:pPr>
      <w:snapToGrid w:val="0"/>
      <w:jc w:val="left"/>
    </w:pPr>
    <w:rPr>
      <w:sz w:val="18"/>
      <w:szCs w:val="18"/>
    </w:rPr>
  </w:style>
  <w:style w:type="character" w:styleId="5">
    <w:name w:val="Hyperlink"/>
    <w:autoRedefine/>
    <w:qFormat/>
    <w:uiPriority w:val="99"/>
    <w:rPr>
      <w:color w:val="0000FF"/>
      <w:u w:val="single"/>
    </w:rPr>
  </w:style>
  <w:style w:type="character" w:styleId="6">
    <w:name w:val="footnote reference"/>
    <w:autoRedefine/>
    <w:qFormat/>
    <w:uiPriority w:val="99"/>
    <w:rPr>
      <w:vertAlign w:val="superscript"/>
    </w:rPr>
  </w:style>
  <w:style w:type="paragraph" w:customStyle="1" w:styleId="7">
    <w:name w:val="EndNote Bibliography"/>
    <w:basedOn w:val="1"/>
    <w:autoRedefine/>
    <w:qFormat/>
    <w:uiPriority w:val="0"/>
    <w:rPr>
      <w:color w:val="4472C4"/>
      <w:sz w:val="20"/>
    </w:rPr>
  </w:style>
  <w:style w:type="paragraph" w:customStyle="1" w:styleId="8">
    <w:name w:val="MDPI_2.1_heading1"/>
    <w:autoRedefine/>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character" w:customStyle="1" w:styleId="9">
    <w:name w:val="jlqj4b"/>
    <w:autoRedefine/>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image" Target="media/image9.tiff"/><Relationship Id="rId16" Type="http://schemas.openxmlformats.org/officeDocument/2006/relationships/image" Target="media/image8.tiff"/><Relationship Id="rId15" Type="http://schemas.openxmlformats.org/officeDocument/2006/relationships/image" Target="media/image7.tiff"/><Relationship Id="rId14" Type="http://schemas.openxmlformats.org/officeDocument/2006/relationships/image" Target="media/image6.tiff"/><Relationship Id="rId13" Type="http://schemas.openxmlformats.org/officeDocument/2006/relationships/image" Target="media/image5.png"/><Relationship Id="rId12" Type="http://schemas.openxmlformats.org/officeDocument/2006/relationships/image" Target="media/image4.wmf"/><Relationship Id="rId11" Type="http://schemas.openxmlformats.org/officeDocument/2006/relationships/oleObject" Target="embeddings/oleObject4.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2024-03-16T00:59:00Z</dcterms:created>
  <dc:creator>媛媛</dc:creator>
  <cp:lastModifiedBy>媛媛</cp:lastModifiedBy>
  <dcterms:modified xsi:type="dcterms:W3CDTF">2024-03-19T14:02:47Z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A4497D44DB394D079A8B699945A65FD2_11</vt:lpwstr>
  </property>
</Properties>
</file>