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spacing w:lineRule="auto" w:line="240" w:before="400" w:after="120"/>
        <w:jc w:val="center"/>
        <w:rPr>
          <w:sz w:val="36"/>
          <w:szCs w:val="36"/>
        </w:rPr>
      </w:pPr>
      <w:bookmarkStart w:id="0" w:name="_kih8vgs20tot"/>
      <w:bookmarkEnd w:id="0"/>
      <w:r>
        <w:rPr>
          <w:sz w:val="36"/>
          <w:szCs w:val="36"/>
        </w:rPr>
        <w:t>On the Utility of Large Language Model Embeddings for Revolutionizing Semantic Data Harmonization in Alzheimer's and Parkinson’s Disease</w:t>
      </w:r>
    </w:p>
    <w:p>
      <w:pPr>
        <w:pStyle w:val="LOnormal"/>
        <w:spacing w:lineRule="auto" w:line="240"/>
        <w:jc w:val="center"/>
        <w:rPr/>
      </w:pPr>
      <w:r>
        <w:rPr/>
        <w:t>Yasamin Salimi</w:t>
      </w:r>
      <w:r>
        <w:rPr>
          <w:vertAlign w:val="superscript"/>
        </w:rPr>
        <w:t>1</w:t>
      </w:r>
      <w:r>
        <w:rPr>
          <w:sz w:val="18"/>
          <w:szCs w:val="18"/>
          <w:vertAlign w:val="superscript"/>
        </w:rPr>
        <w:t>⁑</w:t>
      </w:r>
      <w:r>
        <w:rPr/>
        <w:t>, Tim Adams</w:t>
      </w:r>
      <w:r>
        <w:rPr>
          <w:vertAlign w:val="superscript"/>
        </w:rPr>
        <w:t>1</w:t>
      </w:r>
      <w:r>
        <w:rPr>
          <w:sz w:val="18"/>
          <w:szCs w:val="18"/>
          <w:vertAlign w:val="superscript"/>
        </w:rPr>
        <w:t>⁑</w:t>
      </w:r>
      <w:r>
        <w:rPr/>
        <w:t>, Mehmet Can Ay</w:t>
      </w:r>
      <w:r>
        <w:rPr>
          <w:vertAlign w:val="superscript"/>
        </w:rPr>
        <w:t>1</w:t>
      </w:r>
      <w:r>
        <w:rPr/>
        <w:t>, Helena Balabin</w:t>
      </w:r>
      <w:r>
        <w:rPr>
          <w:vertAlign w:val="superscript"/>
        </w:rPr>
        <w:t>2,3</w:t>
      </w:r>
      <w:r>
        <w:rPr/>
        <w:t>, Marc Jacobs</w:t>
      </w:r>
      <w:r>
        <w:rPr>
          <w:vertAlign w:val="superscript"/>
        </w:rPr>
        <w:t>1*</w:t>
      </w:r>
      <w:r>
        <w:rPr/>
        <w:t>, Martin Hofmann-Apitius</w:t>
      </w:r>
      <w:r>
        <w:rPr>
          <w:vertAlign w:val="superscript"/>
        </w:rPr>
        <w:t>1,4</w:t>
      </w:r>
      <w:r>
        <w:rPr/>
        <w:t>, for the Alzheimer's Disease Neuroimaging Initiative</w:t>
      </w:r>
      <w:r>
        <w:rPr>
          <w:vertAlign w:val="superscript"/>
        </w:rPr>
        <w:t>φ</w:t>
      </w:r>
      <w:r>
        <w:rPr/>
        <w:t>, the Japanese Alzheimer’s Disease Neuroimaging Initiative</w:t>
      </w:r>
      <w:r>
        <w:rPr>
          <w:vertAlign w:val="superscript"/>
        </w:rPr>
        <w:t>†</w:t>
      </w:r>
      <w:r>
        <w:rPr/>
        <w:t>, for the Aging Brain: Vasculature, Ischemia, and Behavior Study</w:t>
      </w:r>
      <w:r>
        <w:rPr>
          <w:vertAlign w:val="superscript"/>
        </w:rPr>
        <w:t>‡</w:t>
      </w:r>
      <w:r>
        <w:rPr/>
        <w:t>, the Alzheimer's Disease Repository Without Borders Investigators</w:t>
      </w:r>
      <w:r>
        <w:rPr>
          <w:vertAlign w:val="superscript"/>
        </w:rPr>
        <w:t>§</w:t>
      </w:r>
    </w:p>
    <w:p>
      <w:pPr>
        <w:pStyle w:val="LOnormal"/>
        <w:numPr>
          <w:ilvl w:val="0"/>
          <w:numId w:val="1"/>
        </w:numPr>
        <w:spacing w:lineRule="auto" w:line="360" w:before="240" w:afterAutospacing="0" w:after="0"/>
        <w:ind w:left="720" w:hanging="360"/>
        <w:rPr>
          <w:sz w:val="18"/>
          <w:szCs w:val="18"/>
        </w:rPr>
      </w:pPr>
      <w:r>
        <w:rPr>
          <w:sz w:val="18"/>
          <w:szCs w:val="18"/>
        </w:rPr>
        <w:t>Department of Bioinformatics, Fraunhofer Institute for Algorithms and Scientific Computing (SCAI), Sankt Augustin 53757, Germany</w:t>
      </w:r>
    </w:p>
    <w:p>
      <w:pPr>
        <w:pStyle w:val="LOnormal"/>
        <w:numPr>
          <w:ilvl w:val="0"/>
          <w:numId w:val="1"/>
        </w:numPr>
        <w:spacing w:lineRule="auto" w:line="360" w:beforeAutospacing="0" w:before="0" w:afterAutospacing="0" w:after="0"/>
        <w:ind w:left="720" w:hanging="360"/>
        <w:rPr>
          <w:sz w:val="18"/>
          <w:szCs w:val="18"/>
        </w:rPr>
      </w:pPr>
      <w:r>
        <w:rPr>
          <w:sz w:val="18"/>
          <w:szCs w:val="18"/>
        </w:rPr>
        <w:t>Laboratory for Cognitive Neurology, Department of Neurosciences, KU Leuven, Leuven 3000, Belgium</w:t>
      </w:r>
    </w:p>
    <w:p>
      <w:pPr>
        <w:pStyle w:val="LOnormal"/>
        <w:numPr>
          <w:ilvl w:val="0"/>
          <w:numId w:val="1"/>
        </w:numPr>
        <w:spacing w:lineRule="auto" w:line="360" w:beforeAutospacing="0" w:before="0" w:afterAutospacing="0" w:after="0"/>
        <w:ind w:left="720" w:hanging="360"/>
        <w:rPr>
          <w:sz w:val="18"/>
          <w:szCs w:val="18"/>
        </w:rPr>
      </w:pPr>
      <w:r>
        <w:rPr>
          <w:sz w:val="18"/>
          <w:szCs w:val="18"/>
        </w:rPr>
        <w:t>Language Intelligence and Information Retrieval Lab, Department of Computer Science, KU Leuven, Leuven 3000, Belgium</w:t>
      </w:r>
    </w:p>
    <w:p>
      <w:pPr>
        <w:pStyle w:val="LOnormal"/>
        <w:numPr>
          <w:ilvl w:val="0"/>
          <w:numId w:val="1"/>
        </w:numPr>
        <w:spacing w:lineRule="auto" w:line="360" w:beforeAutospacing="0" w:before="0" w:after="240"/>
        <w:ind w:left="720" w:hanging="360"/>
        <w:rPr>
          <w:sz w:val="18"/>
          <w:szCs w:val="18"/>
        </w:rPr>
      </w:pPr>
      <w:r>
        <w:rPr>
          <w:sz w:val="18"/>
          <w:szCs w:val="18"/>
        </w:rPr>
        <w:t>Bonn-Aachen International Center for IT, Rheinische Friedrich-Wilhelms-Universität Bonn, Bonn 53115, Germany</w:t>
      </w:r>
    </w:p>
    <w:p>
      <w:pPr>
        <w:pStyle w:val="LOnormal"/>
        <w:spacing w:lineRule="auto" w:line="360" w:before="240" w:after="240"/>
        <w:rPr>
          <w:sz w:val="16"/>
          <w:szCs w:val="16"/>
        </w:rPr>
      </w:pPr>
      <w:r>
        <w:rPr>
          <w:sz w:val="16"/>
          <w:szCs w:val="16"/>
        </w:rPr>
        <w:t>*</w:t>
      </w:r>
      <w:r>
        <w:rPr>
          <w:b/>
          <w:sz w:val="16"/>
          <w:szCs w:val="16"/>
        </w:rPr>
        <w:t>Corresponding author:</w:t>
      </w:r>
      <w:r>
        <w:rPr>
          <w:sz w:val="16"/>
          <w:szCs w:val="16"/>
        </w:rPr>
        <w:t xml:space="preserve"> Dr. Marc Jacobs, Fraunhofer-Institute for Algorithms and Scientific Computing (SCAI), Schloss Birlinghoven 1, 53757 Sankt Augustin, marc.jacobs@scai.fraunhofer.de, +49 - 2241 - 14 - 4013</w:t>
      </w:r>
    </w:p>
    <w:p>
      <w:pPr>
        <w:pStyle w:val="LOnormal"/>
        <w:spacing w:lineRule="auto" w:line="240"/>
        <w:jc w:val="both"/>
        <w:rPr>
          <w:sz w:val="20"/>
          <w:szCs w:val="20"/>
        </w:rPr>
      </w:pPr>
      <w:r>
        <w:rPr>
          <w:sz w:val="20"/>
          <w:szCs w:val="20"/>
          <w:vertAlign w:val="superscript"/>
        </w:rPr>
        <w:t xml:space="preserve">⁑ </w:t>
      </w:r>
      <w:r>
        <w:rPr>
          <w:sz w:val="20"/>
          <w:szCs w:val="20"/>
          <w:vertAlign w:val="superscript"/>
        </w:rPr>
        <w:t>The authors contributed equally to this work.</w:t>
      </w:r>
    </w:p>
    <w:p>
      <w:pPr>
        <w:pStyle w:val="LOnormal"/>
        <w:keepNext w:val="true"/>
        <w:keepLines/>
        <w:spacing w:lineRule="auto" w:line="240"/>
        <w:rPr>
          <w:sz w:val="12"/>
          <w:szCs w:val="12"/>
        </w:rPr>
      </w:pPr>
      <w:r>
        <w:rPr>
          <w:sz w:val="12"/>
          <w:szCs w:val="12"/>
        </w:rPr>
        <w:t>φ</w:t>
      </w:r>
      <w:r>
        <w:rPr>
          <w:sz w:val="20"/>
          <w:szCs w:val="20"/>
        </w:rPr>
        <w:t xml:space="preserve"> </w:t>
      </w:r>
      <w:r>
        <w:rPr>
          <w:sz w:val="12"/>
          <w:szCs w:val="12"/>
        </w:rPr>
        <w:t xml:space="preserve">Data used in preparation of this article were obtained from the Alzheimer’s Disease Neuroimaging Initiative (ADNI) database (adni.loni.usc.edu). As such, the investigators within the ADNI contributed to the design and implementation of ADNI and/or provided data but did not participate in analysis or writing of this report. A complete listing of ADNI investigators can be found at: </w:t>
      </w:r>
      <w:hyperlink r:id="rId2">
        <w:r>
          <w:rPr>
            <w:color w:val="1155CC"/>
            <w:sz w:val="12"/>
            <w:szCs w:val="12"/>
            <w:u w:val="single"/>
          </w:rPr>
          <w:t>http://adni.loni.usc.edu/wp-content/uploads/how_to_apply/ADNI_Acknowledgement_List.pdf</w:t>
        </w:r>
      </w:hyperlink>
    </w:p>
    <w:p>
      <w:pPr>
        <w:pStyle w:val="LOnormal"/>
        <w:keepNext w:val="true"/>
        <w:keepLines/>
        <w:spacing w:lineRule="auto" w:line="240"/>
        <w:rPr>
          <w:sz w:val="12"/>
          <w:szCs w:val="12"/>
        </w:rPr>
      </w:pPr>
      <w:r>
        <w:rPr>
          <w:vertAlign w:val="superscript"/>
        </w:rPr>
        <w:t>†</w:t>
      </w:r>
      <w:r>
        <w:rPr/>
        <w:t xml:space="preserve"> </w:t>
      </w:r>
      <w:r>
        <w:rPr>
          <w:sz w:val="12"/>
          <w:szCs w:val="12"/>
        </w:rPr>
        <w:t xml:space="preserve">Japanese Alzheimer’s Disease Neuroimaging Initiative: Data used in preparation of this article were obtained from the Japanese Alzheimer’s Disease Neuroimaging Initiative (J-ADNI) database deposited in the National Bioscience Database Center Human Database, Japan (Research ID: hum0043.v1, 2016). As such, the investigators within J-ADNI contributed to the design and implementation of J-ADNI and/or provided data but did not participate in analysis or writing of this report. A complete listing of J-ADNI investigators can be found at: </w:t>
      </w:r>
      <w:hyperlink r:id="rId3">
        <w:r>
          <w:rPr>
            <w:color w:val="1155CC"/>
            <w:sz w:val="12"/>
            <w:szCs w:val="12"/>
            <w:u w:val="single"/>
          </w:rPr>
          <w:t>https://humandbs.biosciencedbc.jp/en/hum0043-j-adni-authors</w:t>
        </w:r>
      </w:hyperlink>
      <w:r>
        <w:rPr>
          <w:sz w:val="12"/>
          <w:szCs w:val="12"/>
        </w:rPr>
        <w:t>.</w:t>
      </w:r>
    </w:p>
    <w:p>
      <w:pPr>
        <w:pStyle w:val="LOnormal"/>
        <w:keepNext w:val="true"/>
        <w:keepLines/>
        <w:spacing w:lineRule="auto" w:line="240"/>
        <w:jc w:val="both"/>
        <w:rPr>
          <w:sz w:val="12"/>
          <w:szCs w:val="12"/>
        </w:rPr>
      </w:pPr>
      <w:r>
        <w:rPr>
          <w:vertAlign w:val="superscript"/>
        </w:rPr>
        <w:t>‡</w:t>
      </w:r>
      <w:r>
        <w:rPr>
          <w:sz w:val="12"/>
          <w:szCs w:val="12"/>
        </w:rPr>
        <w:t xml:space="preserve"> </w:t>
      </w:r>
      <w:r>
        <w:rPr>
          <w:sz w:val="12"/>
          <w:szCs w:val="12"/>
        </w:rPr>
        <w:t>Data used in preparation of this article were obtained from the Aging Brain: Vasculature, Ischemia, and Behavior Study (ABVIB). As such, the key investigators within the ABVIB contributed to the design and implementation of ABVIB and/or provided data but did not participate in analysis or writing of this report: Helena C. Chui M.D. (Principal Investigator), Charles C. DeCarli, M.D., William G. Ellis, M.D., William J. Jagust, M.D., Joel H. Kramer, Ph.D., Meng Law, M.D., Dan Mungas Ph,D. Bruce R. Reed, Ph.D., Nerses Sanossian, M.D., Michael W. Weiner, M.D. Wendy J. Mack, Ph.D., Harry V. Vinters, M.D., Chris Zarow, Ph.D., Ling Zheng, Ph.D.</w:t>
      </w:r>
    </w:p>
    <w:p>
      <w:pPr>
        <w:pStyle w:val="LOnormal"/>
        <w:keepNext w:val="true"/>
        <w:keepLines/>
        <w:spacing w:lineRule="auto" w:line="240"/>
        <w:jc w:val="both"/>
        <w:rPr>
          <w:sz w:val="12"/>
          <w:szCs w:val="12"/>
        </w:rPr>
      </w:pPr>
      <w:r>
        <w:rPr>
          <w:vertAlign w:val="superscript"/>
        </w:rPr>
        <w:t xml:space="preserve">§ </w:t>
      </w:r>
      <w:r>
        <w:rPr>
          <w:sz w:val="12"/>
          <w:szCs w:val="12"/>
        </w:rPr>
        <w:t xml:space="preserve">Data used in preparation of this article were obtained from the Alzheimer's Disease Repository Without Borders (ARWiBo) database (www.arwibo.it). As such, the researchers within the ARWiBo contributed to the design and implementation of ARWiBo and/or provided data but did not participate in analysis or writing of this report. A complete listing of </w:t>
      </w:r>
    </w:p>
    <w:p>
      <w:pPr>
        <w:pStyle w:val="LOnormal"/>
        <w:keepNext w:val="true"/>
        <w:keepLines/>
        <w:spacing w:lineRule="auto" w:line="240"/>
        <w:jc w:val="both"/>
        <w:rPr>
          <w:sz w:val="20"/>
          <w:szCs w:val="20"/>
        </w:rPr>
      </w:pPr>
      <w:r>
        <w:rPr>
          <w:sz w:val="12"/>
          <w:szCs w:val="12"/>
        </w:rPr>
        <w:t>ARWiBo researchers can be found at:</w:t>
      </w:r>
      <w:hyperlink r:id="rId4">
        <w:r>
          <w:rPr>
            <w:color w:val="1155CC"/>
            <w:sz w:val="12"/>
            <w:szCs w:val="12"/>
            <w:u w:val="single"/>
          </w:rPr>
          <w:t>https://www.arwibo.it/acknowledgments.pdf</w:t>
        </w:r>
      </w:hyperlink>
    </w:p>
    <w:p>
      <w:pPr>
        <w:pStyle w:val="LOnormal"/>
        <w:keepNext w:val="true"/>
        <w:keepLines/>
        <w:spacing w:lineRule="auto" w:line="240" w:before="0" w:after="0"/>
        <w:jc w:val="both"/>
        <w:rPr>
          <w:sz w:val="12"/>
          <w:szCs w:val="12"/>
          <w:vertAlign w:val="superscript"/>
        </w:rPr>
      </w:pPr>
      <w:r>
        <w:rPr>
          <w:sz w:val="12"/>
          <w:szCs w:val="12"/>
          <w:vertAlign w:val="superscript"/>
        </w:rPr>
      </w:r>
      <w:r>
        <w:br w:type="page"/>
      </w:r>
    </w:p>
    <w:p>
      <w:pPr>
        <w:pStyle w:val="LOnormal"/>
        <w:spacing w:lineRule="auto" w:line="360"/>
        <w:jc w:val="both"/>
        <w:rPr>
          <w:b/>
          <w:b/>
        </w:rPr>
      </w:pPr>
      <w:r>
        <w:rPr>
          <w:b/>
        </w:rPr>
      </w:r>
    </w:p>
    <w:tbl>
      <w:tblPr>
        <w:tblStyle w:val="Table1"/>
        <w:tblW w:w="7710" w:type="dxa"/>
        <w:jc w:val="center"/>
        <w:tblInd w:w="0" w:type="dxa"/>
        <w:tblLayout w:type="fixed"/>
        <w:tblCellMar>
          <w:top w:w="55" w:type="dxa"/>
          <w:left w:w="55" w:type="dxa"/>
          <w:bottom w:w="55" w:type="dxa"/>
          <w:right w:w="55" w:type="dxa"/>
        </w:tblCellMar>
        <w:tblLook w:val="0600"/>
      </w:tblPr>
      <w:tblGrid>
        <w:gridCol w:w="1784"/>
        <w:gridCol w:w="1619"/>
        <w:gridCol w:w="4307"/>
      </w:tblGrid>
      <w:tr>
        <w:trPr>
          <w:trHeight w:val="420" w:hRule="atLeast"/>
        </w:trPr>
        <w:tc>
          <w:tcPr>
            <w:tcW w:w="3403" w:type="dxa"/>
            <w:gridSpan w:val="2"/>
            <w:tcBorders>
              <w:top w:val="single" w:sz="8" w:space="0" w:color="000000"/>
              <w:left w:val="single" w:sz="8" w:space="0" w:color="000000"/>
              <w:bottom w:val="single" w:sz="8" w:space="0" w:color="000000"/>
            </w:tcBorders>
            <w:shd w:fill="CCCCCC" w:val="clear"/>
            <w:vAlign w:val="center"/>
          </w:tcPr>
          <w:p>
            <w:pPr>
              <w:pStyle w:val="LOnormal"/>
              <w:widowControl w:val="false"/>
              <w:jc w:val="center"/>
              <w:rPr>
                <w:b/>
                <w:b/>
                <w:sz w:val="20"/>
                <w:szCs w:val="20"/>
              </w:rPr>
            </w:pPr>
            <w:r>
              <w:rPr>
                <w:b/>
                <w:sz w:val="20"/>
                <w:szCs w:val="20"/>
              </w:rPr>
              <w:t>Variable Source</w:t>
            </w:r>
          </w:p>
        </w:tc>
        <w:tc>
          <w:tcPr>
            <w:tcW w:w="4307" w:type="dxa"/>
            <w:tcBorders>
              <w:top w:val="single" w:sz="8" w:space="0" w:color="000000"/>
              <w:left w:val="single" w:sz="8" w:space="0" w:color="000000"/>
              <w:bottom w:val="single" w:sz="8" w:space="0" w:color="000000"/>
              <w:right w:val="single" w:sz="8" w:space="0" w:color="000000"/>
            </w:tcBorders>
            <w:shd w:fill="CCCCCC" w:val="clear"/>
            <w:vAlign w:val="center"/>
          </w:tcPr>
          <w:p>
            <w:pPr>
              <w:pStyle w:val="LOnormal"/>
              <w:widowControl w:val="false"/>
              <w:spacing w:lineRule="auto" w:line="240"/>
              <w:jc w:val="center"/>
              <w:rPr>
                <w:b/>
                <w:b/>
              </w:rPr>
            </w:pPr>
            <w:r>
              <w:rPr>
                <w:b/>
              </w:rPr>
              <w:t># Included variables</w:t>
            </w:r>
          </w:p>
        </w:tc>
      </w:tr>
      <w:tr>
        <w:trPr>
          <w:trHeight w:val="280" w:hRule="atLeast"/>
        </w:trPr>
        <w:tc>
          <w:tcPr>
            <w:tcW w:w="1784" w:type="dxa"/>
            <w:vMerge w:val="restart"/>
            <w:tcBorders>
              <w:left w:val="single" w:sz="8" w:space="0" w:color="000000"/>
              <w:bottom w:val="single" w:sz="8" w:space="0" w:color="000000"/>
            </w:tcBorders>
            <w:shd w:fill="CCCCCC" w:val="clear"/>
            <w:vAlign w:val="center"/>
          </w:tcPr>
          <w:p>
            <w:pPr>
              <w:pStyle w:val="LOnormal"/>
              <w:widowControl w:val="false"/>
              <w:rPr>
                <w:b/>
                <w:b/>
                <w:sz w:val="20"/>
                <w:szCs w:val="20"/>
              </w:rPr>
            </w:pPr>
            <w:r>
              <w:rPr>
                <w:b/>
                <w:sz w:val="20"/>
                <w:szCs w:val="20"/>
              </w:rPr>
              <w:t>Cohort</w:t>
            </w:r>
          </w:p>
        </w:tc>
        <w:tc>
          <w:tcPr>
            <w:tcW w:w="1619" w:type="dxa"/>
            <w:tcBorders>
              <w:left w:val="single" w:sz="8" w:space="0" w:color="000000"/>
              <w:bottom w:val="single" w:sz="8" w:space="0" w:color="000000"/>
            </w:tcBorders>
            <w:shd w:fill="CCCCCC" w:val="clear"/>
            <w:vAlign w:val="center"/>
          </w:tcPr>
          <w:p>
            <w:pPr>
              <w:pStyle w:val="LOnormal"/>
              <w:widowControl w:val="false"/>
              <w:rPr>
                <w:sz w:val="20"/>
                <w:szCs w:val="20"/>
              </w:rPr>
            </w:pPr>
            <w:r>
              <w:rPr>
                <w:b/>
                <w:sz w:val="20"/>
                <w:szCs w:val="20"/>
              </w:rPr>
              <w:t>BIOFIND</w:t>
            </w:r>
            <w:hyperlink r:id="rId5">
              <w:r>
                <w:rPr>
                  <w:b/>
                  <w:sz w:val="20"/>
                  <w:szCs w:val="20"/>
                </w:rPr>
                <w:t>[15]</w:t>
              </w:r>
            </w:hyperlink>
          </w:p>
        </w:tc>
        <w:tc>
          <w:tcPr>
            <w:tcW w:w="4307" w:type="dxa"/>
            <w:tcBorders>
              <w:left w:val="single" w:sz="8" w:space="0" w:color="000000"/>
              <w:bottom w:val="single" w:sz="8" w:space="0" w:color="000000"/>
              <w:right w:val="single" w:sz="8" w:space="0" w:color="000000"/>
            </w:tcBorders>
            <w:shd w:fill="auto" w:val="clear"/>
            <w:vAlign w:val="center"/>
          </w:tcPr>
          <w:p>
            <w:pPr>
              <w:pStyle w:val="LOnormal"/>
              <w:widowControl w:val="false"/>
              <w:spacing w:lineRule="auto" w:line="240"/>
              <w:jc w:val="center"/>
              <w:rPr/>
            </w:pPr>
            <w:r>
              <w:rPr/>
              <w:t>147</w:t>
            </w:r>
          </w:p>
        </w:tc>
      </w:tr>
      <w:tr>
        <w:trPr>
          <w:trHeight w:val="280" w:hRule="atLeast"/>
        </w:trPr>
        <w:tc>
          <w:tcPr>
            <w:tcW w:w="1784" w:type="dxa"/>
            <w:vMerge w:val="continue"/>
            <w:tcBorders>
              <w:left w:val="single" w:sz="8" w:space="0" w:color="000000"/>
              <w:bottom w:val="single" w:sz="8" w:space="0" w:color="000000"/>
            </w:tcBorders>
            <w:shd w:fill="CCCCCC" w:val="clear"/>
            <w:vAlign w:val="center"/>
          </w:tcPr>
          <w:p>
            <w:pPr>
              <w:pStyle w:val="LOnormal"/>
              <w:widowControl w:val="false"/>
              <w:spacing w:lineRule="auto" w:line="240"/>
              <w:rPr>
                <w:b/>
                <w:b/>
                <w:sz w:val="20"/>
                <w:szCs w:val="20"/>
              </w:rPr>
            </w:pPr>
            <w:r>
              <w:rPr>
                <w:b/>
                <w:sz w:val="20"/>
                <w:szCs w:val="20"/>
              </w:rPr>
            </w:r>
          </w:p>
        </w:tc>
        <w:tc>
          <w:tcPr>
            <w:tcW w:w="1619" w:type="dxa"/>
            <w:tcBorders>
              <w:left w:val="single" w:sz="8" w:space="0" w:color="000000"/>
              <w:bottom w:val="single" w:sz="8" w:space="0" w:color="000000"/>
            </w:tcBorders>
            <w:shd w:fill="CCCCCC" w:val="clear"/>
            <w:vAlign w:val="center"/>
          </w:tcPr>
          <w:p>
            <w:pPr>
              <w:pStyle w:val="LOnormal"/>
              <w:widowControl w:val="false"/>
              <w:rPr>
                <w:sz w:val="20"/>
                <w:szCs w:val="20"/>
              </w:rPr>
            </w:pPr>
            <w:r>
              <w:rPr>
                <w:b/>
                <w:sz w:val="20"/>
                <w:szCs w:val="20"/>
              </w:rPr>
              <w:t>LCC</w:t>
            </w:r>
            <w:hyperlink r:id="rId6">
              <w:r>
                <w:rPr>
                  <w:b/>
                  <w:sz w:val="20"/>
                  <w:szCs w:val="20"/>
                </w:rPr>
                <w:t>[16]</w:t>
              </w:r>
            </w:hyperlink>
          </w:p>
        </w:tc>
        <w:tc>
          <w:tcPr>
            <w:tcW w:w="4307" w:type="dxa"/>
            <w:tcBorders>
              <w:left w:val="single" w:sz="8" w:space="0" w:color="000000"/>
              <w:bottom w:val="single" w:sz="8" w:space="0" w:color="000000"/>
              <w:right w:val="single" w:sz="8" w:space="0" w:color="000000"/>
            </w:tcBorders>
            <w:shd w:fill="auto" w:val="clear"/>
            <w:vAlign w:val="center"/>
          </w:tcPr>
          <w:p>
            <w:pPr>
              <w:pStyle w:val="LOnormal"/>
              <w:widowControl w:val="false"/>
              <w:spacing w:lineRule="auto" w:line="240"/>
              <w:jc w:val="center"/>
              <w:rPr/>
            </w:pPr>
            <w:r>
              <w:rPr/>
              <w:t>240</w:t>
            </w:r>
          </w:p>
        </w:tc>
      </w:tr>
      <w:tr>
        <w:trPr>
          <w:trHeight w:val="280" w:hRule="atLeast"/>
        </w:trPr>
        <w:tc>
          <w:tcPr>
            <w:tcW w:w="1784" w:type="dxa"/>
            <w:vMerge w:val="continue"/>
            <w:tcBorders>
              <w:left w:val="single" w:sz="8" w:space="0" w:color="000000"/>
              <w:bottom w:val="single" w:sz="8" w:space="0" w:color="000000"/>
            </w:tcBorders>
            <w:shd w:fill="CCCCCC" w:val="clear"/>
            <w:vAlign w:val="center"/>
          </w:tcPr>
          <w:p>
            <w:pPr>
              <w:pStyle w:val="LOnormal"/>
              <w:widowControl w:val="false"/>
              <w:spacing w:lineRule="auto" w:line="240"/>
              <w:rPr>
                <w:b/>
                <w:b/>
                <w:sz w:val="20"/>
                <w:szCs w:val="20"/>
              </w:rPr>
            </w:pPr>
            <w:r>
              <w:rPr>
                <w:b/>
                <w:sz w:val="20"/>
                <w:szCs w:val="20"/>
              </w:rPr>
            </w:r>
          </w:p>
        </w:tc>
        <w:tc>
          <w:tcPr>
            <w:tcW w:w="1619" w:type="dxa"/>
            <w:tcBorders>
              <w:left w:val="single" w:sz="8" w:space="0" w:color="000000"/>
              <w:bottom w:val="single" w:sz="8" w:space="0" w:color="000000"/>
            </w:tcBorders>
            <w:shd w:fill="CCCCCC" w:val="clear"/>
            <w:vAlign w:val="center"/>
          </w:tcPr>
          <w:p>
            <w:pPr>
              <w:pStyle w:val="LOnormal"/>
              <w:widowControl w:val="false"/>
              <w:rPr>
                <w:b/>
                <w:b/>
                <w:sz w:val="20"/>
                <w:szCs w:val="20"/>
              </w:rPr>
            </w:pPr>
            <w:r>
              <w:rPr>
                <w:b/>
                <w:sz w:val="20"/>
                <w:szCs w:val="20"/>
              </w:rPr>
              <w:t>LuxPARK</w:t>
            </w:r>
            <w:hyperlink r:id="rId7">
              <w:r>
                <w:rPr>
                  <w:b/>
                  <w:sz w:val="20"/>
                  <w:szCs w:val="20"/>
                </w:rPr>
                <w:t>[17]</w:t>
              </w:r>
            </w:hyperlink>
          </w:p>
        </w:tc>
        <w:tc>
          <w:tcPr>
            <w:tcW w:w="4307" w:type="dxa"/>
            <w:tcBorders>
              <w:left w:val="single" w:sz="8" w:space="0" w:color="000000"/>
              <w:bottom w:val="single" w:sz="8" w:space="0" w:color="000000"/>
              <w:right w:val="single" w:sz="8" w:space="0" w:color="000000"/>
            </w:tcBorders>
            <w:shd w:fill="auto" w:val="clear"/>
            <w:vAlign w:val="center"/>
          </w:tcPr>
          <w:p>
            <w:pPr>
              <w:pStyle w:val="LOnormal"/>
              <w:widowControl w:val="false"/>
              <w:spacing w:lineRule="auto" w:line="240"/>
              <w:jc w:val="center"/>
              <w:rPr/>
            </w:pPr>
            <w:r>
              <w:rPr/>
              <w:t>510</w:t>
            </w:r>
          </w:p>
        </w:tc>
      </w:tr>
      <w:tr>
        <w:trPr>
          <w:trHeight w:val="280" w:hRule="atLeast"/>
        </w:trPr>
        <w:tc>
          <w:tcPr>
            <w:tcW w:w="1784" w:type="dxa"/>
            <w:vMerge w:val="continue"/>
            <w:tcBorders>
              <w:left w:val="single" w:sz="8" w:space="0" w:color="000000"/>
              <w:bottom w:val="single" w:sz="8" w:space="0" w:color="000000"/>
            </w:tcBorders>
            <w:shd w:fill="CCCCCC" w:val="clear"/>
            <w:vAlign w:val="center"/>
          </w:tcPr>
          <w:p>
            <w:pPr>
              <w:pStyle w:val="LOnormal"/>
              <w:widowControl w:val="false"/>
              <w:spacing w:lineRule="auto" w:line="240"/>
              <w:rPr>
                <w:b/>
                <w:b/>
                <w:sz w:val="20"/>
                <w:szCs w:val="20"/>
              </w:rPr>
            </w:pPr>
            <w:r>
              <w:rPr>
                <w:b/>
                <w:sz w:val="20"/>
                <w:szCs w:val="20"/>
              </w:rPr>
            </w:r>
          </w:p>
        </w:tc>
        <w:tc>
          <w:tcPr>
            <w:tcW w:w="1619" w:type="dxa"/>
            <w:tcBorders>
              <w:left w:val="single" w:sz="8" w:space="0" w:color="000000"/>
              <w:bottom w:val="single" w:sz="8" w:space="0" w:color="000000"/>
            </w:tcBorders>
            <w:shd w:fill="CCCCCC" w:val="clear"/>
            <w:vAlign w:val="center"/>
          </w:tcPr>
          <w:p>
            <w:pPr>
              <w:pStyle w:val="LOnormal"/>
              <w:widowControl w:val="false"/>
              <w:rPr>
                <w:sz w:val="20"/>
                <w:szCs w:val="20"/>
              </w:rPr>
            </w:pPr>
            <w:r>
              <w:rPr>
                <w:b/>
                <w:sz w:val="20"/>
                <w:szCs w:val="20"/>
              </w:rPr>
              <w:t>OPDC</w:t>
            </w:r>
            <w:hyperlink r:id="rId8">
              <w:r>
                <w:rPr>
                  <w:b/>
                  <w:sz w:val="20"/>
                  <w:szCs w:val="20"/>
                </w:rPr>
                <w:t>[18]</w:t>
              </w:r>
            </w:hyperlink>
          </w:p>
        </w:tc>
        <w:tc>
          <w:tcPr>
            <w:tcW w:w="4307" w:type="dxa"/>
            <w:tcBorders>
              <w:left w:val="single" w:sz="8" w:space="0" w:color="000000"/>
              <w:bottom w:val="single" w:sz="8" w:space="0" w:color="000000"/>
              <w:right w:val="single" w:sz="8" w:space="0" w:color="000000"/>
            </w:tcBorders>
            <w:shd w:fill="auto" w:val="clear"/>
            <w:vAlign w:val="center"/>
          </w:tcPr>
          <w:p>
            <w:pPr>
              <w:pStyle w:val="LOnormal"/>
              <w:widowControl w:val="false"/>
              <w:spacing w:lineRule="auto" w:line="240"/>
              <w:jc w:val="center"/>
              <w:rPr/>
            </w:pPr>
            <w:r>
              <w:rPr/>
              <w:t>46</w:t>
            </w:r>
          </w:p>
        </w:tc>
      </w:tr>
      <w:tr>
        <w:trPr>
          <w:trHeight w:val="280" w:hRule="atLeast"/>
        </w:trPr>
        <w:tc>
          <w:tcPr>
            <w:tcW w:w="1784" w:type="dxa"/>
            <w:vMerge w:val="continue"/>
            <w:tcBorders>
              <w:left w:val="single" w:sz="8" w:space="0" w:color="000000"/>
              <w:bottom w:val="single" w:sz="8" w:space="0" w:color="000000"/>
            </w:tcBorders>
            <w:shd w:fill="CCCCCC" w:val="clear"/>
            <w:vAlign w:val="center"/>
          </w:tcPr>
          <w:p>
            <w:pPr>
              <w:pStyle w:val="LOnormal"/>
              <w:widowControl w:val="false"/>
              <w:spacing w:lineRule="auto" w:line="240"/>
              <w:rPr>
                <w:b/>
                <w:b/>
                <w:sz w:val="20"/>
                <w:szCs w:val="20"/>
              </w:rPr>
            </w:pPr>
            <w:r>
              <w:rPr>
                <w:b/>
                <w:sz w:val="20"/>
                <w:szCs w:val="20"/>
              </w:rPr>
            </w:r>
          </w:p>
        </w:tc>
        <w:tc>
          <w:tcPr>
            <w:tcW w:w="1619" w:type="dxa"/>
            <w:tcBorders>
              <w:left w:val="single" w:sz="8" w:space="0" w:color="000000"/>
              <w:bottom w:val="single" w:sz="8" w:space="0" w:color="000000"/>
            </w:tcBorders>
            <w:shd w:fill="CCCCCC" w:val="clear"/>
            <w:vAlign w:val="center"/>
          </w:tcPr>
          <w:p>
            <w:pPr>
              <w:pStyle w:val="LOnormal"/>
              <w:widowControl w:val="false"/>
              <w:rPr>
                <w:sz w:val="20"/>
                <w:szCs w:val="20"/>
              </w:rPr>
            </w:pPr>
            <w:r>
              <w:rPr>
                <w:b/>
                <w:sz w:val="20"/>
                <w:szCs w:val="20"/>
              </w:rPr>
              <w:t>PPMI</w:t>
            </w:r>
            <w:hyperlink r:id="rId9">
              <w:r>
                <w:rPr>
                  <w:b/>
                  <w:sz w:val="20"/>
                  <w:szCs w:val="20"/>
                </w:rPr>
                <w:t>[19]</w:t>
              </w:r>
            </w:hyperlink>
          </w:p>
        </w:tc>
        <w:tc>
          <w:tcPr>
            <w:tcW w:w="4307" w:type="dxa"/>
            <w:tcBorders>
              <w:left w:val="single" w:sz="8" w:space="0" w:color="000000"/>
              <w:bottom w:val="single" w:sz="8" w:space="0" w:color="000000"/>
              <w:right w:val="single" w:sz="8" w:space="0" w:color="000000"/>
            </w:tcBorders>
            <w:shd w:fill="auto" w:val="clear"/>
            <w:vAlign w:val="center"/>
          </w:tcPr>
          <w:p>
            <w:pPr>
              <w:pStyle w:val="LOnormal"/>
              <w:widowControl w:val="false"/>
              <w:spacing w:lineRule="auto" w:line="240"/>
              <w:jc w:val="center"/>
              <w:rPr/>
            </w:pPr>
            <w:r>
              <w:rPr/>
              <w:t>338</w:t>
            </w:r>
          </w:p>
        </w:tc>
      </w:tr>
      <w:tr>
        <w:trPr>
          <w:trHeight w:val="280" w:hRule="atLeast"/>
        </w:trPr>
        <w:tc>
          <w:tcPr>
            <w:tcW w:w="1784" w:type="dxa"/>
            <w:vMerge w:val="continue"/>
            <w:tcBorders>
              <w:left w:val="single" w:sz="8" w:space="0" w:color="000000"/>
              <w:bottom w:val="single" w:sz="8" w:space="0" w:color="000000"/>
            </w:tcBorders>
            <w:shd w:fill="CCCCCC" w:val="clear"/>
            <w:vAlign w:val="center"/>
          </w:tcPr>
          <w:p>
            <w:pPr>
              <w:pStyle w:val="LOnormal"/>
              <w:widowControl w:val="false"/>
              <w:spacing w:lineRule="auto" w:line="240"/>
              <w:rPr>
                <w:b/>
                <w:b/>
                <w:sz w:val="20"/>
                <w:szCs w:val="20"/>
              </w:rPr>
            </w:pPr>
            <w:r>
              <w:rPr>
                <w:b/>
                <w:sz w:val="20"/>
                <w:szCs w:val="20"/>
              </w:rPr>
            </w:r>
          </w:p>
        </w:tc>
        <w:tc>
          <w:tcPr>
            <w:tcW w:w="1619" w:type="dxa"/>
            <w:tcBorders>
              <w:left w:val="single" w:sz="8" w:space="0" w:color="000000"/>
              <w:bottom w:val="single" w:sz="8" w:space="0" w:color="000000"/>
            </w:tcBorders>
            <w:shd w:fill="CCCCCC" w:val="clear"/>
            <w:vAlign w:val="center"/>
          </w:tcPr>
          <w:p>
            <w:pPr>
              <w:pStyle w:val="LOnormal"/>
              <w:widowControl w:val="false"/>
              <w:rPr>
                <w:sz w:val="20"/>
                <w:szCs w:val="20"/>
              </w:rPr>
            </w:pPr>
            <w:r>
              <w:rPr>
                <w:b/>
                <w:sz w:val="20"/>
                <w:szCs w:val="20"/>
              </w:rPr>
              <w:t>PRoBaND</w:t>
            </w:r>
            <w:hyperlink r:id="rId10">
              <w:r>
                <w:rPr>
                  <w:b/>
                  <w:sz w:val="20"/>
                  <w:szCs w:val="20"/>
                </w:rPr>
                <w:t>[20]</w:t>
              </w:r>
            </w:hyperlink>
          </w:p>
        </w:tc>
        <w:tc>
          <w:tcPr>
            <w:tcW w:w="4307" w:type="dxa"/>
            <w:tcBorders>
              <w:left w:val="single" w:sz="8" w:space="0" w:color="000000"/>
              <w:bottom w:val="single" w:sz="8" w:space="0" w:color="000000"/>
              <w:right w:val="single" w:sz="8" w:space="0" w:color="000000"/>
            </w:tcBorders>
            <w:shd w:fill="auto" w:val="clear"/>
            <w:vAlign w:val="center"/>
          </w:tcPr>
          <w:p>
            <w:pPr>
              <w:pStyle w:val="LOnormal"/>
              <w:widowControl w:val="false"/>
              <w:spacing w:lineRule="auto" w:line="240"/>
              <w:jc w:val="center"/>
              <w:rPr/>
            </w:pPr>
            <w:r>
              <w:rPr/>
              <w:t>88</w:t>
            </w:r>
          </w:p>
        </w:tc>
      </w:tr>
      <w:tr>
        <w:trPr/>
        <w:tc>
          <w:tcPr>
            <w:tcW w:w="1784" w:type="dxa"/>
            <w:tcBorders>
              <w:left w:val="single" w:sz="8" w:space="0" w:color="000000"/>
              <w:bottom w:val="single" w:sz="8" w:space="0" w:color="000000"/>
            </w:tcBorders>
            <w:shd w:fill="CCCCCC" w:val="clear"/>
            <w:vAlign w:val="center"/>
          </w:tcPr>
          <w:p>
            <w:pPr>
              <w:pStyle w:val="LOnormal"/>
              <w:widowControl w:val="false"/>
              <w:rPr>
                <w:b/>
                <w:b/>
                <w:sz w:val="20"/>
                <w:szCs w:val="20"/>
              </w:rPr>
            </w:pPr>
            <w:r>
              <w:rPr>
                <w:b/>
                <w:sz w:val="20"/>
                <w:szCs w:val="20"/>
              </w:rPr>
              <w:t>CDM</w:t>
            </w:r>
          </w:p>
        </w:tc>
        <w:tc>
          <w:tcPr>
            <w:tcW w:w="1619" w:type="dxa"/>
            <w:tcBorders>
              <w:left w:val="single" w:sz="8" w:space="0" w:color="000000"/>
              <w:bottom w:val="single" w:sz="8" w:space="0" w:color="000000"/>
            </w:tcBorders>
            <w:shd w:fill="CCCCCC" w:val="clear"/>
            <w:vAlign w:val="center"/>
          </w:tcPr>
          <w:p>
            <w:pPr>
              <w:pStyle w:val="LOnormal"/>
              <w:widowControl w:val="false"/>
              <w:spacing w:lineRule="auto" w:line="240"/>
              <w:rPr>
                <w:sz w:val="20"/>
                <w:szCs w:val="20"/>
              </w:rPr>
            </w:pPr>
            <w:r>
              <w:rPr>
                <w:b/>
                <w:sz w:val="20"/>
                <w:szCs w:val="20"/>
              </w:rPr>
              <w:t>OMOP</w:t>
            </w:r>
            <w:hyperlink r:id="rId11">
              <w:r>
                <w:rPr>
                  <w:b/>
                  <w:sz w:val="20"/>
                  <w:szCs w:val="20"/>
                </w:rPr>
                <w:t>[21]</w:t>
              </w:r>
            </w:hyperlink>
          </w:p>
        </w:tc>
        <w:tc>
          <w:tcPr>
            <w:tcW w:w="4307" w:type="dxa"/>
            <w:tcBorders>
              <w:left w:val="single" w:sz="8" w:space="0" w:color="000000"/>
              <w:bottom w:val="single" w:sz="8" w:space="0" w:color="000000"/>
              <w:right w:val="single" w:sz="8" w:space="0" w:color="000000"/>
            </w:tcBorders>
            <w:shd w:fill="auto" w:val="clear"/>
            <w:vAlign w:val="center"/>
          </w:tcPr>
          <w:p>
            <w:pPr>
              <w:pStyle w:val="LOnormal"/>
              <w:widowControl w:val="false"/>
              <w:spacing w:lineRule="auto" w:line="240"/>
              <w:jc w:val="center"/>
              <w:rPr/>
            </w:pPr>
            <w:r>
              <w:rPr/>
              <w:t>201</w:t>
            </w:r>
          </w:p>
        </w:tc>
      </w:tr>
      <w:tr>
        <w:trPr>
          <w:trHeight w:val="280" w:hRule="atLeast"/>
        </w:trPr>
        <w:tc>
          <w:tcPr>
            <w:tcW w:w="1784" w:type="dxa"/>
            <w:vMerge w:val="restart"/>
            <w:tcBorders>
              <w:left w:val="single" w:sz="8" w:space="0" w:color="000000"/>
              <w:bottom w:val="single" w:sz="8" w:space="0" w:color="000000"/>
            </w:tcBorders>
            <w:shd w:fill="CCCCCC" w:val="clear"/>
            <w:vAlign w:val="center"/>
          </w:tcPr>
          <w:p>
            <w:pPr>
              <w:pStyle w:val="LOnormal"/>
              <w:widowControl w:val="false"/>
              <w:rPr>
                <w:b/>
                <w:b/>
                <w:sz w:val="20"/>
                <w:szCs w:val="20"/>
              </w:rPr>
            </w:pPr>
            <w:r>
              <w:rPr>
                <w:b/>
                <w:sz w:val="20"/>
                <w:szCs w:val="20"/>
              </w:rPr>
              <w:t>PASSIONATE CDM</w:t>
            </w:r>
          </w:p>
        </w:tc>
        <w:tc>
          <w:tcPr>
            <w:tcW w:w="1619" w:type="dxa"/>
            <w:tcBorders>
              <w:left w:val="single" w:sz="8" w:space="0" w:color="000000"/>
              <w:bottom w:val="single" w:sz="8" w:space="0" w:color="000000"/>
            </w:tcBorders>
            <w:shd w:fill="CCCCCC" w:val="clear"/>
            <w:vAlign w:val="center"/>
          </w:tcPr>
          <w:p>
            <w:pPr>
              <w:pStyle w:val="LOnormal"/>
              <w:widowControl w:val="false"/>
              <w:rPr>
                <w:b/>
                <w:b/>
                <w:sz w:val="20"/>
                <w:szCs w:val="20"/>
              </w:rPr>
            </w:pPr>
            <w:r>
              <w:rPr>
                <w:b/>
                <w:sz w:val="20"/>
                <w:szCs w:val="20"/>
              </w:rPr>
              <w:t>Reference Term</w:t>
            </w:r>
          </w:p>
        </w:tc>
        <w:tc>
          <w:tcPr>
            <w:tcW w:w="4307" w:type="dxa"/>
            <w:tcBorders>
              <w:left w:val="single" w:sz="8" w:space="0" w:color="000000"/>
              <w:bottom w:val="single" w:sz="8" w:space="0" w:color="000000"/>
              <w:right w:val="single" w:sz="8" w:space="0" w:color="000000"/>
            </w:tcBorders>
            <w:shd w:fill="auto" w:val="clear"/>
            <w:vAlign w:val="center"/>
          </w:tcPr>
          <w:p>
            <w:pPr>
              <w:pStyle w:val="LOnormal"/>
              <w:widowControl w:val="false"/>
              <w:spacing w:lineRule="auto" w:line="240"/>
              <w:jc w:val="center"/>
              <w:rPr/>
            </w:pPr>
            <w:r>
              <w:rPr/>
              <w:t>741</w:t>
            </w:r>
          </w:p>
        </w:tc>
      </w:tr>
      <w:tr>
        <w:trPr>
          <w:trHeight w:val="447" w:hRule="atLeast"/>
        </w:trPr>
        <w:tc>
          <w:tcPr>
            <w:tcW w:w="1784" w:type="dxa"/>
            <w:vMerge w:val="continue"/>
            <w:tcBorders>
              <w:left w:val="single" w:sz="8" w:space="0" w:color="000000"/>
              <w:bottom w:val="single" w:sz="8" w:space="0" w:color="000000"/>
            </w:tcBorders>
            <w:shd w:fill="CCCCCC" w:val="clear"/>
            <w:vAlign w:val="center"/>
          </w:tcPr>
          <w:p>
            <w:pPr>
              <w:pStyle w:val="LOnormal"/>
              <w:widowControl w:val="false"/>
              <w:spacing w:lineRule="auto" w:line="240"/>
              <w:rPr>
                <w:b/>
                <w:b/>
                <w:sz w:val="20"/>
                <w:szCs w:val="20"/>
              </w:rPr>
            </w:pPr>
            <w:r>
              <w:rPr>
                <w:b/>
                <w:sz w:val="20"/>
                <w:szCs w:val="20"/>
              </w:rPr>
            </w:r>
          </w:p>
        </w:tc>
        <w:tc>
          <w:tcPr>
            <w:tcW w:w="1619" w:type="dxa"/>
            <w:tcBorders>
              <w:left w:val="single" w:sz="8" w:space="0" w:color="000000"/>
              <w:bottom w:val="single" w:sz="8" w:space="0" w:color="000000"/>
            </w:tcBorders>
            <w:shd w:fill="CCCCCC" w:val="clear"/>
            <w:vAlign w:val="bottom"/>
          </w:tcPr>
          <w:p>
            <w:pPr>
              <w:pStyle w:val="LOnormal"/>
              <w:widowControl w:val="false"/>
              <w:rPr>
                <w:sz w:val="20"/>
                <w:szCs w:val="20"/>
              </w:rPr>
            </w:pPr>
            <w:r>
              <w:rPr>
                <w:b/>
                <w:sz w:val="20"/>
                <w:szCs w:val="20"/>
              </w:rPr>
              <w:t>Ontology</w:t>
            </w:r>
            <w:hyperlink r:id="rId12">
              <w:r>
                <w:rPr>
                  <w:b/>
                  <w:sz w:val="20"/>
                  <w:szCs w:val="20"/>
                </w:rPr>
                <w:t>[22]</w:t>
              </w:r>
            </w:hyperlink>
          </w:p>
        </w:tc>
        <w:tc>
          <w:tcPr>
            <w:tcW w:w="4307" w:type="dxa"/>
            <w:tcBorders>
              <w:left w:val="single" w:sz="8" w:space="0" w:color="000000"/>
              <w:bottom w:val="single" w:sz="8" w:space="0" w:color="000000"/>
              <w:right w:val="single" w:sz="8" w:space="0" w:color="000000"/>
            </w:tcBorders>
            <w:shd w:fill="auto" w:val="clear"/>
          </w:tcPr>
          <w:p>
            <w:pPr>
              <w:pStyle w:val="LOnormal"/>
              <w:widowControl w:val="false"/>
              <w:spacing w:lineRule="auto" w:line="240"/>
              <w:jc w:val="center"/>
              <w:rPr/>
            </w:pPr>
            <w:r>
              <w:rPr/>
              <w:t>256</w:t>
            </w:r>
          </w:p>
        </w:tc>
      </w:tr>
    </w:tbl>
    <w:p>
      <w:pPr>
        <w:sectPr>
          <w:type w:val="nextPage"/>
          <w:pgSz w:w="12240" w:h="15840"/>
          <w:pgMar w:left="1440" w:right="1440" w:gutter="0" w:header="0" w:top="1440" w:footer="0" w:bottom="1440"/>
          <w:pgNumType w:start="1" w:fmt="decimal"/>
          <w:formProt w:val="false"/>
          <w:textDirection w:val="lrTb"/>
          <w:docGrid w:type="default" w:linePitch="100" w:charSpace="4096"/>
        </w:sectPr>
        <w:pStyle w:val="LOnormal"/>
        <w:jc w:val="both"/>
        <w:rPr>
          <w:b/>
          <w:b/>
        </w:rPr>
      </w:pPr>
      <w:r>
        <w:rPr>
          <w:b/>
          <w:sz w:val="20"/>
          <w:szCs w:val="20"/>
        </w:rPr>
        <w:t xml:space="preserve">Table S1: </w:t>
      </w:r>
      <w:r>
        <w:rPr>
          <w:sz w:val="20"/>
          <w:szCs w:val="20"/>
        </w:rPr>
        <w:t>Total number of included variables in PASSIONATE from each source.</w:t>
      </w:r>
    </w:p>
    <w:p>
      <w:pPr>
        <w:pStyle w:val="LOnormal"/>
        <w:spacing w:lineRule="auto" w:line="240"/>
        <w:rPr>
          <w:sz w:val="20"/>
          <w:szCs w:val="20"/>
        </w:rPr>
      </w:pPr>
      <w:r>
        <w:rPr>
          <w:sz w:val="20"/>
          <w:szCs w:val="20"/>
        </w:rPr>
      </w:r>
    </w:p>
    <w:tbl>
      <w:tblPr>
        <w:tblStyle w:val="Table2"/>
        <w:tblW w:w="14730" w:type="dxa"/>
        <w:jc w:val="left"/>
        <w:tblInd w:w="-780" w:type="dxa"/>
        <w:tblLayout w:type="fixed"/>
        <w:tblCellMar>
          <w:top w:w="55" w:type="dxa"/>
          <w:left w:w="55" w:type="dxa"/>
          <w:bottom w:w="55" w:type="dxa"/>
          <w:right w:w="55" w:type="dxa"/>
        </w:tblCellMar>
        <w:tblLook w:val="0600"/>
      </w:tblPr>
      <w:tblGrid>
        <w:gridCol w:w="1110"/>
        <w:gridCol w:w="809"/>
        <w:gridCol w:w="916"/>
        <w:gridCol w:w="916"/>
        <w:gridCol w:w="913"/>
        <w:gridCol w:w="917"/>
        <w:gridCol w:w="914"/>
        <w:gridCol w:w="917"/>
        <w:gridCol w:w="914"/>
        <w:gridCol w:w="917"/>
        <w:gridCol w:w="913"/>
        <w:gridCol w:w="916"/>
        <w:gridCol w:w="915"/>
        <w:gridCol w:w="916"/>
        <w:gridCol w:w="915"/>
        <w:gridCol w:w="908"/>
      </w:tblGrid>
      <w:tr>
        <w:trPr>
          <w:trHeight w:val="306" w:hRule="atLeast"/>
        </w:trPr>
        <w:tc>
          <w:tcPr>
            <w:tcW w:w="1110"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Mapping from / mapping to</w:t>
            </w:r>
          </w:p>
        </w:tc>
        <w:tc>
          <w:tcPr>
            <w:tcW w:w="809"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Method</w:t>
            </w:r>
          </w:p>
        </w:tc>
        <w:tc>
          <w:tcPr>
            <w:tcW w:w="916"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A4</w:t>
            </w:r>
          </w:p>
          <w:p>
            <w:pPr>
              <w:pStyle w:val="LOnormal"/>
              <w:widowControl w:val="false"/>
              <w:spacing w:lineRule="auto" w:line="240"/>
              <w:jc w:val="center"/>
              <w:rPr>
                <w:b/>
                <w:b/>
                <w:sz w:val="16"/>
                <w:szCs w:val="16"/>
              </w:rPr>
            </w:pPr>
            <w:r>
              <w:rPr>
                <w:b/>
                <w:sz w:val="16"/>
                <w:szCs w:val="16"/>
              </w:rPr>
              <w:t>(n=89)</w:t>
            </w:r>
          </w:p>
        </w:tc>
        <w:tc>
          <w:tcPr>
            <w:tcW w:w="916"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ABVIB</w:t>
            </w:r>
          </w:p>
          <w:p>
            <w:pPr>
              <w:pStyle w:val="LOnormal"/>
              <w:widowControl w:val="false"/>
              <w:spacing w:lineRule="auto" w:line="240"/>
              <w:jc w:val="center"/>
              <w:rPr>
                <w:b/>
                <w:b/>
                <w:sz w:val="16"/>
                <w:szCs w:val="16"/>
              </w:rPr>
            </w:pPr>
            <w:r>
              <w:rPr>
                <w:b/>
                <w:sz w:val="16"/>
                <w:szCs w:val="16"/>
              </w:rPr>
              <w:t>(n=12)</w:t>
            </w:r>
          </w:p>
        </w:tc>
        <w:tc>
          <w:tcPr>
            <w:tcW w:w="913"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ADNI</w:t>
            </w:r>
          </w:p>
          <w:p>
            <w:pPr>
              <w:pStyle w:val="LOnormal"/>
              <w:widowControl w:val="false"/>
              <w:spacing w:lineRule="auto" w:line="240"/>
              <w:jc w:val="center"/>
              <w:rPr>
                <w:b/>
                <w:b/>
                <w:sz w:val="16"/>
                <w:szCs w:val="16"/>
              </w:rPr>
            </w:pPr>
            <w:r>
              <w:rPr>
                <w:b/>
                <w:sz w:val="16"/>
                <w:szCs w:val="16"/>
              </w:rPr>
              <w:t>(n=486)</w:t>
            </w:r>
          </w:p>
        </w:tc>
        <w:tc>
          <w:tcPr>
            <w:tcW w:w="917"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AIBL</w:t>
            </w:r>
          </w:p>
          <w:p>
            <w:pPr>
              <w:pStyle w:val="LOnormal"/>
              <w:widowControl w:val="false"/>
              <w:spacing w:lineRule="auto" w:line="240"/>
              <w:jc w:val="center"/>
              <w:rPr>
                <w:b/>
                <w:b/>
                <w:sz w:val="16"/>
                <w:szCs w:val="16"/>
              </w:rPr>
            </w:pPr>
            <w:r>
              <w:rPr>
                <w:b/>
                <w:sz w:val="16"/>
                <w:szCs w:val="16"/>
              </w:rPr>
              <w:t>(n=60)</w:t>
            </w:r>
          </w:p>
        </w:tc>
        <w:tc>
          <w:tcPr>
            <w:tcW w:w="914"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ARWIBO</w:t>
            </w:r>
          </w:p>
          <w:p>
            <w:pPr>
              <w:pStyle w:val="LOnormal"/>
              <w:widowControl w:val="false"/>
              <w:spacing w:lineRule="auto" w:line="240"/>
              <w:jc w:val="center"/>
              <w:rPr>
                <w:b/>
                <w:b/>
                <w:sz w:val="16"/>
                <w:szCs w:val="16"/>
              </w:rPr>
            </w:pPr>
            <w:r>
              <w:rPr>
                <w:b/>
                <w:sz w:val="16"/>
                <w:szCs w:val="16"/>
              </w:rPr>
              <w:t>(n=212)</w:t>
            </w:r>
          </w:p>
        </w:tc>
        <w:tc>
          <w:tcPr>
            <w:tcW w:w="917"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DOD-</w:t>
              <w:br/>
              <w:t>ADNI</w:t>
            </w:r>
          </w:p>
          <w:p>
            <w:pPr>
              <w:pStyle w:val="LOnormal"/>
              <w:widowControl w:val="false"/>
              <w:spacing w:lineRule="auto" w:line="240"/>
              <w:jc w:val="center"/>
              <w:rPr>
                <w:b/>
                <w:b/>
                <w:sz w:val="16"/>
                <w:szCs w:val="16"/>
              </w:rPr>
            </w:pPr>
            <w:r>
              <w:rPr>
                <w:b/>
                <w:sz w:val="16"/>
                <w:szCs w:val="16"/>
              </w:rPr>
              <w:t>(n=218)</w:t>
            </w:r>
          </w:p>
        </w:tc>
        <w:tc>
          <w:tcPr>
            <w:tcW w:w="914"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EDSD</w:t>
            </w:r>
          </w:p>
          <w:p>
            <w:pPr>
              <w:pStyle w:val="LOnormal"/>
              <w:widowControl w:val="false"/>
              <w:spacing w:lineRule="auto" w:line="240"/>
              <w:jc w:val="center"/>
              <w:rPr>
                <w:b/>
                <w:b/>
                <w:sz w:val="16"/>
                <w:szCs w:val="16"/>
              </w:rPr>
            </w:pPr>
            <w:r>
              <w:rPr>
                <w:b/>
                <w:sz w:val="16"/>
                <w:szCs w:val="16"/>
              </w:rPr>
              <w:t>(n=159)</w:t>
            </w:r>
          </w:p>
        </w:tc>
        <w:tc>
          <w:tcPr>
            <w:tcW w:w="917"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EMIF</w:t>
            </w:r>
          </w:p>
          <w:p>
            <w:pPr>
              <w:pStyle w:val="LOnormal"/>
              <w:widowControl w:val="false"/>
              <w:spacing w:lineRule="auto" w:line="240"/>
              <w:jc w:val="center"/>
              <w:rPr>
                <w:b/>
                <w:b/>
                <w:sz w:val="16"/>
                <w:szCs w:val="16"/>
              </w:rPr>
            </w:pPr>
            <w:r>
              <w:rPr>
                <w:b/>
                <w:sz w:val="16"/>
                <w:szCs w:val="16"/>
              </w:rPr>
              <w:t>(n=32)</w:t>
            </w:r>
          </w:p>
        </w:tc>
        <w:tc>
          <w:tcPr>
            <w:tcW w:w="913"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I-ADNI</w:t>
            </w:r>
          </w:p>
          <w:p>
            <w:pPr>
              <w:pStyle w:val="LOnormal"/>
              <w:widowControl w:val="false"/>
              <w:spacing w:lineRule="auto" w:line="240"/>
              <w:jc w:val="center"/>
              <w:rPr>
                <w:b/>
                <w:b/>
                <w:sz w:val="16"/>
                <w:szCs w:val="16"/>
              </w:rPr>
            </w:pPr>
            <w:r>
              <w:rPr>
                <w:b/>
                <w:sz w:val="16"/>
                <w:szCs w:val="16"/>
              </w:rPr>
              <w:t>(n=160)</w:t>
            </w:r>
          </w:p>
        </w:tc>
        <w:tc>
          <w:tcPr>
            <w:tcW w:w="916"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JADNI</w:t>
            </w:r>
          </w:p>
          <w:p>
            <w:pPr>
              <w:pStyle w:val="LOnormal"/>
              <w:widowControl w:val="false"/>
              <w:spacing w:lineRule="auto" w:line="240"/>
              <w:jc w:val="center"/>
              <w:rPr>
                <w:b/>
                <w:b/>
                <w:sz w:val="16"/>
                <w:szCs w:val="16"/>
              </w:rPr>
            </w:pPr>
            <w:r>
              <w:rPr>
                <w:b/>
                <w:sz w:val="16"/>
                <w:szCs w:val="16"/>
              </w:rPr>
              <w:t>(n=222)</w:t>
            </w:r>
          </w:p>
        </w:tc>
        <w:tc>
          <w:tcPr>
            <w:tcW w:w="915"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PharmaCog</w:t>
            </w:r>
          </w:p>
          <w:p>
            <w:pPr>
              <w:pStyle w:val="LOnormal"/>
              <w:widowControl w:val="false"/>
              <w:spacing w:lineRule="auto" w:line="240"/>
              <w:jc w:val="center"/>
              <w:rPr>
                <w:b/>
                <w:b/>
                <w:sz w:val="16"/>
                <w:szCs w:val="16"/>
              </w:rPr>
            </w:pPr>
            <w:r>
              <w:rPr>
                <w:b/>
                <w:sz w:val="16"/>
                <w:szCs w:val="16"/>
              </w:rPr>
              <w:t>(n=164)</w:t>
            </w:r>
          </w:p>
        </w:tc>
        <w:tc>
          <w:tcPr>
            <w:tcW w:w="916"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PREVENT-AD</w:t>
            </w:r>
          </w:p>
          <w:p>
            <w:pPr>
              <w:pStyle w:val="LOnormal"/>
              <w:widowControl w:val="false"/>
              <w:spacing w:lineRule="auto" w:line="240"/>
              <w:jc w:val="center"/>
              <w:rPr>
                <w:b/>
                <w:b/>
                <w:sz w:val="16"/>
                <w:szCs w:val="16"/>
              </w:rPr>
            </w:pPr>
            <w:r>
              <w:rPr>
                <w:b/>
                <w:sz w:val="16"/>
                <w:szCs w:val="16"/>
              </w:rPr>
              <w:t>(n=39)</w:t>
            </w:r>
          </w:p>
        </w:tc>
        <w:tc>
          <w:tcPr>
            <w:tcW w:w="915"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VITA</w:t>
            </w:r>
          </w:p>
          <w:p>
            <w:pPr>
              <w:pStyle w:val="LOnormal"/>
              <w:widowControl w:val="false"/>
              <w:spacing w:lineRule="auto" w:line="240"/>
              <w:jc w:val="center"/>
              <w:rPr>
                <w:b/>
                <w:b/>
                <w:sz w:val="16"/>
                <w:szCs w:val="16"/>
              </w:rPr>
            </w:pPr>
            <w:r>
              <w:rPr>
                <w:b/>
                <w:sz w:val="16"/>
                <w:szCs w:val="16"/>
              </w:rPr>
              <w:t>(n=150)</w:t>
            </w:r>
          </w:p>
        </w:tc>
        <w:tc>
          <w:tcPr>
            <w:tcW w:w="908" w:type="dxa"/>
            <w:tcBorders>
              <w:top w:val="single" w:sz="8" w:space="0" w:color="000000"/>
              <w:left w:val="single" w:sz="8" w:space="0" w:color="000000"/>
              <w:bottom w:val="single" w:sz="8" w:space="0" w:color="000000"/>
              <w:right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AD-Mapper</w:t>
            </w:r>
          </w:p>
          <w:p>
            <w:pPr>
              <w:pStyle w:val="LOnormal"/>
              <w:widowControl w:val="false"/>
              <w:spacing w:lineRule="auto" w:line="240"/>
              <w:jc w:val="center"/>
              <w:rPr>
                <w:b/>
                <w:b/>
                <w:sz w:val="16"/>
                <w:szCs w:val="16"/>
              </w:rPr>
            </w:pPr>
            <w:r>
              <w:rPr>
                <w:b/>
                <w:sz w:val="16"/>
                <w:szCs w:val="16"/>
              </w:rPr>
              <w:t>(n=340)</w:t>
            </w:r>
          </w:p>
        </w:tc>
      </w:tr>
      <w:tr>
        <w:trPr>
          <w:trHeight w:val="306" w:hRule="atLeast"/>
        </w:trPr>
        <w:tc>
          <w:tcPr>
            <w:tcW w:w="1110"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A4</w:t>
            </w:r>
          </w:p>
        </w:tc>
        <w:tc>
          <w:tcPr>
            <w:tcW w:w="809"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Fuzzy</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43%</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29%</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36%</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12%</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27%</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12%</w:t>
            </w:r>
          </w:p>
        </w:tc>
        <w:tc>
          <w:tcPr>
            <w:tcW w:w="917"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29%</w:t>
            </w:r>
          </w:p>
        </w:tc>
        <w:tc>
          <w:tcPr>
            <w:tcW w:w="913"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14%</w:t>
            </w:r>
          </w:p>
        </w:tc>
        <w:tc>
          <w:tcPr>
            <w:tcW w:w="916"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50%</w:t>
            </w:r>
          </w:p>
        </w:tc>
        <w:tc>
          <w:tcPr>
            <w:tcW w:w="915"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11%</w:t>
            </w:r>
          </w:p>
        </w:tc>
        <w:tc>
          <w:tcPr>
            <w:tcW w:w="916"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26%</w:t>
            </w:r>
          </w:p>
        </w:tc>
        <w:tc>
          <w:tcPr>
            <w:tcW w:w="915"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12%</w:t>
            </w:r>
          </w:p>
        </w:tc>
        <w:tc>
          <w:tcPr>
            <w:tcW w:w="908" w:type="dxa"/>
            <w:tcBorders>
              <w:left w:val="single" w:sz="8" w:space="0" w:color="000000"/>
              <w:bottom w:val="single" w:sz="8" w:space="0" w:color="000000"/>
              <w:right w:val="single" w:sz="8" w:space="0" w:color="000000"/>
            </w:tcBorders>
            <w:shd w:fill="FFFFFF" w:val="clear"/>
            <w:vAlign w:val="center"/>
          </w:tcPr>
          <w:p>
            <w:pPr>
              <w:pStyle w:val="LOnormal"/>
              <w:widowControl w:val="false"/>
              <w:spacing w:lineRule="auto" w:line="240"/>
              <w:jc w:val="center"/>
              <w:rPr>
                <w:sz w:val="16"/>
                <w:szCs w:val="16"/>
              </w:rPr>
            </w:pPr>
            <w:r>
              <w:rPr>
                <w:sz w:val="16"/>
                <w:szCs w:val="16"/>
              </w:rPr>
              <w:t>26%</w:t>
            </w:r>
          </w:p>
        </w:tc>
      </w:tr>
      <w:tr>
        <w:trPr>
          <w:trHeight w:val="306" w:hRule="atLeast"/>
        </w:trPr>
        <w:tc>
          <w:tcPr>
            <w:tcW w:w="1110"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ABVIB</w:t>
            </w:r>
          </w:p>
        </w:tc>
        <w:tc>
          <w:tcPr>
            <w:tcW w:w="809"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Fuzzy</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29%</w:t>
            </w:r>
          </w:p>
        </w:tc>
        <w:tc>
          <w:tcPr>
            <w:tcW w:w="916"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27%</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0%</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0%</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0%</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0%</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33%</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50%</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12%</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0%</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17%</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0%</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0%</w:t>
            </w:r>
          </w:p>
        </w:tc>
      </w:tr>
      <w:tr>
        <w:trPr>
          <w:trHeight w:val="306" w:hRule="atLeast"/>
        </w:trPr>
        <w:tc>
          <w:tcPr>
            <w:tcW w:w="1110"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ADNI</w:t>
            </w:r>
          </w:p>
        </w:tc>
        <w:tc>
          <w:tcPr>
            <w:tcW w:w="809"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Fuzzy</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28%</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64%</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34%</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12%</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41%</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16%</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27%</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74%</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14%</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33%</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13%</w:t>
            </w:r>
          </w:p>
        </w:tc>
      </w:tr>
      <w:tr>
        <w:trPr>
          <w:trHeight w:val="306" w:hRule="atLeast"/>
        </w:trPr>
        <w:tc>
          <w:tcPr>
            <w:tcW w:w="1110"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AIBL</w:t>
            </w:r>
          </w:p>
        </w:tc>
        <w:tc>
          <w:tcPr>
            <w:tcW w:w="809"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Fuzzy</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55%</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17%</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48%</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36%</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33%</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32%</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33%</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29%</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35%</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42%</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65%</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39%</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19%</w:t>
            </w:r>
          </w:p>
        </w:tc>
      </w:tr>
      <w:tr>
        <w:trPr>
          <w:trHeight w:val="306" w:hRule="atLeast"/>
        </w:trPr>
        <w:tc>
          <w:tcPr>
            <w:tcW w:w="1110"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ARWIBO</w:t>
            </w:r>
          </w:p>
        </w:tc>
        <w:tc>
          <w:tcPr>
            <w:tcW w:w="809"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Fuzzy</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15%</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60%</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15%</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24%</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86%</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21%</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14%</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12%</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89%</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15%</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90%</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15%</w:t>
            </w:r>
          </w:p>
        </w:tc>
      </w:tr>
      <w:tr>
        <w:trPr>
          <w:trHeight w:val="306" w:hRule="atLeast"/>
        </w:trPr>
        <w:tc>
          <w:tcPr>
            <w:tcW w:w="1110"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DOD-</w:t>
              <w:br/>
              <w:t>ADNI</w:t>
            </w:r>
          </w:p>
        </w:tc>
        <w:tc>
          <w:tcPr>
            <w:tcW w:w="809"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Fuzzy</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27%</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40%</w:t>
            </w:r>
          </w:p>
        </w:tc>
        <w:tc>
          <w:tcPr>
            <w:tcW w:w="913"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41%</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38%</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14%</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11%</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26%</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12%</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70%</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32%</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26%</w:t>
            </w:r>
          </w:p>
        </w:tc>
      </w:tr>
      <w:tr>
        <w:trPr>
          <w:trHeight w:val="306" w:hRule="atLeast"/>
        </w:trPr>
        <w:tc>
          <w:tcPr>
            <w:tcW w:w="1110"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EDSD</w:t>
            </w:r>
          </w:p>
        </w:tc>
        <w:tc>
          <w:tcPr>
            <w:tcW w:w="809"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Fuzzy</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14%</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57%</w:t>
            </w:r>
          </w:p>
        </w:tc>
        <w:tc>
          <w:tcPr>
            <w:tcW w:w="913"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6%</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26%</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94%</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23%</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23%</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29%</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99%</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24%</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98%</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10%</w:t>
            </w:r>
          </w:p>
        </w:tc>
      </w:tr>
      <w:tr>
        <w:trPr>
          <w:trHeight w:val="306" w:hRule="atLeast"/>
        </w:trPr>
        <w:tc>
          <w:tcPr>
            <w:tcW w:w="1110"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EMIF</w:t>
            </w:r>
          </w:p>
        </w:tc>
        <w:tc>
          <w:tcPr>
            <w:tcW w:w="809"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Fuzzy</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38%</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67%</w:t>
            </w:r>
          </w:p>
        </w:tc>
        <w:tc>
          <w:tcPr>
            <w:tcW w:w="913"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21%</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43%</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37%</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29%</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57%</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25%</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33%</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21%</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29%</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0%</w:t>
            </w:r>
          </w:p>
        </w:tc>
      </w:tr>
      <w:tr>
        <w:trPr>
          <w:trHeight w:val="306" w:hRule="atLeast"/>
        </w:trPr>
        <w:tc>
          <w:tcPr>
            <w:tcW w:w="1110"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I-ADNI</w:t>
            </w:r>
          </w:p>
        </w:tc>
        <w:tc>
          <w:tcPr>
            <w:tcW w:w="809"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Fuzzy</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40%</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0%</w:t>
            </w:r>
          </w:p>
        </w:tc>
        <w:tc>
          <w:tcPr>
            <w:tcW w:w="913"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20%</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57%</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44%</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44%</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75%</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80%</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44%</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50%</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0%</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50%</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0%</w:t>
            </w:r>
          </w:p>
        </w:tc>
      </w:tr>
      <w:tr>
        <w:trPr>
          <w:trHeight w:val="306" w:hRule="atLeast"/>
        </w:trPr>
        <w:tc>
          <w:tcPr>
            <w:tcW w:w="1110"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JADNI</w:t>
            </w:r>
          </w:p>
        </w:tc>
        <w:tc>
          <w:tcPr>
            <w:tcW w:w="809"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Fuzzy</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85%</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62%</w:t>
            </w:r>
          </w:p>
        </w:tc>
        <w:tc>
          <w:tcPr>
            <w:tcW w:w="913"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82%</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37%</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50%</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84%</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42%</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55%</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25%</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46%</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35%</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57%</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38%</w:t>
            </w:r>
          </w:p>
        </w:tc>
      </w:tr>
      <w:tr>
        <w:trPr>
          <w:trHeight w:val="306" w:hRule="atLeast"/>
        </w:trPr>
        <w:tc>
          <w:tcPr>
            <w:tcW w:w="1110"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PharmaCog</w:t>
            </w:r>
          </w:p>
        </w:tc>
        <w:tc>
          <w:tcPr>
            <w:tcW w:w="809"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Fuzzy</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14%</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57%</w:t>
            </w:r>
          </w:p>
        </w:tc>
        <w:tc>
          <w:tcPr>
            <w:tcW w:w="913"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6%</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29%</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98%</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31%</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19%</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30%</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22%</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99%</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17%</w:t>
            </w:r>
          </w:p>
        </w:tc>
      </w:tr>
      <w:tr>
        <w:trPr>
          <w:trHeight w:val="306" w:hRule="atLeast"/>
        </w:trPr>
        <w:tc>
          <w:tcPr>
            <w:tcW w:w="1110"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PREVENT-AD</w:t>
            </w:r>
          </w:p>
        </w:tc>
        <w:tc>
          <w:tcPr>
            <w:tcW w:w="809"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Fuzzy</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38%</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17%</w:t>
            </w:r>
          </w:p>
        </w:tc>
        <w:tc>
          <w:tcPr>
            <w:tcW w:w="913"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38%</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52%</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25%</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37%</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25%</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19%</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41%</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25%</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25%</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12%</w:t>
            </w:r>
          </w:p>
        </w:tc>
      </w:tr>
      <w:tr>
        <w:trPr>
          <w:trHeight w:val="378" w:hRule="atLeast"/>
        </w:trPr>
        <w:tc>
          <w:tcPr>
            <w:tcW w:w="1110"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VITA</w:t>
            </w:r>
          </w:p>
        </w:tc>
        <w:tc>
          <w:tcPr>
            <w:tcW w:w="809"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Fuzzy</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15%</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57%</w:t>
            </w:r>
          </w:p>
        </w:tc>
        <w:tc>
          <w:tcPr>
            <w:tcW w:w="913"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5%</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33%</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99%</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25%</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19%</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19%</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19%</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13%</w:t>
            </w:r>
          </w:p>
        </w:tc>
      </w:tr>
    </w:tbl>
    <w:p>
      <w:pPr>
        <w:pStyle w:val="LOnormal"/>
        <w:spacing w:lineRule="auto" w:line="276"/>
        <w:jc w:val="both"/>
        <w:rPr>
          <w:sz w:val="20"/>
          <w:szCs w:val="20"/>
        </w:rPr>
      </w:pPr>
      <w:r>
        <w:rPr>
          <w:b/>
          <w:sz w:val="20"/>
          <w:szCs w:val="20"/>
        </w:rPr>
        <w:t>Table S2:</w:t>
      </w:r>
      <w:r>
        <w:rPr>
          <w:sz w:val="20"/>
          <w:szCs w:val="20"/>
        </w:rPr>
        <w:t xml:space="preserve"> Calculated accuracy of the closest match using fuzzy string matching for all applicable cohorts in the AD CDM. The n describes the number of variables that have a corresponding mapping in the AD CDM.</w:t>
      </w:r>
    </w:p>
    <w:p>
      <w:pPr>
        <w:pStyle w:val="LOnormal"/>
        <w:spacing w:lineRule="auto" w:line="276"/>
        <w:jc w:val="both"/>
        <w:rPr>
          <w:sz w:val="20"/>
          <w:szCs w:val="20"/>
        </w:rPr>
      </w:pPr>
      <w:r>
        <w:rPr>
          <w:sz w:val="20"/>
          <w:szCs w:val="20"/>
        </w:rPr>
      </w:r>
    </w:p>
    <w:p>
      <w:pPr>
        <w:pStyle w:val="LOnormal"/>
        <w:spacing w:lineRule="auto" w:line="276"/>
        <w:jc w:val="both"/>
        <w:rPr>
          <w:sz w:val="20"/>
          <w:szCs w:val="20"/>
        </w:rPr>
      </w:pPr>
      <w:r>
        <w:rPr>
          <w:sz w:val="20"/>
          <w:szCs w:val="20"/>
        </w:rPr>
      </w:r>
    </w:p>
    <w:p>
      <w:pPr>
        <w:pStyle w:val="LOnormal"/>
        <w:spacing w:lineRule="auto" w:line="276"/>
        <w:jc w:val="both"/>
        <w:rPr>
          <w:sz w:val="20"/>
          <w:szCs w:val="20"/>
        </w:rPr>
      </w:pPr>
      <w:r>
        <w:rPr>
          <w:sz w:val="20"/>
          <w:szCs w:val="20"/>
        </w:rPr>
      </w:r>
    </w:p>
    <w:p>
      <w:pPr>
        <w:pStyle w:val="LOnormal"/>
        <w:spacing w:lineRule="auto" w:line="276"/>
        <w:jc w:val="both"/>
        <w:rPr>
          <w:sz w:val="20"/>
          <w:szCs w:val="20"/>
        </w:rPr>
      </w:pPr>
      <w:r>
        <w:rPr>
          <w:sz w:val="20"/>
          <w:szCs w:val="20"/>
        </w:rPr>
      </w:r>
    </w:p>
    <w:p>
      <w:pPr>
        <w:pStyle w:val="LOnormal"/>
        <w:spacing w:lineRule="auto" w:line="276"/>
        <w:jc w:val="both"/>
        <w:rPr>
          <w:sz w:val="20"/>
          <w:szCs w:val="20"/>
        </w:rPr>
      </w:pPr>
      <w:r>
        <w:rPr>
          <w:sz w:val="20"/>
          <w:szCs w:val="20"/>
        </w:rPr>
      </w:r>
    </w:p>
    <w:p>
      <w:pPr>
        <w:pStyle w:val="LOnormal"/>
        <w:spacing w:lineRule="auto" w:line="276"/>
        <w:jc w:val="both"/>
        <w:rPr>
          <w:sz w:val="20"/>
          <w:szCs w:val="20"/>
        </w:rPr>
      </w:pPr>
      <w:r>
        <w:rPr>
          <w:sz w:val="20"/>
          <w:szCs w:val="20"/>
        </w:rPr>
      </w:r>
    </w:p>
    <w:p>
      <w:pPr>
        <w:pStyle w:val="LOnormal"/>
        <w:spacing w:lineRule="auto" w:line="276"/>
        <w:jc w:val="both"/>
        <w:rPr>
          <w:sz w:val="20"/>
          <w:szCs w:val="20"/>
        </w:rPr>
      </w:pPr>
      <w:r>
        <w:rPr>
          <w:sz w:val="20"/>
          <w:szCs w:val="20"/>
        </w:rPr>
      </w:r>
    </w:p>
    <w:p>
      <w:pPr>
        <w:pStyle w:val="LOnormal"/>
        <w:spacing w:lineRule="auto" w:line="276"/>
        <w:jc w:val="both"/>
        <w:rPr>
          <w:sz w:val="20"/>
          <w:szCs w:val="20"/>
        </w:rPr>
      </w:pPr>
      <w:r>
        <w:rPr>
          <w:sz w:val="20"/>
          <w:szCs w:val="20"/>
        </w:rPr>
      </w:r>
    </w:p>
    <w:p>
      <w:pPr>
        <w:pStyle w:val="LOnormal"/>
        <w:spacing w:lineRule="auto" w:line="276"/>
        <w:jc w:val="both"/>
        <w:rPr>
          <w:sz w:val="20"/>
          <w:szCs w:val="20"/>
        </w:rPr>
      </w:pPr>
      <w:r>
        <w:rPr>
          <w:sz w:val="20"/>
          <w:szCs w:val="20"/>
        </w:rPr>
      </w:r>
    </w:p>
    <w:p>
      <w:pPr>
        <w:pStyle w:val="LOnormal"/>
        <w:spacing w:lineRule="auto" w:line="276"/>
        <w:jc w:val="both"/>
        <w:rPr>
          <w:sz w:val="20"/>
          <w:szCs w:val="20"/>
        </w:rPr>
      </w:pPr>
      <w:r>
        <w:rPr>
          <w:sz w:val="20"/>
          <w:szCs w:val="20"/>
        </w:rPr>
      </w:r>
    </w:p>
    <w:p>
      <w:pPr>
        <w:pStyle w:val="LOnormal"/>
        <w:spacing w:lineRule="auto" w:line="276"/>
        <w:jc w:val="both"/>
        <w:rPr>
          <w:sz w:val="20"/>
          <w:szCs w:val="20"/>
        </w:rPr>
      </w:pPr>
      <w:r>
        <w:rPr>
          <w:sz w:val="20"/>
          <w:szCs w:val="20"/>
        </w:rPr>
      </w:r>
    </w:p>
    <w:p>
      <w:pPr>
        <w:pStyle w:val="LOnormal"/>
        <w:spacing w:lineRule="auto" w:line="276"/>
        <w:jc w:val="both"/>
        <w:rPr>
          <w:sz w:val="20"/>
          <w:szCs w:val="20"/>
        </w:rPr>
      </w:pPr>
      <w:r>
        <w:rPr>
          <w:sz w:val="20"/>
          <w:szCs w:val="20"/>
        </w:rPr>
      </w:r>
    </w:p>
    <w:tbl>
      <w:tblPr>
        <w:tblStyle w:val="Table3"/>
        <w:tblW w:w="14730" w:type="dxa"/>
        <w:jc w:val="left"/>
        <w:tblInd w:w="-780" w:type="dxa"/>
        <w:tblLayout w:type="fixed"/>
        <w:tblCellMar>
          <w:top w:w="55" w:type="dxa"/>
          <w:left w:w="55" w:type="dxa"/>
          <w:bottom w:w="55" w:type="dxa"/>
          <w:right w:w="55" w:type="dxa"/>
        </w:tblCellMar>
        <w:tblLook w:val="0600"/>
      </w:tblPr>
      <w:tblGrid>
        <w:gridCol w:w="1125"/>
        <w:gridCol w:w="794"/>
        <w:gridCol w:w="916"/>
        <w:gridCol w:w="916"/>
        <w:gridCol w:w="913"/>
        <w:gridCol w:w="917"/>
        <w:gridCol w:w="914"/>
        <w:gridCol w:w="917"/>
        <w:gridCol w:w="914"/>
        <w:gridCol w:w="917"/>
        <w:gridCol w:w="913"/>
        <w:gridCol w:w="916"/>
        <w:gridCol w:w="915"/>
        <w:gridCol w:w="916"/>
        <w:gridCol w:w="915"/>
        <w:gridCol w:w="908"/>
      </w:tblGrid>
      <w:tr>
        <w:trPr>
          <w:trHeight w:val="306" w:hRule="atLeast"/>
        </w:trPr>
        <w:tc>
          <w:tcPr>
            <w:tcW w:w="1125"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Mapping from / mapping to</w:t>
            </w:r>
          </w:p>
        </w:tc>
        <w:tc>
          <w:tcPr>
            <w:tcW w:w="794"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Method</w:t>
            </w:r>
          </w:p>
        </w:tc>
        <w:tc>
          <w:tcPr>
            <w:tcW w:w="916"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A4</w:t>
            </w:r>
          </w:p>
          <w:p>
            <w:pPr>
              <w:pStyle w:val="LOnormal"/>
              <w:widowControl w:val="false"/>
              <w:spacing w:lineRule="auto" w:line="240"/>
              <w:jc w:val="center"/>
              <w:rPr>
                <w:b/>
                <w:b/>
                <w:sz w:val="16"/>
                <w:szCs w:val="16"/>
              </w:rPr>
            </w:pPr>
            <w:r>
              <w:rPr>
                <w:b/>
                <w:sz w:val="16"/>
                <w:szCs w:val="16"/>
              </w:rPr>
              <w:t>(n=89)</w:t>
            </w:r>
          </w:p>
        </w:tc>
        <w:tc>
          <w:tcPr>
            <w:tcW w:w="916"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ABVIB</w:t>
            </w:r>
          </w:p>
          <w:p>
            <w:pPr>
              <w:pStyle w:val="LOnormal"/>
              <w:widowControl w:val="false"/>
              <w:spacing w:lineRule="auto" w:line="240"/>
              <w:jc w:val="center"/>
              <w:rPr>
                <w:b/>
                <w:b/>
                <w:sz w:val="16"/>
                <w:szCs w:val="16"/>
              </w:rPr>
            </w:pPr>
            <w:r>
              <w:rPr>
                <w:b/>
                <w:sz w:val="16"/>
                <w:szCs w:val="16"/>
              </w:rPr>
              <w:t>(n=12)</w:t>
            </w:r>
          </w:p>
        </w:tc>
        <w:tc>
          <w:tcPr>
            <w:tcW w:w="913"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ADNI</w:t>
            </w:r>
          </w:p>
          <w:p>
            <w:pPr>
              <w:pStyle w:val="LOnormal"/>
              <w:widowControl w:val="false"/>
              <w:spacing w:lineRule="auto" w:line="240"/>
              <w:jc w:val="center"/>
              <w:rPr>
                <w:b/>
                <w:b/>
                <w:sz w:val="16"/>
                <w:szCs w:val="16"/>
              </w:rPr>
            </w:pPr>
            <w:r>
              <w:rPr>
                <w:b/>
                <w:sz w:val="16"/>
                <w:szCs w:val="16"/>
              </w:rPr>
              <w:t>(n=486)</w:t>
            </w:r>
          </w:p>
        </w:tc>
        <w:tc>
          <w:tcPr>
            <w:tcW w:w="917"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AIBL</w:t>
            </w:r>
          </w:p>
          <w:p>
            <w:pPr>
              <w:pStyle w:val="LOnormal"/>
              <w:widowControl w:val="false"/>
              <w:spacing w:lineRule="auto" w:line="240"/>
              <w:jc w:val="center"/>
              <w:rPr>
                <w:b/>
                <w:b/>
                <w:sz w:val="16"/>
                <w:szCs w:val="16"/>
              </w:rPr>
            </w:pPr>
            <w:r>
              <w:rPr>
                <w:b/>
                <w:sz w:val="16"/>
                <w:szCs w:val="16"/>
              </w:rPr>
              <w:t>(n=60)</w:t>
            </w:r>
          </w:p>
        </w:tc>
        <w:tc>
          <w:tcPr>
            <w:tcW w:w="914"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ARWIBO</w:t>
            </w:r>
          </w:p>
          <w:p>
            <w:pPr>
              <w:pStyle w:val="LOnormal"/>
              <w:widowControl w:val="false"/>
              <w:spacing w:lineRule="auto" w:line="240"/>
              <w:jc w:val="center"/>
              <w:rPr>
                <w:b/>
                <w:b/>
                <w:sz w:val="16"/>
                <w:szCs w:val="16"/>
              </w:rPr>
            </w:pPr>
            <w:r>
              <w:rPr>
                <w:b/>
                <w:sz w:val="16"/>
                <w:szCs w:val="16"/>
              </w:rPr>
              <w:t>(n=212)</w:t>
            </w:r>
          </w:p>
        </w:tc>
        <w:tc>
          <w:tcPr>
            <w:tcW w:w="917"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DOD-</w:t>
              <w:br/>
              <w:t>ADNI</w:t>
            </w:r>
          </w:p>
          <w:p>
            <w:pPr>
              <w:pStyle w:val="LOnormal"/>
              <w:widowControl w:val="false"/>
              <w:spacing w:lineRule="auto" w:line="240"/>
              <w:jc w:val="center"/>
              <w:rPr>
                <w:b/>
                <w:b/>
                <w:sz w:val="16"/>
                <w:szCs w:val="16"/>
              </w:rPr>
            </w:pPr>
            <w:r>
              <w:rPr>
                <w:b/>
                <w:sz w:val="16"/>
                <w:szCs w:val="16"/>
              </w:rPr>
              <w:t>(n=218)</w:t>
            </w:r>
          </w:p>
        </w:tc>
        <w:tc>
          <w:tcPr>
            <w:tcW w:w="914"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EDSD</w:t>
            </w:r>
          </w:p>
          <w:p>
            <w:pPr>
              <w:pStyle w:val="LOnormal"/>
              <w:widowControl w:val="false"/>
              <w:spacing w:lineRule="auto" w:line="240"/>
              <w:jc w:val="center"/>
              <w:rPr>
                <w:b/>
                <w:b/>
                <w:sz w:val="16"/>
                <w:szCs w:val="16"/>
              </w:rPr>
            </w:pPr>
            <w:r>
              <w:rPr>
                <w:b/>
                <w:sz w:val="16"/>
                <w:szCs w:val="16"/>
              </w:rPr>
              <w:t>(n=159)</w:t>
            </w:r>
          </w:p>
        </w:tc>
        <w:tc>
          <w:tcPr>
            <w:tcW w:w="917"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EMIF</w:t>
            </w:r>
          </w:p>
          <w:p>
            <w:pPr>
              <w:pStyle w:val="LOnormal"/>
              <w:widowControl w:val="false"/>
              <w:spacing w:lineRule="auto" w:line="240"/>
              <w:jc w:val="center"/>
              <w:rPr>
                <w:b/>
                <w:b/>
                <w:sz w:val="16"/>
                <w:szCs w:val="16"/>
              </w:rPr>
            </w:pPr>
            <w:r>
              <w:rPr>
                <w:b/>
                <w:sz w:val="16"/>
                <w:szCs w:val="16"/>
              </w:rPr>
              <w:t>(n=32)</w:t>
            </w:r>
          </w:p>
        </w:tc>
        <w:tc>
          <w:tcPr>
            <w:tcW w:w="913"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I-ADNI</w:t>
            </w:r>
          </w:p>
          <w:p>
            <w:pPr>
              <w:pStyle w:val="LOnormal"/>
              <w:widowControl w:val="false"/>
              <w:spacing w:lineRule="auto" w:line="240"/>
              <w:jc w:val="center"/>
              <w:rPr>
                <w:b/>
                <w:b/>
                <w:sz w:val="16"/>
                <w:szCs w:val="16"/>
              </w:rPr>
            </w:pPr>
            <w:r>
              <w:rPr>
                <w:b/>
                <w:sz w:val="16"/>
                <w:szCs w:val="16"/>
              </w:rPr>
              <w:t>(n=160)</w:t>
            </w:r>
          </w:p>
        </w:tc>
        <w:tc>
          <w:tcPr>
            <w:tcW w:w="916"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JADNI</w:t>
            </w:r>
          </w:p>
          <w:p>
            <w:pPr>
              <w:pStyle w:val="LOnormal"/>
              <w:widowControl w:val="false"/>
              <w:spacing w:lineRule="auto" w:line="240"/>
              <w:jc w:val="center"/>
              <w:rPr>
                <w:b/>
                <w:b/>
                <w:sz w:val="16"/>
                <w:szCs w:val="16"/>
              </w:rPr>
            </w:pPr>
            <w:r>
              <w:rPr>
                <w:b/>
                <w:sz w:val="16"/>
                <w:szCs w:val="16"/>
              </w:rPr>
              <w:t>(n=222)</w:t>
            </w:r>
          </w:p>
        </w:tc>
        <w:tc>
          <w:tcPr>
            <w:tcW w:w="915"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PharmaCog</w:t>
            </w:r>
          </w:p>
          <w:p>
            <w:pPr>
              <w:pStyle w:val="LOnormal"/>
              <w:widowControl w:val="false"/>
              <w:spacing w:lineRule="auto" w:line="240"/>
              <w:jc w:val="center"/>
              <w:rPr>
                <w:b/>
                <w:b/>
                <w:sz w:val="16"/>
                <w:szCs w:val="16"/>
              </w:rPr>
            </w:pPr>
            <w:r>
              <w:rPr>
                <w:b/>
                <w:sz w:val="16"/>
                <w:szCs w:val="16"/>
              </w:rPr>
              <w:t>(n=164)</w:t>
            </w:r>
          </w:p>
        </w:tc>
        <w:tc>
          <w:tcPr>
            <w:tcW w:w="916"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PREVENT-AD</w:t>
            </w:r>
          </w:p>
          <w:p>
            <w:pPr>
              <w:pStyle w:val="LOnormal"/>
              <w:widowControl w:val="false"/>
              <w:spacing w:lineRule="auto" w:line="240"/>
              <w:jc w:val="center"/>
              <w:rPr>
                <w:b/>
                <w:b/>
                <w:sz w:val="16"/>
                <w:szCs w:val="16"/>
              </w:rPr>
            </w:pPr>
            <w:r>
              <w:rPr>
                <w:b/>
                <w:sz w:val="16"/>
                <w:szCs w:val="16"/>
              </w:rPr>
              <w:t>(n=39)</w:t>
            </w:r>
          </w:p>
        </w:tc>
        <w:tc>
          <w:tcPr>
            <w:tcW w:w="915"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VITA</w:t>
            </w:r>
          </w:p>
          <w:p>
            <w:pPr>
              <w:pStyle w:val="LOnormal"/>
              <w:widowControl w:val="false"/>
              <w:spacing w:lineRule="auto" w:line="240"/>
              <w:jc w:val="center"/>
              <w:rPr>
                <w:b/>
                <w:b/>
                <w:sz w:val="16"/>
                <w:szCs w:val="16"/>
              </w:rPr>
            </w:pPr>
            <w:r>
              <w:rPr>
                <w:b/>
                <w:sz w:val="16"/>
                <w:szCs w:val="16"/>
              </w:rPr>
              <w:t>(n=150)</w:t>
            </w:r>
          </w:p>
        </w:tc>
        <w:tc>
          <w:tcPr>
            <w:tcW w:w="908" w:type="dxa"/>
            <w:tcBorders>
              <w:top w:val="single" w:sz="8" w:space="0" w:color="000000"/>
              <w:left w:val="single" w:sz="8" w:space="0" w:color="000000"/>
              <w:bottom w:val="single" w:sz="8" w:space="0" w:color="000000"/>
              <w:right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AD-Mapper</w:t>
            </w:r>
          </w:p>
          <w:p>
            <w:pPr>
              <w:pStyle w:val="LOnormal"/>
              <w:widowControl w:val="false"/>
              <w:spacing w:lineRule="auto" w:line="240"/>
              <w:jc w:val="center"/>
              <w:rPr>
                <w:b/>
                <w:b/>
                <w:sz w:val="16"/>
                <w:szCs w:val="16"/>
              </w:rPr>
            </w:pPr>
            <w:r>
              <w:rPr>
                <w:b/>
                <w:sz w:val="16"/>
                <w:szCs w:val="16"/>
              </w:rPr>
              <w:t>(n=340)</w:t>
            </w:r>
          </w:p>
        </w:tc>
      </w:tr>
      <w:tr>
        <w:trPr>
          <w:trHeight w:val="306" w:hRule="atLeast"/>
        </w:trPr>
        <w:tc>
          <w:tcPr>
            <w:tcW w:w="1125"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A4</w:t>
            </w:r>
          </w:p>
        </w:tc>
        <w:tc>
          <w:tcPr>
            <w:tcW w:w="79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MPNet</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97%</w:t>
            </w:r>
          </w:p>
        </w:tc>
        <w:tc>
          <w:tcPr>
            <w:tcW w:w="916"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86%</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55%</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52%</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42%</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55%</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43%</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33%</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21%</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64%</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42%</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63%</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42%</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57%</w:t>
            </w:r>
          </w:p>
        </w:tc>
      </w:tr>
      <w:tr>
        <w:trPr>
          <w:trHeight w:val="306" w:hRule="atLeast"/>
        </w:trPr>
        <w:tc>
          <w:tcPr>
            <w:tcW w:w="1125"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ABVIB</w:t>
            </w:r>
          </w:p>
        </w:tc>
        <w:tc>
          <w:tcPr>
            <w:tcW w:w="79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MPNet</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86%</w:t>
            </w:r>
          </w:p>
        </w:tc>
        <w:tc>
          <w:tcPr>
            <w:tcW w:w="916"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71%</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62%</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27%</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80%</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43%</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88%</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43%</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83%</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43%</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80%</w:t>
            </w:r>
          </w:p>
        </w:tc>
      </w:tr>
      <w:tr>
        <w:trPr>
          <w:trHeight w:val="306" w:hRule="atLeast"/>
        </w:trPr>
        <w:tc>
          <w:tcPr>
            <w:tcW w:w="1125"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ADNI</w:t>
            </w:r>
          </w:p>
        </w:tc>
        <w:tc>
          <w:tcPr>
            <w:tcW w:w="79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MPNet</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54%</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86%</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44%</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50%</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67%</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53%</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73%</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50%</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53%</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50%</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47%</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56%</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60%</w:t>
            </w:r>
          </w:p>
        </w:tc>
      </w:tr>
      <w:tr>
        <w:trPr>
          <w:trHeight w:val="306" w:hRule="atLeast"/>
        </w:trPr>
        <w:tc>
          <w:tcPr>
            <w:tcW w:w="1125"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AIBL</w:t>
            </w:r>
          </w:p>
        </w:tc>
        <w:tc>
          <w:tcPr>
            <w:tcW w:w="79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MPNet</w:t>
            </w:r>
          </w:p>
        </w:tc>
        <w:tc>
          <w:tcPr>
            <w:tcW w:w="916"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73%</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83%</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52%</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64%</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61%</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61%</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62%</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29%</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56%</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58%</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65%</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61%</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58%</w:t>
            </w:r>
          </w:p>
        </w:tc>
      </w:tr>
      <w:tr>
        <w:trPr>
          <w:trHeight w:val="306" w:hRule="atLeast"/>
        </w:trPr>
        <w:tc>
          <w:tcPr>
            <w:tcW w:w="1125"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ARWIBO</w:t>
            </w:r>
          </w:p>
        </w:tc>
        <w:tc>
          <w:tcPr>
            <w:tcW w:w="79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MPNet</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39%</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60%</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70%</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47%</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36%</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91%</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28%</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19%</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32%</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93%</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67%</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99%</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29%</w:t>
            </w:r>
          </w:p>
        </w:tc>
      </w:tr>
      <w:tr>
        <w:trPr>
          <w:trHeight w:val="306" w:hRule="atLeast"/>
        </w:trPr>
        <w:tc>
          <w:tcPr>
            <w:tcW w:w="1125"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DOD-</w:t>
              <w:br/>
              <w:t>ADNI</w:t>
            </w:r>
          </w:p>
        </w:tc>
        <w:tc>
          <w:tcPr>
            <w:tcW w:w="79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MPNet</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43%</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80%</w:t>
            </w:r>
          </w:p>
        </w:tc>
        <w:tc>
          <w:tcPr>
            <w:tcW w:w="913"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58%</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55%</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36%</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99%</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27%</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34%</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25%</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74%</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23%</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58%</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26%</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47%</w:t>
            </w:r>
          </w:p>
        </w:tc>
      </w:tr>
      <w:tr>
        <w:trPr>
          <w:trHeight w:val="306" w:hRule="atLeast"/>
        </w:trPr>
        <w:tc>
          <w:tcPr>
            <w:tcW w:w="1125"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EDSD</w:t>
            </w:r>
          </w:p>
        </w:tc>
        <w:tc>
          <w:tcPr>
            <w:tcW w:w="79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MPNet</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36%</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71%</w:t>
            </w:r>
          </w:p>
        </w:tc>
        <w:tc>
          <w:tcPr>
            <w:tcW w:w="913"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63%</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61%</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95%</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35%</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30%</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45%</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38%</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99%</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45%</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97%</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41%</w:t>
            </w:r>
          </w:p>
        </w:tc>
      </w:tr>
      <w:tr>
        <w:trPr>
          <w:trHeight w:val="306" w:hRule="atLeast"/>
        </w:trPr>
        <w:tc>
          <w:tcPr>
            <w:tcW w:w="1125"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EMIF</w:t>
            </w:r>
          </w:p>
        </w:tc>
        <w:tc>
          <w:tcPr>
            <w:tcW w:w="79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MPNet</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62%</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13"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77%</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67%</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68%</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50%</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71%</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57%</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65%</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67%</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57%</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65%</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73%</w:t>
            </w:r>
          </w:p>
        </w:tc>
      </w:tr>
      <w:tr>
        <w:trPr>
          <w:trHeight w:val="306" w:hRule="atLeast"/>
        </w:trPr>
        <w:tc>
          <w:tcPr>
            <w:tcW w:w="1125"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I-ADNI</w:t>
            </w:r>
          </w:p>
        </w:tc>
        <w:tc>
          <w:tcPr>
            <w:tcW w:w="79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MPNet</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40%</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13"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25%</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71%</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89%</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33%</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75%</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80%</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44%</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50%</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67%</w:t>
            </w:r>
          </w:p>
        </w:tc>
      </w:tr>
      <w:tr>
        <w:trPr>
          <w:trHeight w:val="306" w:hRule="atLeast"/>
        </w:trPr>
        <w:tc>
          <w:tcPr>
            <w:tcW w:w="1125"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JADNI</w:t>
            </w:r>
          </w:p>
        </w:tc>
        <w:tc>
          <w:tcPr>
            <w:tcW w:w="79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MPNet</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77%</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13"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42%</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59%</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62%</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84%</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81%</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50%</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50%</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95%</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67%</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70%</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71%</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50%</w:t>
            </w:r>
          </w:p>
        </w:tc>
      </w:tr>
      <w:tr>
        <w:trPr>
          <w:trHeight w:val="306" w:hRule="atLeast"/>
        </w:trPr>
        <w:tc>
          <w:tcPr>
            <w:tcW w:w="1125"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PharmaCog</w:t>
            </w:r>
          </w:p>
        </w:tc>
        <w:tc>
          <w:tcPr>
            <w:tcW w:w="79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MPNet</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36%</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71%</w:t>
            </w:r>
          </w:p>
        </w:tc>
        <w:tc>
          <w:tcPr>
            <w:tcW w:w="913"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67%</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59%</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98%</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34%</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38%</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38%</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37%</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52%</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98%</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46%</w:t>
            </w:r>
          </w:p>
        </w:tc>
      </w:tr>
      <w:tr>
        <w:trPr>
          <w:trHeight w:val="306" w:hRule="atLeast"/>
        </w:trPr>
        <w:tc>
          <w:tcPr>
            <w:tcW w:w="1125"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PREVENT-AD</w:t>
            </w:r>
          </w:p>
        </w:tc>
        <w:tc>
          <w:tcPr>
            <w:tcW w:w="79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MPNet</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75%</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83%</w:t>
            </w:r>
          </w:p>
        </w:tc>
        <w:tc>
          <w:tcPr>
            <w:tcW w:w="913"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32%</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72%</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79%</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63%</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70%</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50%</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30%</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64%</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75%</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75%</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50%</w:t>
            </w:r>
          </w:p>
        </w:tc>
      </w:tr>
      <w:tr>
        <w:trPr>
          <w:trHeight w:val="213" w:hRule="atLeast"/>
        </w:trPr>
        <w:tc>
          <w:tcPr>
            <w:tcW w:w="1125"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VITA</w:t>
            </w:r>
          </w:p>
        </w:tc>
        <w:tc>
          <w:tcPr>
            <w:tcW w:w="79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MPNet</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45%</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71%</w:t>
            </w:r>
          </w:p>
        </w:tc>
        <w:tc>
          <w:tcPr>
            <w:tcW w:w="913"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63%</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52%</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35%</w:t>
            </w:r>
          </w:p>
        </w:tc>
        <w:tc>
          <w:tcPr>
            <w:tcW w:w="914"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93%</w:t>
            </w:r>
          </w:p>
        </w:tc>
        <w:tc>
          <w:tcPr>
            <w:tcW w:w="91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36%</w:t>
            </w:r>
          </w:p>
        </w:tc>
        <w:tc>
          <w:tcPr>
            <w:tcW w:w="913"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31%</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37%</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93%</w:t>
            </w:r>
          </w:p>
        </w:tc>
        <w:tc>
          <w:tcPr>
            <w:tcW w:w="916"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52%</w:t>
            </w:r>
          </w:p>
        </w:tc>
        <w:tc>
          <w:tcPr>
            <w:tcW w:w="915"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08"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39%</w:t>
            </w:r>
          </w:p>
        </w:tc>
      </w:tr>
    </w:tbl>
    <w:p>
      <w:pPr>
        <w:pStyle w:val="LOnormal"/>
        <w:jc w:val="both"/>
        <w:rPr>
          <w:b/>
          <w:b/>
          <w:sz w:val="20"/>
          <w:szCs w:val="20"/>
        </w:rPr>
      </w:pPr>
      <w:r>
        <w:rPr>
          <w:b/>
          <w:sz w:val="20"/>
          <w:szCs w:val="20"/>
        </w:rPr>
        <w:t xml:space="preserve">Table S3: </w:t>
      </w:r>
      <w:r>
        <w:rPr>
          <w:sz w:val="20"/>
          <w:szCs w:val="20"/>
        </w:rPr>
        <w:t>Calculated accuracy of the closest cosine similarity of MPNet embeddings for all applicable cohorts in the AD CDM. The n describes the number of variables that have a corresponding mapping in the AD CDM.</w:t>
      </w:r>
    </w:p>
    <w:p>
      <w:pPr>
        <w:pStyle w:val="LOnormal"/>
        <w:jc w:val="both"/>
        <w:rPr>
          <w:b/>
          <w:b/>
          <w:sz w:val="20"/>
          <w:szCs w:val="20"/>
        </w:rPr>
      </w:pPr>
      <w:r>
        <w:rPr>
          <w:b/>
          <w:sz w:val="20"/>
          <w:szCs w:val="20"/>
        </w:rPr>
      </w:r>
    </w:p>
    <w:p>
      <w:pPr>
        <w:pStyle w:val="LOnormal"/>
        <w:jc w:val="both"/>
        <w:rPr>
          <w:b/>
          <w:b/>
          <w:sz w:val="20"/>
          <w:szCs w:val="20"/>
        </w:rPr>
      </w:pPr>
      <w:r>
        <w:rPr>
          <w:b/>
          <w:sz w:val="20"/>
          <w:szCs w:val="20"/>
        </w:rPr>
      </w:r>
    </w:p>
    <w:p>
      <w:pPr>
        <w:pStyle w:val="LOnormal"/>
        <w:jc w:val="both"/>
        <w:rPr>
          <w:b/>
          <w:b/>
          <w:sz w:val="20"/>
          <w:szCs w:val="20"/>
        </w:rPr>
      </w:pPr>
      <w:r>
        <w:rPr>
          <w:b/>
          <w:sz w:val="20"/>
          <w:szCs w:val="20"/>
        </w:rPr>
      </w:r>
    </w:p>
    <w:p>
      <w:pPr>
        <w:pStyle w:val="LOnormal"/>
        <w:jc w:val="both"/>
        <w:rPr>
          <w:b/>
          <w:b/>
          <w:sz w:val="20"/>
          <w:szCs w:val="20"/>
        </w:rPr>
      </w:pPr>
      <w:r>
        <w:rPr>
          <w:b/>
          <w:sz w:val="20"/>
          <w:szCs w:val="20"/>
        </w:rPr>
      </w:r>
    </w:p>
    <w:p>
      <w:pPr>
        <w:pStyle w:val="LOnormal"/>
        <w:jc w:val="both"/>
        <w:rPr>
          <w:b/>
          <w:b/>
          <w:sz w:val="20"/>
          <w:szCs w:val="20"/>
        </w:rPr>
      </w:pPr>
      <w:r>
        <w:rPr>
          <w:b/>
          <w:sz w:val="20"/>
          <w:szCs w:val="20"/>
        </w:rPr>
      </w:r>
    </w:p>
    <w:p>
      <w:pPr>
        <w:pStyle w:val="LOnormal"/>
        <w:jc w:val="both"/>
        <w:rPr>
          <w:b/>
          <w:b/>
          <w:sz w:val="20"/>
          <w:szCs w:val="20"/>
        </w:rPr>
      </w:pPr>
      <w:r>
        <w:rPr>
          <w:b/>
          <w:sz w:val="20"/>
          <w:szCs w:val="20"/>
        </w:rPr>
      </w:r>
    </w:p>
    <w:p>
      <w:pPr>
        <w:pStyle w:val="LOnormal"/>
        <w:jc w:val="both"/>
        <w:rPr>
          <w:b/>
          <w:b/>
          <w:sz w:val="20"/>
          <w:szCs w:val="20"/>
        </w:rPr>
      </w:pPr>
      <w:r>
        <w:rPr>
          <w:b/>
          <w:sz w:val="20"/>
          <w:szCs w:val="20"/>
        </w:rPr>
      </w:r>
    </w:p>
    <w:p>
      <w:pPr>
        <w:pStyle w:val="LOnormal"/>
        <w:jc w:val="both"/>
        <w:rPr>
          <w:b/>
          <w:b/>
          <w:sz w:val="20"/>
          <w:szCs w:val="20"/>
        </w:rPr>
      </w:pPr>
      <w:r>
        <w:rPr>
          <w:b/>
          <w:sz w:val="20"/>
          <w:szCs w:val="20"/>
        </w:rPr>
      </w:r>
    </w:p>
    <w:p>
      <w:pPr>
        <w:pStyle w:val="LOnormal"/>
        <w:jc w:val="both"/>
        <w:rPr>
          <w:b/>
          <w:b/>
          <w:sz w:val="20"/>
          <w:szCs w:val="20"/>
        </w:rPr>
      </w:pPr>
      <w:r>
        <w:rPr>
          <w:b/>
          <w:sz w:val="20"/>
          <w:szCs w:val="20"/>
        </w:rPr>
      </w:r>
    </w:p>
    <w:p>
      <w:pPr>
        <w:pStyle w:val="LOnormal"/>
        <w:jc w:val="both"/>
        <w:rPr>
          <w:b/>
          <w:b/>
          <w:sz w:val="20"/>
          <w:szCs w:val="20"/>
        </w:rPr>
      </w:pPr>
      <w:r>
        <w:rPr>
          <w:b/>
          <w:sz w:val="20"/>
          <w:szCs w:val="20"/>
        </w:rPr>
      </w:r>
    </w:p>
    <w:p>
      <w:pPr>
        <w:pStyle w:val="LOnormal"/>
        <w:jc w:val="both"/>
        <w:rPr>
          <w:b/>
          <w:b/>
          <w:sz w:val="20"/>
          <w:szCs w:val="20"/>
        </w:rPr>
      </w:pPr>
      <w:r>
        <w:rPr>
          <w:b/>
          <w:sz w:val="20"/>
          <w:szCs w:val="20"/>
        </w:rPr>
      </w:r>
    </w:p>
    <w:p>
      <w:pPr>
        <w:pStyle w:val="LOnormal"/>
        <w:jc w:val="both"/>
        <w:rPr>
          <w:b/>
          <w:b/>
          <w:sz w:val="20"/>
          <w:szCs w:val="20"/>
        </w:rPr>
      </w:pPr>
      <w:r>
        <w:rPr>
          <w:b/>
          <w:sz w:val="20"/>
          <w:szCs w:val="20"/>
        </w:rPr>
      </w:r>
    </w:p>
    <w:p>
      <w:pPr>
        <w:pStyle w:val="LOnormal"/>
        <w:jc w:val="both"/>
        <w:rPr>
          <w:b/>
          <w:b/>
          <w:sz w:val="20"/>
          <w:szCs w:val="20"/>
        </w:rPr>
      </w:pPr>
      <w:r>
        <w:rPr>
          <w:b/>
          <w:sz w:val="20"/>
          <w:szCs w:val="20"/>
        </w:rPr>
      </w:r>
    </w:p>
    <w:tbl>
      <w:tblPr>
        <w:tblStyle w:val="Table4"/>
        <w:tblW w:w="15015" w:type="dxa"/>
        <w:jc w:val="left"/>
        <w:tblInd w:w="-990" w:type="dxa"/>
        <w:tblLayout w:type="fixed"/>
        <w:tblCellMar>
          <w:top w:w="55" w:type="dxa"/>
          <w:left w:w="55" w:type="dxa"/>
          <w:bottom w:w="55" w:type="dxa"/>
          <w:right w:w="55" w:type="dxa"/>
        </w:tblCellMar>
        <w:tblLook w:val="0600"/>
      </w:tblPr>
      <w:tblGrid>
        <w:gridCol w:w="1186"/>
        <w:gridCol w:w="1124"/>
        <w:gridCol w:w="909"/>
        <w:gridCol w:w="908"/>
        <w:gridCol w:w="907"/>
        <w:gridCol w:w="908"/>
        <w:gridCol w:w="907"/>
        <w:gridCol w:w="907"/>
        <w:gridCol w:w="909"/>
        <w:gridCol w:w="907"/>
        <w:gridCol w:w="908"/>
        <w:gridCol w:w="907"/>
        <w:gridCol w:w="908"/>
        <w:gridCol w:w="907"/>
        <w:gridCol w:w="909"/>
        <w:gridCol w:w="900"/>
      </w:tblGrid>
      <w:tr>
        <w:trPr>
          <w:trHeight w:val="306" w:hRule="atLeast"/>
        </w:trPr>
        <w:tc>
          <w:tcPr>
            <w:tcW w:w="1186"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Mapping from / mapping to</w:t>
            </w:r>
          </w:p>
        </w:tc>
        <w:tc>
          <w:tcPr>
            <w:tcW w:w="1124"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Method</w:t>
            </w:r>
          </w:p>
        </w:tc>
        <w:tc>
          <w:tcPr>
            <w:tcW w:w="909"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A4</w:t>
            </w:r>
          </w:p>
          <w:p>
            <w:pPr>
              <w:pStyle w:val="LOnormal"/>
              <w:widowControl w:val="false"/>
              <w:spacing w:lineRule="auto" w:line="240"/>
              <w:jc w:val="center"/>
              <w:rPr>
                <w:b/>
                <w:b/>
                <w:sz w:val="16"/>
                <w:szCs w:val="16"/>
              </w:rPr>
            </w:pPr>
            <w:r>
              <w:rPr>
                <w:b/>
                <w:sz w:val="16"/>
                <w:szCs w:val="16"/>
              </w:rPr>
              <w:t>(n=89)</w:t>
            </w:r>
          </w:p>
        </w:tc>
        <w:tc>
          <w:tcPr>
            <w:tcW w:w="908"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ABVIB</w:t>
            </w:r>
          </w:p>
          <w:p>
            <w:pPr>
              <w:pStyle w:val="LOnormal"/>
              <w:widowControl w:val="false"/>
              <w:spacing w:lineRule="auto" w:line="240"/>
              <w:jc w:val="center"/>
              <w:rPr>
                <w:b/>
                <w:b/>
                <w:sz w:val="16"/>
                <w:szCs w:val="16"/>
              </w:rPr>
            </w:pPr>
            <w:r>
              <w:rPr>
                <w:b/>
                <w:sz w:val="16"/>
                <w:szCs w:val="16"/>
              </w:rPr>
              <w:t>(n=12)</w:t>
            </w:r>
          </w:p>
        </w:tc>
        <w:tc>
          <w:tcPr>
            <w:tcW w:w="907"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ADNI</w:t>
            </w:r>
          </w:p>
          <w:p>
            <w:pPr>
              <w:pStyle w:val="LOnormal"/>
              <w:widowControl w:val="false"/>
              <w:spacing w:lineRule="auto" w:line="240"/>
              <w:jc w:val="center"/>
              <w:rPr>
                <w:b/>
                <w:b/>
                <w:sz w:val="16"/>
                <w:szCs w:val="16"/>
              </w:rPr>
            </w:pPr>
            <w:r>
              <w:rPr>
                <w:b/>
                <w:sz w:val="16"/>
                <w:szCs w:val="16"/>
              </w:rPr>
              <w:t>(n=486)</w:t>
            </w:r>
          </w:p>
        </w:tc>
        <w:tc>
          <w:tcPr>
            <w:tcW w:w="908"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AIBL</w:t>
            </w:r>
          </w:p>
          <w:p>
            <w:pPr>
              <w:pStyle w:val="LOnormal"/>
              <w:widowControl w:val="false"/>
              <w:spacing w:lineRule="auto" w:line="240"/>
              <w:jc w:val="center"/>
              <w:rPr>
                <w:b/>
                <w:b/>
                <w:sz w:val="16"/>
                <w:szCs w:val="16"/>
              </w:rPr>
            </w:pPr>
            <w:r>
              <w:rPr>
                <w:b/>
                <w:sz w:val="16"/>
                <w:szCs w:val="16"/>
              </w:rPr>
              <w:t>(n=60)</w:t>
            </w:r>
          </w:p>
        </w:tc>
        <w:tc>
          <w:tcPr>
            <w:tcW w:w="907"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ARWIBO</w:t>
            </w:r>
          </w:p>
          <w:p>
            <w:pPr>
              <w:pStyle w:val="LOnormal"/>
              <w:widowControl w:val="false"/>
              <w:spacing w:lineRule="auto" w:line="240"/>
              <w:jc w:val="center"/>
              <w:rPr>
                <w:b/>
                <w:b/>
                <w:sz w:val="16"/>
                <w:szCs w:val="16"/>
              </w:rPr>
            </w:pPr>
            <w:r>
              <w:rPr>
                <w:b/>
                <w:sz w:val="16"/>
                <w:szCs w:val="16"/>
              </w:rPr>
              <w:t>(n=212)</w:t>
            </w:r>
          </w:p>
        </w:tc>
        <w:tc>
          <w:tcPr>
            <w:tcW w:w="907"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DOD-</w:t>
              <w:br/>
              <w:t>ADNI</w:t>
            </w:r>
          </w:p>
          <w:p>
            <w:pPr>
              <w:pStyle w:val="LOnormal"/>
              <w:widowControl w:val="false"/>
              <w:spacing w:lineRule="auto" w:line="240"/>
              <w:jc w:val="center"/>
              <w:rPr>
                <w:b/>
                <w:b/>
                <w:sz w:val="16"/>
                <w:szCs w:val="16"/>
              </w:rPr>
            </w:pPr>
            <w:r>
              <w:rPr>
                <w:b/>
                <w:sz w:val="16"/>
                <w:szCs w:val="16"/>
              </w:rPr>
              <w:t>(n=218)</w:t>
            </w:r>
          </w:p>
        </w:tc>
        <w:tc>
          <w:tcPr>
            <w:tcW w:w="909"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EDSD</w:t>
            </w:r>
          </w:p>
          <w:p>
            <w:pPr>
              <w:pStyle w:val="LOnormal"/>
              <w:widowControl w:val="false"/>
              <w:spacing w:lineRule="auto" w:line="240"/>
              <w:jc w:val="center"/>
              <w:rPr>
                <w:b/>
                <w:b/>
                <w:sz w:val="16"/>
                <w:szCs w:val="16"/>
              </w:rPr>
            </w:pPr>
            <w:r>
              <w:rPr>
                <w:b/>
                <w:sz w:val="16"/>
                <w:szCs w:val="16"/>
              </w:rPr>
              <w:t>(n=159)</w:t>
            </w:r>
          </w:p>
        </w:tc>
        <w:tc>
          <w:tcPr>
            <w:tcW w:w="907"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EMIF</w:t>
            </w:r>
          </w:p>
          <w:p>
            <w:pPr>
              <w:pStyle w:val="LOnormal"/>
              <w:widowControl w:val="false"/>
              <w:spacing w:lineRule="auto" w:line="240"/>
              <w:jc w:val="center"/>
              <w:rPr>
                <w:b/>
                <w:b/>
                <w:sz w:val="16"/>
                <w:szCs w:val="16"/>
              </w:rPr>
            </w:pPr>
            <w:r>
              <w:rPr>
                <w:b/>
                <w:sz w:val="16"/>
                <w:szCs w:val="16"/>
              </w:rPr>
              <w:t>(n=32)</w:t>
            </w:r>
          </w:p>
        </w:tc>
        <w:tc>
          <w:tcPr>
            <w:tcW w:w="908"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I-ADNI</w:t>
            </w:r>
          </w:p>
          <w:p>
            <w:pPr>
              <w:pStyle w:val="LOnormal"/>
              <w:widowControl w:val="false"/>
              <w:spacing w:lineRule="auto" w:line="240"/>
              <w:jc w:val="center"/>
              <w:rPr>
                <w:b/>
                <w:b/>
                <w:sz w:val="16"/>
                <w:szCs w:val="16"/>
              </w:rPr>
            </w:pPr>
            <w:r>
              <w:rPr>
                <w:b/>
                <w:sz w:val="16"/>
                <w:szCs w:val="16"/>
              </w:rPr>
              <w:t>(n=160)</w:t>
            </w:r>
          </w:p>
        </w:tc>
        <w:tc>
          <w:tcPr>
            <w:tcW w:w="907"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JADNI</w:t>
            </w:r>
          </w:p>
          <w:p>
            <w:pPr>
              <w:pStyle w:val="LOnormal"/>
              <w:widowControl w:val="false"/>
              <w:spacing w:lineRule="auto" w:line="240"/>
              <w:jc w:val="center"/>
              <w:rPr>
                <w:b/>
                <w:b/>
                <w:sz w:val="16"/>
                <w:szCs w:val="16"/>
              </w:rPr>
            </w:pPr>
            <w:r>
              <w:rPr>
                <w:b/>
                <w:sz w:val="16"/>
                <w:szCs w:val="16"/>
              </w:rPr>
              <w:t>(n=222)</w:t>
            </w:r>
          </w:p>
        </w:tc>
        <w:tc>
          <w:tcPr>
            <w:tcW w:w="908"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PharmaCog</w:t>
            </w:r>
          </w:p>
          <w:p>
            <w:pPr>
              <w:pStyle w:val="LOnormal"/>
              <w:widowControl w:val="false"/>
              <w:spacing w:lineRule="auto" w:line="240"/>
              <w:jc w:val="center"/>
              <w:rPr>
                <w:b/>
                <w:b/>
                <w:sz w:val="16"/>
                <w:szCs w:val="16"/>
              </w:rPr>
            </w:pPr>
            <w:r>
              <w:rPr>
                <w:b/>
                <w:sz w:val="16"/>
                <w:szCs w:val="16"/>
              </w:rPr>
              <w:t>(n=164)</w:t>
            </w:r>
          </w:p>
        </w:tc>
        <w:tc>
          <w:tcPr>
            <w:tcW w:w="907"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PREVENT-AD</w:t>
            </w:r>
          </w:p>
          <w:p>
            <w:pPr>
              <w:pStyle w:val="LOnormal"/>
              <w:widowControl w:val="false"/>
              <w:spacing w:lineRule="auto" w:line="240"/>
              <w:jc w:val="center"/>
              <w:rPr>
                <w:b/>
                <w:b/>
                <w:sz w:val="16"/>
                <w:szCs w:val="16"/>
              </w:rPr>
            </w:pPr>
            <w:r>
              <w:rPr>
                <w:b/>
                <w:sz w:val="16"/>
                <w:szCs w:val="16"/>
              </w:rPr>
              <w:t>(n=39)</w:t>
            </w:r>
          </w:p>
        </w:tc>
        <w:tc>
          <w:tcPr>
            <w:tcW w:w="909" w:type="dxa"/>
            <w:tcBorders>
              <w:top w:val="single" w:sz="8" w:space="0" w:color="000000"/>
              <w:left w:val="single" w:sz="8" w:space="0" w:color="000000"/>
              <w:bottom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VITA</w:t>
            </w:r>
          </w:p>
          <w:p>
            <w:pPr>
              <w:pStyle w:val="LOnormal"/>
              <w:widowControl w:val="false"/>
              <w:spacing w:lineRule="auto" w:line="240"/>
              <w:jc w:val="center"/>
              <w:rPr>
                <w:b/>
                <w:b/>
                <w:sz w:val="16"/>
                <w:szCs w:val="16"/>
              </w:rPr>
            </w:pPr>
            <w:r>
              <w:rPr>
                <w:b/>
                <w:sz w:val="16"/>
                <w:szCs w:val="16"/>
              </w:rPr>
              <w:t>(n=150)</w:t>
            </w:r>
          </w:p>
        </w:tc>
        <w:tc>
          <w:tcPr>
            <w:tcW w:w="900" w:type="dxa"/>
            <w:tcBorders>
              <w:top w:val="single" w:sz="8" w:space="0" w:color="000000"/>
              <w:left w:val="single" w:sz="8" w:space="0" w:color="000000"/>
              <w:bottom w:val="single" w:sz="8" w:space="0" w:color="000000"/>
              <w:right w:val="single" w:sz="8" w:space="0" w:color="000000"/>
            </w:tcBorders>
            <w:shd w:fill="CCCCCC" w:val="clear"/>
            <w:vAlign w:val="center"/>
          </w:tcPr>
          <w:p>
            <w:pPr>
              <w:pStyle w:val="LOnormal"/>
              <w:widowControl w:val="false"/>
              <w:spacing w:lineRule="auto" w:line="240"/>
              <w:jc w:val="center"/>
              <w:rPr>
                <w:b/>
                <w:b/>
                <w:sz w:val="16"/>
                <w:szCs w:val="16"/>
              </w:rPr>
            </w:pPr>
            <w:r>
              <w:rPr>
                <w:b/>
                <w:sz w:val="16"/>
                <w:szCs w:val="16"/>
              </w:rPr>
              <w:t>AD-Mapper</w:t>
            </w:r>
          </w:p>
          <w:p>
            <w:pPr>
              <w:pStyle w:val="LOnormal"/>
              <w:widowControl w:val="false"/>
              <w:spacing w:lineRule="auto" w:line="240"/>
              <w:jc w:val="center"/>
              <w:rPr>
                <w:b/>
                <w:b/>
                <w:sz w:val="16"/>
                <w:szCs w:val="16"/>
              </w:rPr>
            </w:pPr>
            <w:r>
              <w:rPr>
                <w:b/>
                <w:sz w:val="16"/>
                <w:szCs w:val="16"/>
              </w:rPr>
              <w:t>(n=340)</w:t>
            </w:r>
          </w:p>
        </w:tc>
      </w:tr>
      <w:tr>
        <w:trPr>
          <w:trHeight w:val="306" w:hRule="atLeast"/>
        </w:trPr>
        <w:tc>
          <w:tcPr>
            <w:tcW w:w="1186"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A4</w:t>
            </w:r>
          </w:p>
        </w:tc>
        <w:tc>
          <w:tcPr>
            <w:tcW w:w="112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OpenAI embeddings</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08"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86%</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86%</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48%</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43%</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83%</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47%</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33%</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29%</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64%</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43%</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68%</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44%</w:t>
            </w:r>
          </w:p>
        </w:tc>
        <w:tc>
          <w:tcPr>
            <w:tcW w:w="900"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52%</w:t>
            </w:r>
          </w:p>
        </w:tc>
      </w:tr>
      <w:tr>
        <w:trPr>
          <w:trHeight w:val="306" w:hRule="atLeast"/>
        </w:trPr>
        <w:tc>
          <w:tcPr>
            <w:tcW w:w="1186"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ABVIB</w:t>
            </w:r>
          </w:p>
        </w:tc>
        <w:tc>
          <w:tcPr>
            <w:tcW w:w="112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OpenAI embeddings</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86%</w:t>
            </w:r>
          </w:p>
        </w:tc>
        <w:tc>
          <w:tcPr>
            <w:tcW w:w="908"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82%</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62%</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45%</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80%</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57%</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75%</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57%</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83%</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57%</w:t>
            </w:r>
          </w:p>
        </w:tc>
        <w:tc>
          <w:tcPr>
            <w:tcW w:w="900"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60%</w:t>
            </w:r>
          </w:p>
        </w:tc>
      </w:tr>
      <w:tr>
        <w:trPr>
          <w:trHeight w:val="306" w:hRule="atLeast"/>
        </w:trPr>
        <w:tc>
          <w:tcPr>
            <w:tcW w:w="1186"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ADNI</w:t>
            </w:r>
          </w:p>
        </w:tc>
        <w:tc>
          <w:tcPr>
            <w:tcW w:w="112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OpenAI embeddings</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73%</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91%</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52%</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42%</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92%</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44%</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56%</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25%</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79%</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41%</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58%</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31%</w:t>
            </w:r>
          </w:p>
        </w:tc>
        <w:tc>
          <w:tcPr>
            <w:tcW w:w="900"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57%</w:t>
            </w:r>
          </w:p>
        </w:tc>
      </w:tr>
      <w:tr>
        <w:trPr>
          <w:trHeight w:val="306" w:hRule="atLeast"/>
        </w:trPr>
        <w:tc>
          <w:tcPr>
            <w:tcW w:w="1186"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AIBL</w:t>
            </w:r>
          </w:p>
        </w:tc>
        <w:tc>
          <w:tcPr>
            <w:tcW w:w="112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OpenAI embeddings</w:t>
            </w:r>
          </w:p>
        </w:tc>
        <w:tc>
          <w:tcPr>
            <w:tcW w:w="909"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68%</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83%</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45%</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64%</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54%</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50%</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62%</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29%</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49%</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58%</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73%</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61%</w:t>
            </w:r>
          </w:p>
        </w:tc>
        <w:tc>
          <w:tcPr>
            <w:tcW w:w="900"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68%</w:t>
            </w:r>
          </w:p>
        </w:tc>
      </w:tr>
      <w:tr>
        <w:trPr>
          <w:trHeight w:val="306" w:hRule="atLeast"/>
        </w:trPr>
        <w:tc>
          <w:tcPr>
            <w:tcW w:w="1186"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ARWIBO</w:t>
            </w:r>
          </w:p>
        </w:tc>
        <w:tc>
          <w:tcPr>
            <w:tcW w:w="112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OpenAI embeddings</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56%</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80%</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58%</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50%</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61%</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97%</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40%</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14%</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43%</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99%</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50%</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99%</w:t>
            </w:r>
          </w:p>
        </w:tc>
        <w:tc>
          <w:tcPr>
            <w:tcW w:w="900"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38%</w:t>
            </w:r>
          </w:p>
        </w:tc>
      </w:tr>
      <w:tr>
        <w:trPr>
          <w:trHeight w:val="306" w:hRule="atLeast"/>
        </w:trPr>
        <w:tc>
          <w:tcPr>
            <w:tcW w:w="1186"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DOD-</w:t>
              <w:br/>
              <w:t>ADNI</w:t>
            </w:r>
          </w:p>
        </w:tc>
        <w:tc>
          <w:tcPr>
            <w:tcW w:w="112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OpenAI embeddings</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84%</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80%</w:t>
            </w:r>
          </w:p>
        </w:tc>
        <w:tc>
          <w:tcPr>
            <w:tcW w:w="907"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79%</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54%</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49%</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49%</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51%</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25%</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80%</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46%</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63%</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42%</w:t>
            </w:r>
          </w:p>
        </w:tc>
        <w:tc>
          <w:tcPr>
            <w:tcW w:w="900"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62%</w:t>
            </w:r>
          </w:p>
        </w:tc>
      </w:tr>
      <w:tr>
        <w:trPr>
          <w:trHeight w:val="306" w:hRule="atLeast"/>
        </w:trPr>
        <w:tc>
          <w:tcPr>
            <w:tcW w:w="1186"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EDSD</w:t>
            </w:r>
          </w:p>
        </w:tc>
        <w:tc>
          <w:tcPr>
            <w:tcW w:w="112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OpenAI embeddings</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57%</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71%</w:t>
            </w:r>
          </w:p>
        </w:tc>
        <w:tc>
          <w:tcPr>
            <w:tcW w:w="907"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59%</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50%</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97%</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65%</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53%</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36%</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53%</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99%</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66%</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99%</w:t>
            </w:r>
          </w:p>
        </w:tc>
        <w:tc>
          <w:tcPr>
            <w:tcW w:w="900"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66%</w:t>
            </w:r>
          </w:p>
        </w:tc>
      </w:tr>
      <w:tr>
        <w:trPr>
          <w:trHeight w:val="306" w:hRule="atLeast"/>
        </w:trPr>
        <w:tc>
          <w:tcPr>
            <w:tcW w:w="1186"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EMIF</w:t>
            </w:r>
          </w:p>
        </w:tc>
        <w:tc>
          <w:tcPr>
            <w:tcW w:w="112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OpenAI embeddings</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69%</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07"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67%</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67%</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74%</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73%</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65%</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57%</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65%</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72%</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71%</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71%</w:t>
            </w:r>
          </w:p>
        </w:tc>
        <w:tc>
          <w:tcPr>
            <w:tcW w:w="900"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67%</w:t>
            </w:r>
          </w:p>
        </w:tc>
      </w:tr>
      <w:tr>
        <w:trPr>
          <w:trHeight w:val="306" w:hRule="atLeast"/>
        </w:trPr>
        <w:tc>
          <w:tcPr>
            <w:tcW w:w="1186"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I-ADNI</w:t>
            </w:r>
          </w:p>
        </w:tc>
        <w:tc>
          <w:tcPr>
            <w:tcW w:w="112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OpenAI embeddings</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60%</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07"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60%</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57%</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78%</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56%</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67%</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75%</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75%</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75%</w:t>
            </w:r>
          </w:p>
        </w:tc>
        <w:tc>
          <w:tcPr>
            <w:tcW w:w="900"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83%</w:t>
            </w:r>
          </w:p>
        </w:tc>
      </w:tr>
      <w:tr>
        <w:trPr>
          <w:trHeight w:val="306" w:hRule="atLeast"/>
        </w:trPr>
        <w:tc>
          <w:tcPr>
            <w:tcW w:w="1186"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JADNI</w:t>
            </w:r>
          </w:p>
        </w:tc>
        <w:tc>
          <w:tcPr>
            <w:tcW w:w="112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OpenAI embeddings</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88%</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88%</w:t>
            </w:r>
          </w:p>
        </w:tc>
        <w:tc>
          <w:tcPr>
            <w:tcW w:w="907"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91%</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56%</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71%</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88%</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77%</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68%</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44%</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71%</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74%</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76%</w:t>
            </w:r>
          </w:p>
        </w:tc>
        <w:tc>
          <w:tcPr>
            <w:tcW w:w="900"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62%</w:t>
            </w:r>
          </w:p>
        </w:tc>
      </w:tr>
      <w:tr>
        <w:trPr>
          <w:trHeight w:val="306" w:hRule="atLeast"/>
        </w:trPr>
        <w:tc>
          <w:tcPr>
            <w:tcW w:w="1186"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PharmaCog</w:t>
            </w:r>
          </w:p>
        </w:tc>
        <w:tc>
          <w:tcPr>
            <w:tcW w:w="112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OpenAI embeddings</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57%</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71%</w:t>
            </w:r>
          </w:p>
        </w:tc>
        <w:tc>
          <w:tcPr>
            <w:tcW w:w="907"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56%</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50%</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65%</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55%</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19%</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53%</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63%</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00"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71%</w:t>
            </w:r>
          </w:p>
        </w:tc>
      </w:tr>
      <w:tr>
        <w:trPr>
          <w:trHeight w:val="306" w:hRule="atLeast"/>
        </w:trPr>
        <w:tc>
          <w:tcPr>
            <w:tcW w:w="1186"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PREVENT-AD</w:t>
            </w:r>
          </w:p>
        </w:tc>
        <w:tc>
          <w:tcPr>
            <w:tcW w:w="112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OpenAI embeddings</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69%</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67%</w:t>
            </w:r>
          </w:p>
        </w:tc>
        <w:tc>
          <w:tcPr>
            <w:tcW w:w="907"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67%</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76%</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79%</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59%</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75%</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50%</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30%</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59%</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80%</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80%</w:t>
            </w:r>
          </w:p>
        </w:tc>
        <w:tc>
          <w:tcPr>
            <w:tcW w:w="900"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50%</w:t>
            </w:r>
          </w:p>
        </w:tc>
      </w:tr>
      <w:tr>
        <w:trPr>
          <w:trHeight w:val="213" w:hRule="atLeast"/>
        </w:trPr>
        <w:tc>
          <w:tcPr>
            <w:tcW w:w="1186" w:type="dxa"/>
            <w:tcBorders>
              <w:left w:val="single" w:sz="8" w:space="0" w:color="000000"/>
              <w:bottom w:val="single" w:sz="8" w:space="0" w:color="000000"/>
            </w:tcBorders>
            <w:shd w:fill="F3F3F3" w:val="clear"/>
            <w:vAlign w:val="center"/>
          </w:tcPr>
          <w:p>
            <w:pPr>
              <w:pStyle w:val="LOnormal"/>
              <w:widowControl w:val="false"/>
              <w:spacing w:lineRule="auto" w:line="240"/>
              <w:jc w:val="center"/>
              <w:rPr>
                <w:b/>
                <w:b/>
                <w:sz w:val="16"/>
                <w:szCs w:val="16"/>
              </w:rPr>
            </w:pPr>
            <w:r>
              <w:rPr>
                <w:b/>
                <w:sz w:val="16"/>
                <w:szCs w:val="16"/>
              </w:rPr>
              <w:t>VITA</w:t>
            </w:r>
          </w:p>
        </w:tc>
        <w:tc>
          <w:tcPr>
            <w:tcW w:w="1124" w:type="dxa"/>
            <w:tcBorders>
              <w:left w:val="single" w:sz="8" w:space="0" w:color="000000"/>
              <w:bottom w:val="single" w:sz="8" w:space="0" w:color="000000"/>
            </w:tcBorders>
            <w:shd w:fill="F3F3F3" w:val="clear"/>
            <w:vAlign w:val="center"/>
          </w:tcPr>
          <w:p>
            <w:pPr>
              <w:pStyle w:val="LOnormal"/>
              <w:widowControl w:val="false"/>
              <w:spacing w:lineRule="auto" w:line="240"/>
              <w:jc w:val="center"/>
              <w:rPr>
                <w:sz w:val="16"/>
                <w:szCs w:val="16"/>
              </w:rPr>
            </w:pPr>
            <w:r>
              <w:rPr>
                <w:sz w:val="16"/>
                <w:szCs w:val="16"/>
              </w:rPr>
              <w:t>OpenAI embeddings</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67%</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71%</w:t>
            </w:r>
          </w:p>
        </w:tc>
        <w:tc>
          <w:tcPr>
            <w:tcW w:w="907" w:type="dxa"/>
            <w:tcBorders>
              <w:left w:val="single" w:sz="8" w:space="0" w:color="000000"/>
              <w:bottom w:val="single" w:sz="8" w:space="0" w:color="000000"/>
            </w:tcBorders>
            <w:shd w:fill="FFFFFF" w:val="clear"/>
            <w:vAlign w:val="center"/>
          </w:tcPr>
          <w:p>
            <w:pPr>
              <w:pStyle w:val="LOnormal"/>
              <w:widowControl w:val="false"/>
              <w:spacing w:lineRule="auto" w:line="240"/>
              <w:jc w:val="center"/>
              <w:rPr>
                <w:sz w:val="16"/>
                <w:szCs w:val="16"/>
              </w:rPr>
            </w:pPr>
            <w:r>
              <w:rPr>
                <w:sz w:val="16"/>
                <w:szCs w:val="16"/>
              </w:rPr>
              <w:t>62%</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52%</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68%</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54%</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19%</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48%</w:t>
            </w:r>
          </w:p>
        </w:tc>
        <w:tc>
          <w:tcPr>
            <w:tcW w:w="908"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100%</w:t>
            </w:r>
          </w:p>
        </w:tc>
        <w:tc>
          <w:tcPr>
            <w:tcW w:w="907"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63%</w:t>
            </w:r>
          </w:p>
        </w:tc>
        <w:tc>
          <w:tcPr>
            <w:tcW w:w="909" w:type="dxa"/>
            <w:tcBorders>
              <w:left w:val="single" w:sz="8" w:space="0" w:color="000000"/>
              <w:bottom w:val="single" w:sz="8" w:space="0" w:color="000000"/>
            </w:tcBorders>
            <w:vAlign w:val="center"/>
          </w:tcPr>
          <w:p>
            <w:pPr>
              <w:pStyle w:val="LOnormal"/>
              <w:widowControl w:val="false"/>
              <w:spacing w:lineRule="auto" w:line="240"/>
              <w:jc w:val="center"/>
              <w:rPr>
                <w:sz w:val="16"/>
                <w:szCs w:val="16"/>
              </w:rPr>
            </w:pPr>
            <w:r>
              <w:rPr>
                <w:sz w:val="16"/>
                <w:szCs w:val="16"/>
              </w:rPr>
              <w:t>-</w:t>
            </w:r>
          </w:p>
        </w:tc>
        <w:tc>
          <w:tcPr>
            <w:tcW w:w="900" w:type="dxa"/>
            <w:tcBorders>
              <w:left w:val="single" w:sz="8" w:space="0" w:color="000000"/>
              <w:bottom w:val="single" w:sz="8" w:space="0" w:color="000000"/>
              <w:right w:val="single" w:sz="8" w:space="0" w:color="000000"/>
            </w:tcBorders>
            <w:vAlign w:val="center"/>
          </w:tcPr>
          <w:p>
            <w:pPr>
              <w:pStyle w:val="LOnormal"/>
              <w:widowControl w:val="false"/>
              <w:spacing w:lineRule="auto" w:line="240"/>
              <w:jc w:val="center"/>
              <w:rPr>
                <w:sz w:val="16"/>
                <w:szCs w:val="16"/>
              </w:rPr>
            </w:pPr>
            <w:r>
              <w:rPr>
                <w:sz w:val="16"/>
                <w:szCs w:val="16"/>
              </w:rPr>
              <w:t>65%</w:t>
            </w:r>
          </w:p>
        </w:tc>
      </w:tr>
    </w:tbl>
    <w:p>
      <w:pPr>
        <w:pStyle w:val="LOnormal"/>
        <w:jc w:val="both"/>
        <w:rPr>
          <w:sz w:val="20"/>
          <w:szCs w:val="20"/>
        </w:rPr>
      </w:pPr>
      <w:r>
        <w:rPr>
          <w:b/>
          <w:sz w:val="20"/>
          <w:szCs w:val="20"/>
        </w:rPr>
        <w:t xml:space="preserve">Table S4: </w:t>
      </w:r>
      <w:r>
        <w:rPr>
          <w:sz w:val="20"/>
          <w:szCs w:val="20"/>
        </w:rPr>
        <w:t>Calculated accuracy of the closest cosine similarity of OpenAI embeddings for all applicable cohorts in the AD CDM. The n describes the number of variables that have a corresponding mapping in the AD CDM.</w:t>
      </w:r>
    </w:p>
    <w:p>
      <w:pPr>
        <w:pStyle w:val="LOnormal"/>
        <w:jc w:val="both"/>
        <w:rPr>
          <w:sz w:val="20"/>
          <w:szCs w:val="20"/>
        </w:rPr>
      </w:pPr>
      <w:r>
        <w:rPr>
          <w:sz w:val="20"/>
          <w:szCs w:val="20"/>
        </w:rPr>
      </w:r>
    </w:p>
    <w:p>
      <w:pPr>
        <w:pStyle w:val="LOnormal"/>
        <w:jc w:val="both"/>
        <w:rPr>
          <w:sz w:val="20"/>
          <w:szCs w:val="20"/>
        </w:rPr>
      </w:pPr>
      <w:r>
        <w:rPr>
          <w:sz w:val="20"/>
          <w:szCs w:val="20"/>
        </w:rPr>
      </w:r>
    </w:p>
    <w:p>
      <w:pPr>
        <w:pStyle w:val="LOnormal"/>
        <w:jc w:val="both"/>
        <w:rPr>
          <w:sz w:val="20"/>
          <w:szCs w:val="20"/>
        </w:rPr>
      </w:pPr>
      <w:r>
        <w:rPr>
          <w:sz w:val="20"/>
          <w:szCs w:val="20"/>
        </w:rPr>
      </w:r>
    </w:p>
    <w:p>
      <w:pPr>
        <w:pStyle w:val="LOnormal"/>
        <w:jc w:val="both"/>
        <w:rPr>
          <w:sz w:val="20"/>
          <w:szCs w:val="20"/>
        </w:rPr>
      </w:pPr>
      <w:r>
        <w:rPr>
          <w:sz w:val="20"/>
          <w:szCs w:val="20"/>
        </w:rPr>
      </w:r>
    </w:p>
    <w:p>
      <w:pPr>
        <w:pStyle w:val="LOnormal"/>
        <w:jc w:val="both"/>
        <w:rPr>
          <w:sz w:val="20"/>
          <w:szCs w:val="20"/>
        </w:rPr>
      </w:pPr>
      <w:r>
        <w:rPr>
          <w:sz w:val="20"/>
          <w:szCs w:val="20"/>
        </w:rPr>
      </w:r>
    </w:p>
    <w:p>
      <w:pPr>
        <w:pStyle w:val="LOnormal"/>
        <w:jc w:val="both"/>
        <w:rPr>
          <w:sz w:val="20"/>
          <w:szCs w:val="20"/>
        </w:rPr>
      </w:pPr>
      <w:r>
        <w:rPr>
          <w:sz w:val="20"/>
          <w:szCs w:val="20"/>
        </w:rPr>
      </w:r>
    </w:p>
    <w:tbl>
      <w:tblPr>
        <w:tblStyle w:val="Table5"/>
        <w:tblW w:w="14399" w:type="dxa"/>
        <w:jc w:val="left"/>
        <w:tblInd w:w="-765" w:type="dxa"/>
        <w:tblLayout w:type="fixed"/>
        <w:tblCellMar>
          <w:top w:w="55" w:type="dxa"/>
          <w:left w:w="55" w:type="dxa"/>
          <w:bottom w:w="55" w:type="dxa"/>
          <w:right w:w="55" w:type="dxa"/>
        </w:tblCellMar>
        <w:tblLook w:val="0600"/>
      </w:tblPr>
      <w:tblGrid>
        <w:gridCol w:w="1186"/>
        <w:gridCol w:w="943"/>
        <w:gridCol w:w="945"/>
        <w:gridCol w:w="943"/>
        <w:gridCol w:w="943"/>
        <w:gridCol w:w="945"/>
        <w:gridCol w:w="943"/>
        <w:gridCol w:w="943"/>
        <w:gridCol w:w="943"/>
        <w:gridCol w:w="946"/>
        <w:gridCol w:w="943"/>
        <w:gridCol w:w="945"/>
        <w:gridCol w:w="943"/>
        <w:gridCol w:w="943"/>
        <w:gridCol w:w="945"/>
      </w:tblGrid>
      <w:tr>
        <w:trPr/>
        <w:tc>
          <w:tcPr>
            <w:tcW w:w="1186" w:type="dxa"/>
            <w:tcBorders>
              <w:top w:val="single" w:sz="4" w:space="0" w:color="000000"/>
              <w:left w:val="single" w:sz="4" w:space="0" w:color="000000"/>
              <w:bottom w:val="single" w:sz="4" w:space="0" w:color="000000"/>
            </w:tcBorders>
            <w:shd w:fill="CCCCCC" w:val="clear"/>
            <w:vAlign w:val="bottom"/>
          </w:tcPr>
          <w:p>
            <w:pPr>
              <w:pStyle w:val="LOnormal"/>
              <w:widowControl w:val="false"/>
              <w:spacing w:lineRule="auto" w:line="240"/>
              <w:jc w:val="center"/>
              <w:rPr>
                <w:sz w:val="14"/>
                <w:szCs w:val="14"/>
              </w:rPr>
            </w:pPr>
            <w:r>
              <w:rPr>
                <w:b/>
                <w:sz w:val="14"/>
                <w:szCs w:val="14"/>
              </w:rPr>
              <w:t>Mapping from / mapping to</w:t>
            </w:r>
          </w:p>
        </w:tc>
        <w:tc>
          <w:tcPr>
            <w:tcW w:w="943" w:type="dxa"/>
            <w:tcBorders>
              <w:top w:val="single" w:sz="4" w:space="0" w:color="000000"/>
              <w:left w:val="single" w:sz="4" w:space="0" w:color="000000"/>
              <w:bottom w:val="single" w:sz="4" w:space="0" w:color="000000"/>
            </w:tcBorders>
            <w:shd w:fill="CCCCCC" w:val="clear"/>
            <w:vAlign w:val="center"/>
          </w:tcPr>
          <w:p>
            <w:pPr>
              <w:pStyle w:val="LOnormal"/>
              <w:widowControl w:val="false"/>
              <w:jc w:val="center"/>
              <w:rPr>
                <w:sz w:val="14"/>
                <w:szCs w:val="14"/>
              </w:rPr>
            </w:pPr>
            <w:r>
              <w:rPr>
                <w:b/>
                <w:sz w:val="14"/>
                <w:szCs w:val="14"/>
              </w:rPr>
              <w:t>A4</w:t>
            </w:r>
          </w:p>
        </w:tc>
        <w:tc>
          <w:tcPr>
            <w:tcW w:w="945" w:type="dxa"/>
            <w:tcBorders>
              <w:top w:val="single" w:sz="4" w:space="0" w:color="000000"/>
              <w:left w:val="single" w:sz="4" w:space="0" w:color="000000"/>
              <w:bottom w:val="single" w:sz="4" w:space="0" w:color="000000"/>
            </w:tcBorders>
            <w:shd w:fill="CCCCCC" w:val="clear"/>
            <w:vAlign w:val="center"/>
          </w:tcPr>
          <w:p>
            <w:pPr>
              <w:pStyle w:val="LOnormal"/>
              <w:widowControl w:val="false"/>
              <w:jc w:val="center"/>
              <w:rPr>
                <w:sz w:val="14"/>
                <w:szCs w:val="14"/>
              </w:rPr>
            </w:pPr>
            <w:r>
              <w:rPr>
                <w:b/>
                <w:sz w:val="14"/>
                <w:szCs w:val="14"/>
              </w:rPr>
              <w:t>ABVIB</w:t>
            </w:r>
          </w:p>
        </w:tc>
        <w:tc>
          <w:tcPr>
            <w:tcW w:w="943" w:type="dxa"/>
            <w:tcBorders>
              <w:top w:val="single" w:sz="4" w:space="0" w:color="000000"/>
              <w:left w:val="single" w:sz="4" w:space="0" w:color="000000"/>
              <w:bottom w:val="single" w:sz="4" w:space="0" w:color="000000"/>
            </w:tcBorders>
            <w:shd w:fill="CCCCCC" w:val="clear"/>
            <w:vAlign w:val="center"/>
          </w:tcPr>
          <w:p>
            <w:pPr>
              <w:pStyle w:val="LOnormal"/>
              <w:widowControl w:val="false"/>
              <w:jc w:val="center"/>
              <w:rPr>
                <w:sz w:val="14"/>
                <w:szCs w:val="14"/>
              </w:rPr>
            </w:pPr>
            <w:r>
              <w:rPr>
                <w:b/>
                <w:sz w:val="14"/>
                <w:szCs w:val="14"/>
              </w:rPr>
              <w:t>ADNI</w:t>
            </w:r>
          </w:p>
        </w:tc>
        <w:tc>
          <w:tcPr>
            <w:tcW w:w="943" w:type="dxa"/>
            <w:tcBorders>
              <w:top w:val="single" w:sz="4" w:space="0" w:color="000000"/>
              <w:left w:val="single" w:sz="4" w:space="0" w:color="000000"/>
              <w:bottom w:val="single" w:sz="4" w:space="0" w:color="000000"/>
            </w:tcBorders>
            <w:shd w:fill="CCCCCC" w:val="clear"/>
            <w:vAlign w:val="center"/>
          </w:tcPr>
          <w:p>
            <w:pPr>
              <w:pStyle w:val="LOnormal"/>
              <w:widowControl w:val="false"/>
              <w:jc w:val="center"/>
              <w:rPr>
                <w:sz w:val="14"/>
                <w:szCs w:val="14"/>
              </w:rPr>
            </w:pPr>
            <w:r>
              <w:rPr>
                <w:b/>
                <w:sz w:val="14"/>
                <w:szCs w:val="14"/>
              </w:rPr>
              <w:t>AIBL</w:t>
            </w:r>
          </w:p>
        </w:tc>
        <w:tc>
          <w:tcPr>
            <w:tcW w:w="945" w:type="dxa"/>
            <w:tcBorders>
              <w:top w:val="single" w:sz="4" w:space="0" w:color="000000"/>
              <w:left w:val="single" w:sz="4" w:space="0" w:color="000000"/>
              <w:bottom w:val="single" w:sz="4" w:space="0" w:color="000000"/>
            </w:tcBorders>
            <w:shd w:fill="CCCCCC" w:val="clear"/>
            <w:vAlign w:val="center"/>
          </w:tcPr>
          <w:p>
            <w:pPr>
              <w:pStyle w:val="LOnormal"/>
              <w:widowControl w:val="false"/>
              <w:jc w:val="center"/>
              <w:rPr>
                <w:sz w:val="14"/>
                <w:szCs w:val="14"/>
              </w:rPr>
            </w:pPr>
            <w:r>
              <w:rPr>
                <w:b/>
                <w:sz w:val="14"/>
                <w:szCs w:val="14"/>
              </w:rPr>
              <w:t>ARWIBO</w:t>
            </w:r>
          </w:p>
        </w:tc>
        <w:tc>
          <w:tcPr>
            <w:tcW w:w="943" w:type="dxa"/>
            <w:tcBorders>
              <w:top w:val="single" w:sz="4" w:space="0" w:color="000000"/>
              <w:left w:val="single" w:sz="4" w:space="0" w:color="000000"/>
              <w:bottom w:val="single" w:sz="4" w:space="0" w:color="000000"/>
            </w:tcBorders>
            <w:shd w:fill="CCCCCC" w:val="clear"/>
            <w:vAlign w:val="center"/>
          </w:tcPr>
          <w:p>
            <w:pPr>
              <w:pStyle w:val="LOnormal"/>
              <w:widowControl w:val="false"/>
              <w:jc w:val="center"/>
              <w:rPr>
                <w:sz w:val="14"/>
                <w:szCs w:val="14"/>
              </w:rPr>
            </w:pPr>
            <w:r>
              <w:rPr>
                <w:b/>
                <w:sz w:val="14"/>
                <w:szCs w:val="14"/>
              </w:rPr>
              <w:t>DOD-ADNI</w:t>
            </w:r>
          </w:p>
        </w:tc>
        <w:tc>
          <w:tcPr>
            <w:tcW w:w="943" w:type="dxa"/>
            <w:tcBorders>
              <w:top w:val="single" w:sz="4" w:space="0" w:color="000000"/>
              <w:left w:val="single" w:sz="4" w:space="0" w:color="000000"/>
              <w:bottom w:val="single" w:sz="4" w:space="0" w:color="000000"/>
            </w:tcBorders>
            <w:shd w:fill="CCCCCC" w:val="clear"/>
            <w:vAlign w:val="center"/>
          </w:tcPr>
          <w:p>
            <w:pPr>
              <w:pStyle w:val="LOnormal"/>
              <w:widowControl w:val="false"/>
              <w:jc w:val="center"/>
              <w:rPr>
                <w:sz w:val="14"/>
                <w:szCs w:val="14"/>
              </w:rPr>
            </w:pPr>
            <w:r>
              <w:rPr>
                <w:b/>
                <w:sz w:val="14"/>
                <w:szCs w:val="14"/>
              </w:rPr>
              <w:t>EDSD</w:t>
            </w:r>
          </w:p>
        </w:tc>
        <w:tc>
          <w:tcPr>
            <w:tcW w:w="943" w:type="dxa"/>
            <w:tcBorders>
              <w:top w:val="single" w:sz="4" w:space="0" w:color="000000"/>
              <w:left w:val="single" w:sz="4" w:space="0" w:color="000000"/>
              <w:bottom w:val="single" w:sz="4" w:space="0" w:color="000000"/>
            </w:tcBorders>
            <w:shd w:fill="CCCCCC" w:val="clear"/>
            <w:vAlign w:val="center"/>
          </w:tcPr>
          <w:p>
            <w:pPr>
              <w:pStyle w:val="LOnormal"/>
              <w:widowControl w:val="false"/>
              <w:jc w:val="center"/>
              <w:rPr>
                <w:sz w:val="14"/>
                <w:szCs w:val="14"/>
              </w:rPr>
            </w:pPr>
            <w:r>
              <w:rPr>
                <w:b/>
                <w:sz w:val="14"/>
                <w:szCs w:val="14"/>
              </w:rPr>
              <w:t>EMIF</w:t>
            </w:r>
          </w:p>
        </w:tc>
        <w:tc>
          <w:tcPr>
            <w:tcW w:w="946" w:type="dxa"/>
            <w:tcBorders>
              <w:top w:val="single" w:sz="4" w:space="0" w:color="000000"/>
              <w:left w:val="single" w:sz="4" w:space="0" w:color="000000"/>
              <w:bottom w:val="single" w:sz="4" w:space="0" w:color="000000"/>
            </w:tcBorders>
            <w:shd w:fill="CCCCCC" w:val="clear"/>
            <w:vAlign w:val="center"/>
          </w:tcPr>
          <w:p>
            <w:pPr>
              <w:pStyle w:val="LOnormal"/>
              <w:widowControl w:val="false"/>
              <w:jc w:val="center"/>
              <w:rPr>
                <w:sz w:val="14"/>
                <w:szCs w:val="14"/>
              </w:rPr>
            </w:pPr>
            <w:r>
              <w:rPr>
                <w:b/>
                <w:sz w:val="14"/>
                <w:szCs w:val="14"/>
              </w:rPr>
              <w:t>I-ADNI</w:t>
            </w:r>
          </w:p>
        </w:tc>
        <w:tc>
          <w:tcPr>
            <w:tcW w:w="943" w:type="dxa"/>
            <w:tcBorders>
              <w:top w:val="single" w:sz="4" w:space="0" w:color="000000"/>
              <w:left w:val="single" w:sz="4" w:space="0" w:color="000000"/>
              <w:bottom w:val="single" w:sz="4" w:space="0" w:color="000000"/>
            </w:tcBorders>
            <w:shd w:fill="CCCCCC" w:val="clear"/>
            <w:vAlign w:val="center"/>
          </w:tcPr>
          <w:p>
            <w:pPr>
              <w:pStyle w:val="LOnormal"/>
              <w:widowControl w:val="false"/>
              <w:jc w:val="center"/>
              <w:rPr>
                <w:sz w:val="14"/>
                <w:szCs w:val="14"/>
              </w:rPr>
            </w:pPr>
            <w:r>
              <w:rPr>
                <w:b/>
                <w:sz w:val="14"/>
                <w:szCs w:val="14"/>
              </w:rPr>
              <w:t>JADNI</w:t>
            </w:r>
          </w:p>
        </w:tc>
        <w:tc>
          <w:tcPr>
            <w:tcW w:w="945" w:type="dxa"/>
            <w:tcBorders>
              <w:top w:val="single" w:sz="4" w:space="0" w:color="000000"/>
              <w:left w:val="single" w:sz="4" w:space="0" w:color="000000"/>
              <w:bottom w:val="single" w:sz="4" w:space="0" w:color="000000"/>
            </w:tcBorders>
            <w:shd w:fill="CCCCCC" w:val="clear"/>
            <w:vAlign w:val="center"/>
          </w:tcPr>
          <w:p>
            <w:pPr>
              <w:pStyle w:val="LOnormal"/>
              <w:widowControl w:val="false"/>
              <w:jc w:val="center"/>
              <w:rPr>
                <w:sz w:val="14"/>
                <w:szCs w:val="14"/>
              </w:rPr>
            </w:pPr>
            <w:r>
              <w:rPr>
                <w:b/>
                <w:sz w:val="14"/>
                <w:szCs w:val="14"/>
              </w:rPr>
              <w:t>PharmaCog</w:t>
            </w:r>
          </w:p>
        </w:tc>
        <w:tc>
          <w:tcPr>
            <w:tcW w:w="943" w:type="dxa"/>
            <w:tcBorders>
              <w:top w:val="single" w:sz="4" w:space="0" w:color="000000"/>
              <w:left w:val="single" w:sz="4" w:space="0" w:color="000000"/>
              <w:bottom w:val="single" w:sz="4" w:space="0" w:color="000000"/>
            </w:tcBorders>
            <w:shd w:fill="CCCCCC" w:val="clear"/>
            <w:vAlign w:val="center"/>
          </w:tcPr>
          <w:p>
            <w:pPr>
              <w:pStyle w:val="LOnormal"/>
              <w:widowControl w:val="false"/>
              <w:jc w:val="center"/>
              <w:rPr>
                <w:sz w:val="14"/>
                <w:szCs w:val="14"/>
              </w:rPr>
            </w:pPr>
            <w:r>
              <w:rPr>
                <w:b/>
                <w:sz w:val="14"/>
                <w:szCs w:val="14"/>
              </w:rPr>
              <w:t>PREVENT-AD</w:t>
            </w:r>
          </w:p>
        </w:tc>
        <w:tc>
          <w:tcPr>
            <w:tcW w:w="943" w:type="dxa"/>
            <w:tcBorders>
              <w:top w:val="single" w:sz="4" w:space="0" w:color="000000"/>
              <w:left w:val="single" w:sz="4" w:space="0" w:color="000000"/>
              <w:bottom w:val="single" w:sz="4" w:space="0" w:color="000000"/>
            </w:tcBorders>
            <w:shd w:fill="CCCCCC" w:val="clear"/>
            <w:vAlign w:val="center"/>
          </w:tcPr>
          <w:p>
            <w:pPr>
              <w:pStyle w:val="LOnormal"/>
              <w:widowControl w:val="false"/>
              <w:jc w:val="center"/>
              <w:rPr>
                <w:sz w:val="14"/>
                <w:szCs w:val="14"/>
              </w:rPr>
            </w:pPr>
            <w:r>
              <w:rPr>
                <w:b/>
                <w:sz w:val="14"/>
                <w:szCs w:val="14"/>
              </w:rPr>
              <w:t>VITA</w:t>
            </w:r>
          </w:p>
        </w:tc>
        <w:tc>
          <w:tcPr>
            <w:tcW w:w="945" w:type="dxa"/>
            <w:tcBorders>
              <w:top w:val="single" w:sz="4" w:space="0" w:color="000000"/>
              <w:left w:val="single" w:sz="4" w:space="0" w:color="000000"/>
              <w:bottom w:val="single" w:sz="4" w:space="0" w:color="000000"/>
              <w:right w:val="single" w:sz="4" w:space="0" w:color="000000"/>
            </w:tcBorders>
            <w:shd w:fill="CCCCCC" w:val="clear"/>
            <w:vAlign w:val="center"/>
          </w:tcPr>
          <w:p>
            <w:pPr>
              <w:pStyle w:val="LOnormal"/>
              <w:widowControl w:val="false"/>
              <w:jc w:val="center"/>
              <w:rPr>
                <w:sz w:val="14"/>
                <w:szCs w:val="14"/>
              </w:rPr>
            </w:pPr>
            <w:r>
              <w:rPr>
                <w:b/>
                <w:sz w:val="14"/>
                <w:szCs w:val="14"/>
              </w:rPr>
              <w:t>AD-Mapper</w:t>
            </w:r>
          </w:p>
        </w:tc>
      </w:tr>
      <w:tr>
        <w:trPr/>
        <w:tc>
          <w:tcPr>
            <w:tcW w:w="1186" w:type="dxa"/>
            <w:tcBorders>
              <w:left w:val="single" w:sz="4" w:space="0" w:color="000000"/>
              <w:bottom w:val="single" w:sz="4" w:space="0" w:color="000000"/>
            </w:tcBorders>
            <w:shd w:fill="F3F3F3" w:val="clear"/>
            <w:vAlign w:val="center"/>
          </w:tcPr>
          <w:p>
            <w:pPr>
              <w:pStyle w:val="LOnormal"/>
              <w:widowControl w:val="false"/>
              <w:jc w:val="center"/>
              <w:rPr>
                <w:sz w:val="14"/>
                <w:szCs w:val="14"/>
              </w:rPr>
            </w:pPr>
            <w:r>
              <w:rPr>
                <w:b/>
                <w:sz w:val="14"/>
                <w:szCs w:val="14"/>
              </w:rPr>
              <w:t>A4</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6"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right w:val="single" w:sz="4" w:space="0" w:color="000000"/>
            </w:tcBorders>
            <w:vAlign w:val="center"/>
          </w:tcPr>
          <w:p>
            <w:pPr>
              <w:pStyle w:val="LOnormal"/>
              <w:widowControl w:val="false"/>
              <w:jc w:val="center"/>
              <w:rPr>
                <w:sz w:val="14"/>
                <w:szCs w:val="14"/>
              </w:rPr>
            </w:pPr>
            <w:r>
              <w:rPr>
                <w:sz w:val="14"/>
                <w:szCs w:val="14"/>
              </w:rPr>
              <w:t>MPNet</w:t>
            </w:r>
          </w:p>
        </w:tc>
      </w:tr>
      <w:tr>
        <w:trPr/>
        <w:tc>
          <w:tcPr>
            <w:tcW w:w="1186" w:type="dxa"/>
            <w:tcBorders>
              <w:left w:val="single" w:sz="4" w:space="0" w:color="000000"/>
              <w:bottom w:val="single" w:sz="4" w:space="0" w:color="000000"/>
            </w:tcBorders>
            <w:shd w:fill="F3F3F3" w:val="clear"/>
            <w:vAlign w:val="center"/>
          </w:tcPr>
          <w:p>
            <w:pPr>
              <w:pStyle w:val="LOnormal"/>
              <w:widowControl w:val="false"/>
              <w:jc w:val="center"/>
              <w:rPr>
                <w:sz w:val="14"/>
                <w:szCs w:val="14"/>
              </w:rPr>
            </w:pPr>
            <w:r>
              <w:rPr>
                <w:b/>
                <w:sz w:val="14"/>
                <w:szCs w:val="14"/>
              </w:rPr>
              <w:t>ABVIB</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6"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right w:val="single" w:sz="4" w:space="0" w:color="000000"/>
            </w:tcBorders>
            <w:vAlign w:val="center"/>
          </w:tcPr>
          <w:p>
            <w:pPr>
              <w:pStyle w:val="LOnormal"/>
              <w:widowControl w:val="false"/>
              <w:jc w:val="center"/>
              <w:rPr>
                <w:sz w:val="14"/>
                <w:szCs w:val="14"/>
              </w:rPr>
            </w:pPr>
            <w:r>
              <w:rPr>
                <w:sz w:val="14"/>
                <w:szCs w:val="14"/>
              </w:rPr>
              <w:t>MPNet</w:t>
            </w:r>
          </w:p>
        </w:tc>
      </w:tr>
      <w:tr>
        <w:trPr/>
        <w:tc>
          <w:tcPr>
            <w:tcW w:w="1186" w:type="dxa"/>
            <w:tcBorders>
              <w:left w:val="single" w:sz="4" w:space="0" w:color="000000"/>
              <w:bottom w:val="single" w:sz="4" w:space="0" w:color="000000"/>
            </w:tcBorders>
            <w:shd w:fill="F3F3F3" w:val="clear"/>
            <w:vAlign w:val="center"/>
          </w:tcPr>
          <w:p>
            <w:pPr>
              <w:pStyle w:val="LOnormal"/>
              <w:widowControl w:val="false"/>
              <w:jc w:val="center"/>
              <w:rPr>
                <w:sz w:val="14"/>
                <w:szCs w:val="14"/>
              </w:rPr>
            </w:pPr>
            <w:r>
              <w:rPr>
                <w:b/>
                <w:sz w:val="14"/>
                <w:szCs w:val="14"/>
              </w:rPr>
              <w:t>ADNI</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6"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5" w:type="dxa"/>
            <w:tcBorders>
              <w:left w:val="single" w:sz="4" w:space="0" w:color="000000"/>
              <w:bottom w:val="single" w:sz="4" w:space="0" w:color="000000"/>
              <w:right w:val="single" w:sz="4" w:space="0" w:color="000000"/>
            </w:tcBorders>
            <w:vAlign w:val="center"/>
          </w:tcPr>
          <w:p>
            <w:pPr>
              <w:pStyle w:val="LOnormal"/>
              <w:widowControl w:val="false"/>
              <w:jc w:val="center"/>
              <w:rPr>
                <w:sz w:val="14"/>
                <w:szCs w:val="14"/>
              </w:rPr>
            </w:pPr>
            <w:r>
              <w:rPr>
                <w:sz w:val="14"/>
                <w:szCs w:val="14"/>
              </w:rPr>
              <w:t>MPNet</w:t>
            </w:r>
          </w:p>
        </w:tc>
      </w:tr>
      <w:tr>
        <w:trPr/>
        <w:tc>
          <w:tcPr>
            <w:tcW w:w="1186" w:type="dxa"/>
            <w:tcBorders>
              <w:left w:val="single" w:sz="4" w:space="0" w:color="000000"/>
              <w:bottom w:val="single" w:sz="4" w:space="0" w:color="000000"/>
            </w:tcBorders>
            <w:shd w:fill="F3F3F3" w:val="clear"/>
            <w:vAlign w:val="center"/>
          </w:tcPr>
          <w:p>
            <w:pPr>
              <w:pStyle w:val="LOnormal"/>
              <w:widowControl w:val="false"/>
              <w:jc w:val="center"/>
              <w:rPr>
                <w:sz w:val="14"/>
                <w:szCs w:val="14"/>
              </w:rPr>
            </w:pPr>
            <w:r>
              <w:rPr>
                <w:b/>
                <w:sz w:val="14"/>
                <w:szCs w:val="14"/>
              </w:rPr>
              <w:t>AIBL</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6"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0</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5" w:type="dxa"/>
            <w:tcBorders>
              <w:left w:val="single" w:sz="4" w:space="0" w:color="000000"/>
              <w:bottom w:val="single" w:sz="4" w:space="0" w:color="000000"/>
              <w:right w:val="single" w:sz="4" w:space="0" w:color="000000"/>
            </w:tcBorders>
            <w:vAlign w:val="center"/>
          </w:tcPr>
          <w:p>
            <w:pPr>
              <w:pStyle w:val="LOnormal"/>
              <w:widowControl w:val="false"/>
              <w:jc w:val="center"/>
              <w:rPr>
                <w:sz w:val="14"/>
                <w:szCs w:val="14"/>
              </w:rPr>
            </w:pPr>
            <w:r>
              <w:rPr>
                <w:sz w:val="14"/>
                <w:szCs w:val="14"/>
              </w:rPr>
              <w:t>OpenAI embeddings</w:t>
            </w:r>
          </w:p>
        </w:tc>
      </w:tr>
      <w:tr>
        <w:trPr/>
        <w:tc>
          <w:tcPr>
            <w:tcW w:w="1186" w:type="dxa"/>
            <w:tcBorders>
              <w:left w:val="single" w:sz="4" w:space="0" w:color="000000"/>
              <w:bottom w:val="single" w:sz="4" w:space="0" w:color="000000"/>
            </w:tcBorders>
            <w:shd w:fill="F3F3F3" w:val="clear"/>
            <w:vAlign w:val="center"/>
          </w:tcPr>
          <w:p>
            <w:pPr>
              <w:pStyle w:val="LOnormal"/>
              <w:widowControl w:val="false"/>
              <w:jc w:val="center"/>
              <w:rPr>
                <w:sz w:val="14"/>
                <w:szCs w:val="14"/>
              </w:rPr>
            </w:pPr>
            <w:r>
              <w:rPr>
                <w:b/>
                <w:sz w:val="14"/>
                <w:szCs w:val="14"/>
              </w:rPr>
              <w:t>ARWIBO</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6"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5" w:type="dxa"/>
            <w:tcBorders>
              <w:left w:val="single" w:sz="4" w:space="0" w:color="000000"/>
              <w:bottom w:val="single" w:sz="4" w:space="0" w:color="000000"/>
              <w:right w:val="single" w:sz="4" w:space="0" w:color="000000"/>
            </w:tcBorders>
            <w:vAlign w:val="center"/>
          </w:tcPr>
          <w:p>
            <w:pPr>
              <w:pStyle w:val="LOnormal"/>
              <w:widowControl w:val="false"/>
              <w:jc w:val="center"/>
              <w:rPr>
                <w:sz w:val="14"/>
                <w:szCs w:val="14"/>
              </w:rPr>
            </w:pPr>
            <w:r>
              <w:rPr>
                <w:sz w:val="14"/>
                <w:szCs w:val="14"/>
              </w:rPr>
              <w:t>OpenAI embeddings</w:t>
            </w:r>
          </w:p>
        </w:tc>
      </w:tr>
      <w:tr>
        <w:trPr/>
        <w:tc>
          <w:tcPr>
            <w:tcW w:w="1186" w:type="dxa"/>
            <w:tcBorders>
              <w:left w:val="single" w:sz="4" w:space="0" w:color="000000"/>
              <w:bottom w:val="single" w:sz="4" w:space="0" w:color="000000"/>
            </w:tcBorders>
            <w:shd w:fill="F3F3F3" w:val="clear"/>
            <w:vAlign w:val="center"/>
          </w:tcPr>
          <w:p>
            <w:pPr>
              <w:pStyle w:val="LOnormal"/>
              <w:widowControl w:val="false"/>
              <w:jc w:val="center"/>
              <w:rPr>
                <w:sz w:val="14"/>
                <w:szCs w:val="14"/>
              </w:rPr>
            </w:pPr>
            <w:r>
              <w:rPr>
                <w:b/>
                <w:sz w:val="14"/>
                <w:szCs w:val="14"/>
              </w:rPr>
              <w:t>DOD-ADNI</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6"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right w:val="single" w:sz="4" w:space="0" w:color="000000"/>
            </w:tcBorders>
            <w:vAlign w:val="center"/>
          </w:tcPr>
          <w:p>
            <w:pPr>
              <w:pStyle w:val="LOnormal"/>
              <w:widowControl w:val="false"/>
              <w:jc w:val="center"/>
              <w:rPr>
                <w:sz w:val="14"/>
                <w:szCs w:val="14"/>
              </w:rPr>
            </w:pPr>
            <w:r>
              <w:rPr>
                <w:sz w:val="14"/>
                <w:szCs w:val="14"/>
              </w:rPr>
              <w:t>OpenAI embeddings</w:t>
            </w:r>
          </w:p>
        </w:tc>
      </w:tr>
      <w:tr>
        <w:trPr/>
        <w:tc>
          <w:tcPr>
            <w:tcW w:w="1186" w:type="dxa"/>
            <w:tcBorders>
              <w:left w:val="single" w:sz="4" w:space="0" w:color="000000"/>
              <w:bottom w:val="single" w:sz="4" w:space="0" w:color="000000"/>
            </w:tcBorders>
            <w:shd w:fill="F3F3F3" w:val="clear"/>
            <w:vAlign w:val="center"/>
          </w:tcPr>
          <w:p>
            <w:pPr>
              <w:pStyle w:val="LOnormal"/>
              <w:widowControl w:val="false"/>
              <w:jc w:val="center"/>
              <w:rPr>
                <w:sz w:val="14"/>
                <w:szCs w:val="14"/>
              </w:rPr>
            </w:pPr>
            <w:r>
              <w:rPr>
                <w:b/>
                <w:sz w:val="14"/>
                <w:szCs w:val="14"/>
              </w:rPr>
              <w:t>EDSD</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6"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0</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right w:val="single" w:sz="4" w:space="0" w:color="000000"/>
            </w:tcBorders>
            <w:vAlign w:val="center"/>
          </w:tcPr>
          <w:p>
            <w:pPr>
              <w:pStyle w:val="LOnormal"/>
              <w:widowControl w:val="false"/>
              <w:jc w:val="center"/>
              <w:rPr>
                <w:sz w:val="14"/>
                <w:szCs w:val="14"/>
              </w:rPr>
            </w:pPr>
            <w:r>
              <w:rPr>
                <w:sz w:val="14"/>
                <w:szCs w:val="14"/>
              </w:rPr>
              <w:t>OpenAI embeddings</w:t>
            </w:r>
          </w:p>
        </w:tc>
      </w:tr>
      <w:tr>
        <w:trPr/>
        <w:tc>
          <w:tcPr>
            <w:tcW w:w="1186" w:type="dxa"/>
            <w:tcBorders>
              <w:left w:val="single" w:sz="4" w:space="0" w:color="000000"/>
              <w:bottom w:val="single" w:sz="4" w:space="0" w:color="000000"/>
            </w:tcBorders>
            <w:shd w:fill="F3F3F3" w:val="clear"/>
            <w:vAlign w:val="center"/>
          </w:tcPr>
          <w:p>
            <w:pPr>
              <w:pStyle w:val="LOnormal"/>
              <w:widowControl w:val="false"/>
              <w:jc w:val="center"/>
              <w:rPr>
                <w:sz w:val="14"/>
                <w:szCs w:val="14"/>
              </w:rPr>
            </w:pPr>
            <w:r>
              <w:rPr>
                <w:b/>
                <w:sz w:val="14"/>
                <w:szCs w:val="14"/>
              </w:rPr>
              <w:t>EMIF</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w:t>
            </w:r>
          </w:p>
        </w:tc>
        <w:tc>
          <w:tcPr>
            <w:tcW w:w="946"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0</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right w:val="single" w:sz="4" w:space="0" w:color="000000"/>
            </w:tcBorders>
            <w:vAlign w:val="center"/>
          </w:tcPr>
          <w:p>
            <w:pPr>
              <w:pStyle w:val="LOnormal"/>
              <w:widowControl w:val="false"/>
              <w:jc w:val="center"/>
              <w:rPr>
                <w:sz w:val="14"/>
                <w:szCs w:val="14"/>
              </w:rPr>
            </w:pPr>
            <w:r>
              <w:rPr>
                <w:sz w:val="14"/>
                <w:szCs w:val="14"/>
              </w:rPr>
              <w:t>MPNet</w:t>
            </w:r>
          </w:p>
        </w:tc>
      </w:tr>
      <w:tr>
        <w:trPr/>
        <w:tc>
          <w:tcPr>
            <w:tcW w:w="1186" w:type="dxa"/>
            <w:tcBorders>
              <w:left w:val="single" w:sz="4" w:space="0" w:color="000000"/>
              <w:bottom w:val="single" w:sz="4" w:space="0" w:color="000000"/>
            </w:tcBorders>
            <w:shd w:fill="F3F3F3" w:val="clear"/>
            <w:vAlign w:val="center"/>
          </w:tcPr>
          <w:p>
            <w:pPr>
              <w:pStyle w:val="LOnormal"/>
              <w:widowControl w:val="false"/>
              <w:jc w:val="center"/>
              <w:rPr>
                <w:sz w:val="14"/>
                <w:szCs w:val="14"/>
              </w:rPr>
            </w:pPr>
            <w:r>
              <w:rPr>
                <w:b/>
                <w:sz w:val="14"/>
                <w:szCs w:val="14"/>
              </w:rPr>
              <w:t>I-ADNI</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6"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5" w:type="dxa"/>
            <w:tcBorders>
              <w:left w:val="single" w:sz="4" w:space="0" w:color="000000"/>
              <w:bottom w:val="single" w:sz="4" w:space="0" w:color="000000"/>
              <w:right w:val="single" w:sz="4" w:space="0" w:color="000000"/>
            </w:tcBorders>
            <w:vAlign w:val="center"/>
          </w:tcPr>
          <w:p>
            <w:pPr>
              <w:pStyle w:val="LOnormal"/>
              <w:widowControl w:val="false"/>
              <w:jc w:val="center"/>
              <w:rPr>
                <w:sz w:val="14"/>
                <w:szCs w:val="14"/>
              </w:rPr>
            </w:pPr>
            <w:r>
              <w:rPr>
                <w:sz w:val="14"/>
                <w:szCs w:val="14"/>
              </w:rPr>
              <w:t>OpenAI embeddings</w:t>
            </w:r>
          </w:p>
        </w:tc>
      </w:tr>
      <w:tr>
        <w:trPr/>
        <w:tc>
          <w:tcPr>
            <w:tcW w:w="1186" w:type="dxa"/>
            <w:tcBorders>
              <w:left w:val="single" w:sz="4" w:space="0" w:color="000000"/>
              <w:bottom w:val="single" w:sz="4" w:space="0" w:color="000000"/>
            </w:tcBorders>
            <w:shd w:fill="F3F3F3" w:val="clear"/>
            <w:vAlign w:val="center"/>
          </w:tcPr>
          <w:p>
            <w:pPr>
              <w:pStyle w:val="LOnormal"/>
              <w:widowControl w:val="false"/>
              <w:jc w:val="center"/>
              <w:rPr>
                <w:sz w:val="14"/>
                <w:szCs w:val="14"/>
              </w:rPr>
            </w:pPr>
            <w:r>
              <w:rPr>
                <w:b/>
                <w:sz w:val="14"/>
                <w:szCs w:val="14"/>
              </w:rPr>
              <w:t>JADNI</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6"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right w:val="single" w:sz="4" w:space="0" w:color="000000"/>
            </w:tcBorders>
            <w:vAlign w:val="center"/>
          </w:tcPr>
          <w:p>
            <w:pPr>
              <w:pStyle w:val="LOnormal"/>
              <w:widowControl w:val="false"/>
              <w:jc w:val="center"/>
              <w:rPr>
                <w:sz w:val="14"/>
                <w:szCs w:val="14"/>
              </w:rPr>
            </w:pPr>
            <w:r>
              <w:rPr>
                <w:sz w:val="14"/>
                <w:szCs w:val="14"/>
              </w:rPr>
              <w:t>OpenAI embeddings</w:t>
            </w:r>
          </w:p>
        </w:tc>
      </w:tr>
      <w:tr>
        <w:trPr/>
        <w:tc>
          <w:tcPr>
            <w:tcW w:w="1186" w:type="dxa"/>
            <w:tcBorders>
              <w:left w:val="single" w:sz="4" w:space="0" w:color="000000"/>
              <w:bottom w:val="single" w:sz="4" w:space="0" w:color="000000"/>
            </w:tcBorders>
            <w:shd w:fill="F3F3F3" w:val="clear"/>
            <w:vAlign w:val="center"/>
          </w:tcPr>
          <w:p>
            <w:pPr>
              <w:pStyle w:val="LOnormal"/>
              <w:widowControl w:val="false"/>
              <w:jc w:val="center"/>
              <w:rPr>
                <w:sz w:val="14"/>
                <w:szCs w:val="14"/>
              </w:rPr>
            </w:pPr>
            <w:r>
              <w:rPr>
                <w:b/>
                <w:sz w:val="14"/>
                <w:szCs w:val="14"/>
              </w:rPr>
              <w:t>PharmaCog</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0</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6"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right w:val="single" w:sz="4" w:space="0" w:color="000000"/>
            </w:tcBorders>
            <w:vAlign w:val="center"/>
          </w:tcPr>
          <w:p>
            <w:pPr>
              <w:pStyle w:val="LOnormal"/>
              <w:widowControl w:val="false"/>
              <w:jc w:val="center"/>
              <w:rPr>
                <w:sz w:val="14"/>
                <w:szCs w:val="14"/>
              </w:rPr>
            </w:pPr>
            <w:r>
              <w:rPr>
                <w:sz w:val="14"/>
                <w:szCs w:val="14"/>
              </w:rPr>
              <w:t>OpenAI embeddings</w:t>
            </w:r>
          </w:p>
        </w:tc>
      </w:tr>
      <w:tr>
        <w:trPr/>
        <w:tc>
          <w:tcPr>
            <w:tcW w:w="1186" w:type="dxa"/>
            <w:tcBorders>
              <w:left w:val="single" w:sz="4" w:space="0" w:color="000000"/>
              <w:bottom w:val="single" w:sz="4" w:space="0" w:color="000000"/>
            </w:tcBorders>
            <w:shd w:fill="F3F3F3" w:val="clear"/>
            <w:vAlign w:val="center"/>
          </w:tcPr>
          <w:p>
            <w:pPr>
              <w:pStyle w:val="LOnormal"/>
              <w:widowControl w:val="false"/>
              <w:jc w:val="center"/>
              <w:rPr>
                <w:sz w:val="14"/>
                <w:szCs w:val="14"/>
              </w:rPr>
            </w:pPr>
            <w:r>
              <w:rPr>
                <w:b/>
                <w:sz w:val="14"/>
                <w:szCs w:val="14"/>
              </w:rPr>
              <w:t>PREVENT-AD</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6"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right w:val="single" w:sz="4" w:space="0" w:color="000000"/>
            </w:tcBorders>
            <w:vAlign w:val="center"/>
          </w:tcPr>
          <w:p>
            <w:pPr>
              <w:pStyle w:val="LOnormal"/>
              <w:widowControl w:val="false"/>
              <w:jc w:val="center"/>
              <w:rPr>
                <w:sz w:val="14"/>
                <w:szCs w:val="14"/>
              </w:rPr>
            </w:pPr>
            <w:r>
              <w:rPr>
                <w:sz w:val="14"/>
                <w:szCs w:val="14"/>
              </w:rPr>
              <w:t>MPNet, OpenAI embeddings</w:t>
            </w:r>
          </w:p>
        </w:tc>
      </w:tr>
      <w:tr>
        <w:trPr/>
        <w:tc>
          <w:tcPr>
            <w:tcW w:w="1186" w:type="dxa"/>
            <w:tcBorders>
              <w:left w:val="single" w:sz="4" w:space="0" w:color="000000"/>
              <w:bottom w:val="single" w:sz="4" w:space="0" w:color="000000"/>
            </w:tcBorders>
            <w:shd w:fill="F3F3F3" w:val="clear"/>
            <w:vAlign w:val="center"/>
          </w:tcPr>
          <w:p>
            <w:pPr>
              <w:pStyle w:val="LOnormal"/>
              <w:widowControl w:val="false"/>
              <w:jc w:val="center"/>
              <w:rPr>
                <w:sz w:val="14"/>
                <w:szCs w:val="14"/>
              </w:rPr>
            </w:pPr>
            <w:r>
              <w:rPr>
                <w:b/>
                <w:sz w:val="14"/>
                <w:szCs w:val="14"/>
              </w:rPr>
              <w:t>VITA</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Fuzzy,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6"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MPNet</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5"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Fuzzy, 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OpenAI embeddings</w:t>
            </w:r>
          </w:p>
        </w:tc>
        <w:tc>
          <w:tcPr>
            <w:tcW w:w="943" w:type="dxa"/>
            <w:tcBorders>
              <w:left w:val="single" w:sz="4" w:space="0" w:color="000000"/>
              <w:bottom w:val="single" w:sz="4" w:space="0" w:color="000000"/>
            </w:tcBorders>
            <w:vAlign w:val="center"/>
          </w:tcPr>
          <w:p>
            <w:pPr>
              <w:pStyle w:val="LOnormal"/>
              <w:widowControl w:val="false"/>
              <w:jc w:val="center"/>
              <w:rPr>
                <w:sz w:val="14"/>
                <w:szCs w:val="14"/>
              </w:rPr>
            </w:pPr>
            <w:r>
              <w:rPr>
                <w:sz w:val="14"/>
                <w:szCs w:val="14"/>
              </w:rPr>
              <w:t>-</w:t>
            </w:r>
          </w:p>
        </w:tc>
        <w:tc>
          <w:tcPr>
            <w:tcW w:w="945" w:type="dxa"/>
            <w:tcBorders>
              <w:left w:val="single" w:sz="4" w:space="0" w:color="000000"/>
              <w:bottom w:val="single" w:sz="4" w:space="0" w:color="000000"/>
              <w:right w:val="single" w:sz="4" w:space="0" w:color="000000"/>
            </w:tcBorders>
            <w:vAlign w:val="center"/>
          </w:tcPr>
          <w:p>
            <w:pPr>
              <w:pStyle w:val="LOnormal"/>
              <w:widowControl w:val="false"/>
              <w:jc w:val="center"/>
              <w:rPr>
                <w:sz w:val="14"/>
                <w:szCs w:val="14"/>
              </w:rPr>
            </w:pPr>
            <w:r>
              <w:rPr>
                <w:sz w:val="14"/>
                <w:szCs w:val="14"/>
              </w:rPr>
              <w:t>OpenAI embeddings</w:t>
            </w:r>
          </w:p>
        </w:tc>
      </w:tr>
    </w:tbl>
    <w:p>
      <w:pPr>
        <w:sectPr>
          <w:type w:val="nextPage"/>
          <w:pgSz w:orient="landscape" w:w="15840" w:h="12240"/>
          <w:pgMar w:left="1440" w:right="1440" w:gutter="0" w:header="0" w:top="1440" w:footer="0" w:bottom="1440"/>
          <w:pgNumType w:fmt="decimal"/>
          <w:formProt w:val="false"/>
          <w:textDirection w:val="lrTb"/>
          <w:docGrid w:type="default" w:linePitch="100" w:charSpace="4096"/>
        </w:sectPr>
        <w:pStyle w:val="LOnormal"/>
        <w:jc w:val="both"/>
        <w:rPr>
          <w:sz w:val="20"/>
          <w:szCs w:val="20"/>
        </w:rPr>
      </w:pPr>
      <w:r>
        <w:rPr>
          <w:b/>
          <w:sz w:val="20"/>
          <w:szCs w:val="20"/>
        </w:rPr>
        <w:t>Table S5:</w:t>
      </w:r>
      <w:r>
        <w:rPr>
          <w:sz w:val="20"/>
          <w:szCs w:val="20"/>
        </w:rPr>
        <w:t xml:space="preserve"> Comparison of the accuracies achieved using all three approaches. 0 indicates equal accuracy across all methods.</w:t>
      </w:r>
    </w:p>
    <w:p>
      <w:pPr>
        <w:pStyle w:val="LOnormal"/>
        <w:jc w:val="both"/>
        <w:rPr>
          <w:sz w:val="20"/>
          <w:szCs w:val="20"/>
        </w:rPr>
      </w:pPr>
      <w:r>
        <w:rPr/>
        <w:drawing>
          <wp:inline distT="0" distB="0" distL="0" distR="0">
            <wp:extent cx="5943600" cy="3568700"/>
            <wp:effectExtent l="0" t="0" r="0" b="0"/>
            <wp:docPr id="1" name="image2.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descr=""/>
                    <pic:cNvPicPr>
                      <a:picLocks noChangeAspect="1" noChangeArrowheads="1"/>
                    </pic:cNvPicPr>
                  </pic:nvPicPr>
                  <pic:blipFill>
                    <a:blip r:embed="rId13"/>
                    <a:stretch>
                      <a:fillRect/>
                    </a:stretch>
                  </pic:blipFill>
                  <pic:spPr bwMode="auto">
                    <a:xfrm>
                      <a:off x="0" y="0"/>
                      <a:ext cx="5943600" cy="3568700"/>
                    </a:xfrm>
                    <a:prstGeom prst="rect">
                      <a:avLst/>
                    </a:prstGeom>
                  </pic:spPr>
                </pic:pic>
              </a:graphicData>
            </a:graphic>
          </wp:inline>
        </w:drawing>
      </w:r>
    </w:p>
    <w:p>
      <w:pPr>
        <w:pStyle w:val="LOnormal"/>
        <w:jc w:val="both"/>
        <w:rPr>
          <w:sz w:val="20"/>
          <w:szCs w:val="20"/>
        </w:rPr>
      </w:pPr>
      <w:r>
        <w:rPr>
          <w:b/>
          <w:sz w:val="20"/>
          <w:szCs w:val="20"/>
        </w:rPr>
        <w:t xml:space="preserve">Figure S1: </w:t>
      </w:r>
      <w:r>
        <w:rPr>
          <w:sz w:val="20"/>
          <w:szCs w:val="20"/>
        </w:rPr>
        <w:t>Total occurrences of highest accuracy achieved via different methods for AD cohort harmonization. Note: when two methods are mentioned together, it indicates that both methods achieved the same accuracy, which was superior to the accuracy of the last method mentioned.</w:t>
      </w:r>
    </w:p>
    <w:p>
      <w:pPr>
        <w:pStyle w:val="LOnormal"/>
        <w:jc w:val="both"/>
        <w:rPr>
          <w:sz w:val="20"/>
          <w:szCs w:val="20"/>
        </w:rPr>
      </w:pPr>
      <w:r>
        <w:rPr>
          <w:sz w:val="20"/>
          <w:szCs w:val="20"/>
        </w:rPr>
      </w:r>
    </w:p>
    <w:p>
      <w:pPr>
        <w:pStyle w:val="LOnormal"/>
        <w:jc w:val="both"/>
        <w:rPr>
          <w:sz w:val="20"/>
          <w:szCs w:val="20"/>
        </w:rPr>
      </w:pPr>
      <w:r>
        <w:rPr>
          <w:sz w:val="20"/>
          <w:szCs w:val="20"/>
        </w:rPr>
      </w:r>
    </w:p>
    <w:p>
      <w:pPr>
        <w:pStyle w:val="LOnormal"/>
        <w:jc w:val="both"/>
        <w:rPr>
          <w:sz w:val="20"/>
          <w:szCs w:val="20"/>
        </w:rPr>
      </w:pPr>
      <w:r>
        <w:rPr>
          <w:sz w:val="20"/>
          <w:szCs w:val="20"/>
        </w:rPr>
      </w:r>
    </w:p>
    <w:p>
      <w:pPr>
        <w:pStyle w:val="LOnormal"/>
        <w:jc w:val="both"/>
        <w:rPr>
          <w:sz w:val="20"/>
          <w:szCs w:val="20"/>
        </w:rPr>
      </w:pPr>
      <w:r>
        <w:rPr>
          <w:sz w:val="20"/>
          <w:szCs w:val="20"/>
        </w:rPr>
      </w:r>
    </w:p>
    <w:p>
      <w:pPr>
        <w:pStyle w:val="LOnormal"/>
        <w:jc w:val="both"/>
        <w:rPr>
          <w:sz w:val="20"/>
          <w:szCs w:val="20"/>
        </w:rPr>
      </w:pPr>
      <w:r>
        <w:rPr>
          <w:sz w:val="20"/>
          <w:szCs w:val="20"/>
        </w:rPr>
      </w:r>
    </w:p>
    <w:p>
      <w:pPr>
        <w:pStyle w:val="LOnormal"/>
        <w:jc w:val="both"/>
        <w:rPr>
          <w:sz w:val="20"/>
          <w:szCs w:val="20"/>
        </w:rPr>
      </w:pPr>
      <w:r>
        <w:rPr/>
        <w:drawing>
          <wp:inline distT="0" distB="0" distL="0" distR="0">
            <wp:extent cx="5943600" cy="3365500"/>
            <wp:effectExtent l="0" t="0" r="0" b="0"/>
            <wp:docPr id="2" name="image4.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4.png" descr=""/>
                    <pic:cNvPicPr>
                      <a:picLocks noChangeAspect="1" noChangeArrowheads="1"/>
                    </pic:cNvPicPr>
                  </pic:nvPicPr>
                  <pic:blipFill>
                    <a:blip r:embed="rId14"/>
                    <a:stretch>
                      <a:fillRect/>
                    </a:stretch>
                  </pic:blipFill>
                  <pic:spPr bwMode="auto">
                    <a:xfrm>
                      <a:off x="0" y="0"/>
                      <a:ext cx="5943600" cy="3365500"/>
                    </a:xfrm>
                    <a:prstGeom prst="rect">
                      <a:avLst/>
                    </a:prstGeom>
                  </pic:spPr>
                </pic:pic>
              </a:graphicData>
            </a:graphic>
          </wp:inline>
        </w:drawing>
      </w:r>
    </w:p>
    <w:p>
      <w:pPr>
        <w:pStyle w:val="LOnormal"/>
        <w:jc w:val="center"/>
        <w:rPr>
          <w:b/>
          <w:b/>
          <w:sz w:val="20"/>
          <w:szCs w:val="20"/>
        </w:rPr>
      </w:pPr>
      <w:r>
        <w:rPr>
          <w:b/>
          <w:sz w:val="20"/>
          <w:szCs w:val="20"/>
        </w:rPr>
        <w:t>(a)</w:t>
      </w:r>
    </w:p>
    <w:p>
      <w:pPr>
        <w:pStyle w:val="LOnormal"/>
        <w:jc w:val="both"/>
        <w:rPr>
          <w:sz w:val="20"/>
          <w:szCs w:val="20"/>
        </w:rPr>
      </w:pPr>
      <w:r>
        <w:rPr>
          <w:sz w:val="20"/>
          <w:szCs w:val="20"/>
        </w:rPr>
      </w:r>
    </w:p>
    <w:p>
      <w:pPr>
        <w:pStyle w:val="LOnormal"/>
        <w:jc w:val="both"/>
        <w:rPr>
          <w:sz w:val="20"/>
          <w:szCs w:val="20"/>
        </w:rPr>
      </w:pPr>
      <w:r>
        <w:rPr/>
        <w:drawing>
          <wp:inline distT="0" distB="0" distL="0" distR="0">
            <wp:extent cx="5943600" cy="3365500"/>
            <wp:effectExtent l="0" t="0" r="0" b="0"/>
            <wp:docPr id="3" name="image3.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descr=""/>
                    <pic:cNvPicPr>
                      <a:picLocks noChangeAspect="1" noChangeArrowheads="1"/>
                    </pic:cNvPicPr>
                  </pic:nvPicPr>
                  <pic:blipFill>
                    <a:blip r:embed="rId15"/>
                    <a:stretch>
                      <a:fillRect/>
                    </a:stretch>
                  </pic:blipFill>
                  <pic:spPr bwMode="auto">
                    <a:xfrm>
                      <a:off x="0" y="0"/>
                      <a:ext cx="5943600" cy="3365500"/>
                    </a:xfrm>
                    <a:prstGeom prst="rect">
                      <a:avLst/>
                    </a:prstGeom>
                  </pic:spPr>
                </pic:pic>
              </a:graphicData>
            </a:graphic>
          </wp:inline>
        </w:drawing>
      </w:r>
    </w:p>
    <w:p>
      <w:pPr>
        <w:pStyle w:val="LOnormal"/>
        <w:jc w:val="center"/>
        <w:rPr>
          <w:b/>
          <w:b/>
          <w:sz w:val="20"/>
          <w:szCs w:val="20"/>
        </w:rPr>
      </w:pPr>
      <w:r>
        <w:rPr>
          <w:b/>
          <w:sz w:val="20"/>
          <w:szCs w:val="20"/>
        </w:rPr>
        <w:t>(b)</w:t>
      </w:r>
    </w:p>
    <w:p>
      <w:pPr>
        <w:pStyle w:val="LOnormal"/>
        <w:jc w:val="both"/>
        <w:rPr>
          <w:sz w:val="20"/>
          <w:szCs w:val="20"/>
        </w:rPr>
      </w:pPr>
      <w:r>
        <w:rPr>
          <w:b/>
          <w:sz w:val="20"/>
          <w:szCs w:val="20"/>
        </w:rPr>
        <w:t xml:space="preserve">Figure S2: </w:t>
      </w:r>
      <w:r>
        <w:rPr>
          <w:sz w:val="20"/>
          <w:szCs w:val="20"/>
        </w:rPr>
        <w:t xml:space="preserve">Two-dimensional t-SNE distribution plot of all computed AD and PD variable description embeddings using MPNet. The first plot </w:t>
      </w:r>
      <w:r>
        <w:rPr>
          <w:b/>
          <w:sz w:val="20"/>
          <w:szCs w:val="20"/>
        </w:rPr>
        <w:t>(a)</w:t>
      </w:r>
      <w:r>
        <w:rPr>
          <w:sz w:val="20"/>
          <w:szCs w:val="20"/>
        </w:rPr>
        <w:t xml:space="preserve"> shows the distribution between AD and PD variable descriptions, and the second plot </w:t>
      </w:r>
      <w:r>
        <w:rPr>
          <w:b/>
          <w:sz w:val="20"/>
          <w:szCs w:val="20"/>
        </w:rPr>
        <w:t xml:space="preserve">(b) </w:t>
      </w:r>
      <w:r>
        <w:rPr>
          <w:sz w:val="20"/>
          <w:szCs w:val="20"/>
        </w:rPr>
        <w:t>the distribution of each cohort.</w:t>
      </w:r>
    </w:p>
    <w:p>
      <w:pPr>
        <w:pStyle w:val="LOnormal"/>
        <w:jc w:val="both"/>
        <w:rPr>
          <w:sz w:val="20"/>
          <w:szCs w:val="20"/>
        </w:rPr>
      </w:pPr>
      <w:r>
        <w:rPr>
          <w:sz w:val="20"/>
          <w:szCs w:val="20"/>
        </w:rPr>
      </w:r>
    </w:p>
    <w:p>
      <w:pPr>
        <w:pStyle w:val="LOnormal"/>
        <w:jc w:val="both"/>
        <w:rPr>
          <w:sz w:val="20"/>
          <w:szCs w:val="20"/>
        </w:rPr>
      </w:pPr>
      <w:r>
        <w:rPr>
          <w:sz w:val="20"/>
          <w:szCs w:val="20"/>
        </w:rPr>
      </w:r>
    </w:p>
    <w:tbl>
      <w:tblPr>
        <w:tblStyle w:val="Table6"/>
        <w:tblW w:w="9030" w:type="dxa"/>
        <w:jc w:val="center"/>
        <w:tblInd w:w="0" w:type="dxa"/>
        <w:tblLayout w:type="fixed"/>
        <w:tblCellMar>
          <w:top w:w="55" w:type="dxa"/>
          <w:left w:w="55" w:type="dxa"/>
          <w:bottom w:w="55" w:type="dxa"/>
          <w:right w:w="55" w:type="dxa"/>
        </w:tblCellMar>
        <w:tblLook w:val="0600"/>
      </w:tblPr>
      <w:tblGrid>
        <w:gridCol w:w="988"/>
        <w:gridCol w:w="1757"/>
        <w:gridCol w:w="4619"/>
        <w:gridCol w:w="1665"/>
      </w:tblGrid>
      <w:tr>
        <w:trPr>
          <w:trHeight w:val="440" w:hRule="atLeast"/>
        </w:trPr>
        <w:tc>
          <w:tcPr>
            <w:tcW w:w="2745" w:type="dxa"/>
            <w:gridSpan w:val="2"/>
            <w:tcBorders>
              <w:top w:val="single" w:sz="8" w:space="0" w:color="000000"/>
              <w:left w:val="single" w:sz="8" w:space="0" w:color="000000"/>
              <w:bottom w:val="single" w:sz="8" w:space="0" w:color="000000"/>
            </w:tcBorders>
            <w:shd w:fill="B7B7B7" w:val="clear"/>
            <w:vAlign w:val="center"/>
          </w:tcPr>
          <w:p>
            <w:pPr>
              <w:pStyle w:val="LOnormal"/>
              <w:widowControl w:val="false"/>
              <w:spacing w:lineRule="auto" w:line="240"/>
              <w:jc w:val="center"/>
              <w:rPr>
                <w:b/>
                <w:b/>
                <w:sz w:val="20"/>
                <w:szCs w:val="20"/>
              </w:rPr>
            </w:pPr>
            <w:r>
              <w:rPr>
                <w:b/>
                <w:sz w:val="20"/>
                <w:szCs w:val="20"/>
              </w:rPr>
              <w:t xml:space="preserve">Variable origin </w:t>
            </w:r>
          </w:p>
        </w:tc>
        <w:tc>
          <w:tcPr>
            <w:tcW w:w="4619" w:type="dxa"/>
            <w:tcBorders>
              <w:top w:val="single" w:sz="8" w:space="0" w:color="000000"/>
              <w:left w:val="single" w:sz="8" w:space="0" w:color="000000"/>
              <w:bottom w:val="single" w:sz="8" w:space="0" w:color="000000"/>
            </w:tcBorders>
            <w:shd w:fill="B7B7B7" w:val="clear"/>
            <w:vAlign w:val="center"/>
          </w:tcPr>
          <w:p>
            <w:pPr>
              <w:pStyle w:val="LOnormal"/>
              <w:widowControl w:val="false"/>
              <w:spacing w:lineRule="auto" w:line="240"/>
              <w:jc w:val="center"/>
              <w:rPr>
                <w:b/>
                <w:b/>
                <w:sz w:val="20"/>
                <w:szCs w:val="20"/>
              </w:rPr>
            </w:pPr>
            <w:r>
              <w:rPr>
                <w:b/>
                <w:sz w:val="20"/>
                <w:szCs w:val="20"/>
              </w:rPr>
              <w:t>Consortium</w:t>
            </w:r>
          </w:p>
        </w:tc>
        <w:tc>
          <w:tcPr>
            <w:tcW w:w="1665" w:type="dxa"/>
            <w:tcBorders>
              <w:top w:val="single" w:sz="8" w:space="0" w:color="000000"/>
              <w:left w:val="single" w:sz="8" w:space="0" w:color="000000"/>
              <w:bottom w:val="single" w:sz="8" w:space="0" w:color="000000"/>
              <w:right w:val="single" w:sz="8" w:space="0" w:color="000000"/>
            </w:tcBorders>
            <w:shd w:fill="B7B7B7" w:val="clear"/>
            <w:vAlign w:val="center"/>
          </w:tcPr>
          <w:p>
            <w:pPr>
              <w:pStyle w:val="LOnormal"/>
              <w:widowControl w:val="false"/>
              <w:spacing w:lineRule="auto" w:line="240"/>
              <w:jc w:val="center"/>
              <w:rPr>
                <w:b/>
                <w:b/>
                <w:sz w:val="20"/>
                <w:szCs w:val="20"/>
              </w:rPr>
            </w:pPr>
            <w:r>
              <w:rPr>
                <w:b/>
                <w:sz w:val="20"/>
                <w:szCs w:val="20"/>
              </w:rPr>
              <w:t># Mapped variables</w:t>
            </w:r>
          </w:p>
        </w:tc>
      </w:tr>
      <w:tr>
        <w:trPr>
          <w:trHeight w:val="440" w:hRule="atLeast"/>
        </w:trPr>
        <w:tc>
          <w:tcPr>
            <w:tcW w:w="988" w:type="dxa"/>
            <w:vMerge w:val="restart"/>
            <w:tcBorders>
              <w:left w:val="single" w:sz="8" w:space="0" w:color="000000"/>
              <w:bottom w:val="single" w:sz="8" w:space="0" w:color="000000"/>
            </w:tcBorders>
            <w:shd w:fill="B7B7B7" w:val="clear"/>
          </w:tcPr>
          <w:p>
            <w:pPr>
              <w:pStyle w:val="LOnormal"/>
              <w:widowControl w:val="false"/>
              <w:spacing w:lineRule="auto" w:line="240"/>
              <w:rPr>
                <w:b/>
                <w:b/>
                <w:sz w:val="20"/>
                <w:szCs w:val="20"/>
              </w:rPr>
            </w:pPr>
            <w:r>
              <w:rPr>
                <w:b/>
                <w:sz w:val="20"/>
                <w:szCs w:val="20"/>
              </w:rPr>
              <w:t>Cohort</w:t>
            </w:r>
          </w:p>
        </w:tc>
        <w:tc>
          <w:tcPr>
            <w:tcW w:w="1757" w:type="dxa"/>
            <w:tcBorders>
              <w:left w:val="single" w:sz="8" w:space="0" w:color="000000"/>
              <w:bottom w:val="single" w:sz="8" w:space="0" w:color="000000"/>
            </w:tcBorders>
            <w:vAlign w:val="center"/>
          </w:tcPr>
          <w:p>
            <w:pPr>
              <w:pStyle w:val="LOnormal"/>
              <w:widowControl w:val="false"/>
              <w:jc w:val="center"/>
              <w:rPr>
                <w:sz w:val="20"/>
                <w:szCs w:val="20"/>
              </w:rPr>
            </w:pPr>
            <w:r>
              <w:rPr>
                <w:b/>
                <w:sz w:val="20"/>
                <w:szCs w:val="20"/>
              </w:rPr>
              <w:t>A4</w:t>
            </w:r>
            <w:hyperlink r:id="rId16">
              <w:r>
                <w:rPr>
                  <w:b/>
                  <w:sz w:val="20"/>
                  <w:szCs w:val="20"/>
                </w:rPr>
                <w:t>[1]</w:t>
              </w:r>
            </w:hyperlink>
          </w:p>
        </w:tc>
        <w:tc>
          <w:tcPr>
            <w:tcW w:w="4619" w:type="dxa"/>
            <w:tcBorders>
              <w:left w:val="single" w:sz="8" w:space="0" w:color="000000"/>
              <w:bottom w:val="single" w:sz="8" w:space="0" w:color="000000"/>
            </w:tcBorders>
            <w:shd w:fill="FCFCFC" w:val="clear"/>
            <w:vAlign w:val="center"/>
          </w:tcPr>
          <w:p>
            <w:pPr>
              <w:pStyle w:val="LOnormal"/>
              <w:widowControl w:val="false"/>
              <w:rPr>
                <w:sz w:val="20"/>
                <w:szCs w:val="20"/>
              </w:rPr>
            </w:pPr>
            <w:r>
              <w:rPr>
                <w:sz w:val="20"/>
                <w:szCs w:val="20"/>
              </w:rPr>
              <w:t>Anti-Amyloid Treatment in Asymptomatic Alzheimer’s Disease</w:t>
            </w:r>
          </w:p>
        </w:tc>
        <w:tc>
          <w:tcPr>
            <w:tcW w:w="1665" w:type="dxa"/>
            <w:tcBorders>
              <w:left w:val="single" w:sz="8" w:space="0" w:color="000000"/>
              <w:bottom w:val="single" w:sz="8" w:space="0" w:color="000000"/>
              <w:right w:val="single" w:sz="8" w:space="0" w:color="000000"/>
            </w:tcBorders>
            <w:vAlign w:val="center"/>
          </w:tcPr>
          <w:p>
            <w:pPr>
              <w:pStyle w:val="LOnormal"/>
              <w:widowControl w:val="false"/>
              <w:jc w:val="center"/>
              <w:rPr>
                <w:sz w:val="20"/>
                <w:szCs w:val="20"/>
              </w:rPr>
            </w:pPr>
            <w:r>
              <w:rPr>
                <w:sz w:val="20"/>
                <w:szCs w:val="20"/>
              </w:rPr>
              <w:t>73</w:t>
            </w:r>
          </w:p>
        </w:tc>
      </w:tr>
      <w:tr>
        <w:trPr>
          <w:trHeight w:val="440" w:hRule="atLeast"/>
        </w:trPr>
        <w:tc>
          <w:tcPr>
            <w:tcW w:w="988" w:type="dxa"/>
            <w:vMerge w:val="continue"/>
            <w:tcBorders>
              <w:left w:val="single" w:sz="8" w:space="0" w:color="000000"/>
              <w:bottom w:val="single" w:sz="8" w:space="0" w:color="000000"/>
            </w:tcBorders>
            <w:shd w:fill="B7B7B7" w:val="clear"/>
          </w:tcPr>
          <w:p>
            <w:pPr>
              <w:pStyle w:val="LOnormal"/>
              <w:widowControl w:val="false"/>
              <w:spacing w:lineRule="auto" w:line="240"/>
              <w:rPr>
                <w:sz w:val="24"/>
                <w:szCs w:val="24"/>
              </w:rPr>
            </w:pPr>
            <w:r>
              <w:rPr>
                <w:sz w:val="24"/>
                <w:szCs w:val="24"/>
              </w:rPr>
            </w:r>
          </w:p>
        </w:tc>
        <w:tc>
          <w:tcPr>
            <w:tcW w:w="1757" w:type="dxa"/>
            <w:tcBorders>
              <w:left w:val="single" w:sz="8" w:space="0" w:color="000000"/>
              <w:bottom w:val="single" w:sz="8" w:space="0" w:color="000000"/>
            </w:tcBorders>
            <w:vAlign w:val="center"/>
          </w:tcPr>
          <w:p>
            <w:pPr>
              <w:pStyle w:val="LOnormal"/>
              <w:widowControl w:val="false"/>
              <w:jc w:val="center"/>
              <w:rPr>
                <w:sz w:val="20"/>
                <w:szCs w:val="20"/>
              </w:rPr>
            </w:pPr>
            <w:r>
              <w:rPr>
                <w:b/>
                <w:sz w:val="20"/>
                <w:szCs w:val="20"/>
              </w:rPr>
              <w:t>ABVIB</w:t>
            </w:r>
            <w:hyperlink r:id="rId17">
              <w:r>
                <w:rPr>
                  <w:b/>
                  <w:sz w:val="20"/>
                  <w:szCs w:val="20"/>
                </w:rPr>
                <w:t>[2]</w:t>
              </w:r>
            </w:hyperlink>
          </w:p>
        </w:tc>
        <w:tc>
          <w:tcPr>
            <w:tcW w:w="4619" w:type="dxa"/>
            <w:tcBorders>
              <w:left w:val="single" w:sz="8" w:space="0" w:color="000000"/>
              <w:bottom w:val="single" w:sz="8" w:space="0" w:color="000000"/>
            </w:tcBorders>
            <w:shd w:fill="FCFCFC" w:val="clear"/>
            <w:vAlign w:val="center"/>
          </w:tcPr>
          <w:p>
            <w:pPr>
              <w:pStyle w:val="LOnormal"/>
              <w:widowControl w:val="false"/>
              <w:rPr>
                <w:sz w:val="20"/>
                <w:szCs w:val="20"/>
              </w:rPr>
            </w:pPr>
            <w:r>
              <w:rPr>
                <w:sz w:val="20"/>
                <w:szCs w:val="20"/>
              </w:rPr>
              <w:t>Aging Brain: Vasculature, Ischemia, and Behavior</w:t>
            </w:r>
          </w:p>
        </w:tc>
        <w:tc>
          <w:tcPr>
            <w:tcW w:w="1665" w:type="dxa"/>
            <w:tcBorders>
              <w:left w:val="single" w:sz="8" w:space="0" w:color="000000"/>
              <w:bottom w:val="single" w:sz="8" w:space="0" w:color="000000"/>
              <w:right w:val="single" w:sz="8" w:space="0" w:color="000000"/>
            </w:tcBorders>
            <w:vAlign w:val="center"/>
          </w:tcPr>
          <w:p>
            <w:pPr>
              <w:pStyle w:val="LOnormal"/>
              <w:widowControl w:val="false"/>
              <w:jc w:val="center"/>
              <w:rPr>
                <w:sz w:val="20"/>
                <w:szCs w:val="20"/>
              </w:rPr>
            </w:pPr>
            <w:r>
              <w:rPr>
                <w:sz w:val="20"/>
                <w:szCs w:val="20"/>
              </w:rPr>
              <w:t>12</w:t>
            </w:r>
          </w:p>
        </w:tc>
      </w:tr>
      <w:tr>
        <w:trPr>
          <w:trHeight w:val="440" w:hRule="atLeast"/>
        </w:trPr>
        <w:tc>
          <w:tcPr>
            <w:tcW w:w="988" w:type="dxa"/>
            <w:vMerge w:val="continue"/>
            <w:tcBorders>
              <w:left w:val="single" w:sz="8" w:space="0" w:color="000000"/>
              <w:bottom w:val="single" w:sz="8" w:space="0" w:color="000000"/>
            </w:tcBorders>
            <w:shd w:fill="B7B7B7" w:val="clear"/>
          </w:tcPr>
          <w:p>
            <w:pPr>
              <w:pStyle w:val="LOnormal"/>
              <w:widowControl w:val="false"/>
              <w:spacing w:lineRule="auto" w:line="240"/>
              <w:rPr>
                <w:sz w:val="24"/>
                <w:szCs w:val="24"/>
              </w:rPr>
            </w:pPr>
            <w:r>
              <w:rPr>
                <w:sz w:val="24"/>
                <w:szCs w:val="24"/>
              </w:rPr>
            </w:r>
          </w:p>
        </w:tc>
        <w:tc>
          <w:tcPr>
            <w:tcW w:w="1757" w:type="dxa"/>
            <w:tcBorders>
              <w:left w:val="single" w:sz="8" w:space="0" w:color="000000"/>
              <w:bottom w:val="single" w:sz="8" w:space="0" w:color="000000"/>
            </w:tcBorders>
            <w:vAlign w:val="center"/>
          </w:tcPr>
          <w:p>
            <w:pPr>
              <w:pStyle w:val="LOnormal"/>
              <w:widowControl w:val="false"/>
              <w:jc w:val="center"/>
              <w:rPr>
                <w:sz w:val="20"/>
                <w:szCs w:val="20"/>
              </w:rPr>
            </w:pPr>
            <w:r>
              <w:rPr>
                <w:b/>
                <w:sz w:val="20"/>
                <w:szCs w:val="20"/>
              </w:rPr>
              <w:t>ADNI</w:t>
            </w:r>
            <w:hyperlink r:id="rId18">
              <w:r>
                <w:rPr>
                  <w:b/>
                  <w:sz w:val="20"/>
                  <w:szCs w:val="20"/>
                </w:rPr>
                <w:t>[3]</w:t>
              </w:r>
            </w:hyperlink>
          </w:p>
        </w:tc>
        <w:tc>
          <w:tcPr>
            <w:tcW w:w="4619" w:type="dxa"/>
            <w:tcBorders>
              <w:left w:val="single" w:sz="8" w:space="0" w:color="000000"/>
              <w:bottom w:val="single" w:sz="8" w:space="0" w:color="000000"/>
            </w:tcBorders>
            <w:shd w:fill="FCFCFC" w:val="clear"/>
            <w:vAlign w:val="center"/>
          </w:tcPr>
          <w:p>
            <w:pPr>
              <w:pStyle w:val="LOnormal"/>
              <w:widowControl w:val="false"/>
              <w:rPr>
                <w:sz w:val="20"/>
                <w:szCs w:val="20"/>
              </w:rPr>
            </w:pPr>
            <w:r>
              <w:rPr>
                <w:sz w:val="20"/>
                <w:szCs w:val="20"/>
              </w:rPr>
              <w:t>The Alzheimer’s Disease Neuroimaging Initiative</w:t>
            </w:r>
          </w:p>
        </w:tc>
        <w:tc>
          <w:tcPr>
            <w:tcW w:w="1665" w:type="dxa"/>
            <w:tcBorders>
              <w:left w:val="single" w:sz="8" w:space="0" w:color="000000"/>
              <w:bottom w:val="single" w:sz="8" w:space="0" w:color="000000"/>
              <w:right w:val="single" w:sz="8" w:space="0" w:color="000000"/>
            </w:tcBorders>
            <w:vAlign w:val="center"/>
          </w:tcPr>
          <w:p>
            <w:pPr>
              <w:pStyle w:val="LOnormal"/>
              <w:widowControl w:val="false"/>
              <w:jc w:val="center"/>
              <w:rPr>
                <w:sz w:val="18"/>
                <w:szCs w:val="18"/>
              </w:rPr>
            </w:pPr>
            <w:r>
              <w:rPr>
                <w:sz w:val="20"/>
                <w:szCs w:val="20"/>
              </w:rPr>
              <w:t>340</w:t>
            </w:r>
          </w:p>
        </w:tc>
      </w:tr>
      <w:tr>
        <w:trPr>
          <w:trHeight w:val="440" w:hRule="atLeast"/>
        </w:trPr>
        <w:tc>
          <w:tcPr>
            <w:tcW w:w="988" w:type="dxa"/>
            <w:vMerge w:val="continue"/>
            <w:tcBorders>
              <w:left w:val="single" w:sz="8" w:space="0" w:color="000000"/>
              <w:bottom w:val="single" w:sz="8" w:space="0" w:color="000000"/>
            </w:tcBorders>
            <w:shd w:fill="B7B7B7" w:val="clear"/>
          </w:tcPr>
          <w:p>
            <w:pPr>
              <w:pStyle w:val="LOnormal"/>
              <w:widowControl w:val="false"/>
              <w:spacing w:lineRule="auto" w:line="240"/>
              <w:rPr>
                <w:sz w:val="24"/>
                <w:szCs w:val="24"/>
              </w:rPr>
            </w:pPr>
            <w:r>
              <w:rPr>
                <w:sz w:val="24"/>
                <w:szCs w:val="24"/>
              </w:rPr>
            </w:r>
          </w:p>
        </w:tc>
        <w:tc>
          <w:tcPr>
            <w:tcW w:w="1757" w:type="dxa"/>
            <w:tcBorders>
              <w:left w:val="single" w:sz="8" w:space="0" w:color="000000"/>
              <w:bottom w:val="single" w:sz="8" w:space="0" w:color="000000"/>
            </w:tcBorders>
            <w:vAlign w:val="center"/>
          </w:tcPr>
          <w:p>
            <w:pPr>
              <w:pStyle w:val="LOnormal"/>
              <w:widowControl w:val="false"/>
              <w:jc w:val="center"/>
              <w:rPr>
                <w:sz w:val="20"/>
                <w:szCs w:val="20"/>
              </w:rPr>
            </w:pPr>
            <w:r>
              <w:rPr>
                <w:b/>
                <w:sz w:val="20"/>
                <w:szCs w:val="20"/>
              </w:rPr>
              <w:t>AIBL</w:t>
            </w:r>
            <w:hyperlink r:id="rId19">
              <w:r>
                <w:rPr>
                  <w:b/>
                  <w:sz w:val="20"/>
                  <w:szCs w:val="20"/>
                </w:rPr>
                <w:t>[4]</w:t>
              </w:r>
            </w:hyperlink>
          </w:p>
        </w:tc>
        <w:tc>
          <w:tcPr>
            <w:tcW w:w="4619" w:type="dxa"/>
            <w:tcBorders>
              <w:left w:val="single" w:sz="8" w:space="0" w:color="000000"/>
              <w:bottom w:val="single" w:sz="8" w:space="0" w:color="000000"/>
            </w:tcBorders>
            <w:shd w:fill="FCFCFC" w:val="clear"/>
            <w:vAlign w:val="center"/>
          </w:tcPr>
          <w:p>
            <w:pPr>
              <w:pStyle w:val="LOnormal"/>
              <w:widowControl w:val="false"/>
              <w:rPr>
                <w:sz w:val="20"/>
                <w:szCs w:val="20"/>
              </w:rPr>
            </w:pPr>
            <w:r>
              <w:rPr>
                <w:sz w:val="20"/>
                <w:szCs w:val="20"/>
              </w:rPr>
              <w:t>The Australian Imaging, Biomarker &amp; Lifestyle Flagship Study of Ageing</w:t>
            </w:r>
          </w:p>
        </w:tc>
        <w:tc>
          <w:tcPr>
            <w:tcW w:w="1665" w:type="dxa"/>
            <w:tcBorders>
              <w:left w:val="single" w:sz="8" w:space="0" w:color="000000"/>
              <w:bottom w:val="single" w:sz="8" w:space="0" w:color="000000"/>
              <w:right w:val="single" w:sz="8" w:space="0" w:color="000000"/>
            </w:tcBorders>
            <w:vAlign w:val="center"/>
          </w:tcPr>
          <w:p>
            <w:pPr>
              <w:pStyle w:val="LOnormal"/>
              <w:widowControl w:val="false"/>
              <w:jc w:val="center"/>
              <w:rPr>
                <w:sz w:val="20"/>
                <w:szCs w:val="20"/>
              </w:rPr>
            </w:pPr>
            <w:r>
              <w:rPr>
                <w:sz w:val="20"/>
                <w:szCs w:val="20"/>
              </w:rPr>
              <w:t>54</w:t>
            </w:r>
          </w:p>
        </w:tc>
      </w:tr>
      <w:tr>
        <w:trPr>
          <w:trHeight w:val="440" w:hRule="atLeast"/>
        </w:trPr>
        <w:tc>
          <w:tcPr>
            <w:tcW w:w="988" w:type="dxa"/>
            <w:vMerge w:val="continue"/>
            <w:tcBorders>
              <w:left w:val="single" w:sz="8" w:space="0" w:color="000000"/>
              <w:bottom w:val="single" w:sz="8" w:space="0" w:color="000000"/>
            </w:tcBorders>
            <w:shd w:fill="B7B7B7" w:val="clear"/>
          </w:tcPr>
          <w:p>
            <w:pPr>
              <w:pStyle w:val="LOnormal"/>
              <w:widowControl w:val="false"/>
              <w:spacing w:lineRule="auto" w:line="240"/>
              <w:rPr>
                <w:sz w:val="24"/>
                <w:szCs w:val="24"/>
              </w:rPr>
            </w:pPr>
            <w:r>
              <w:rPr>
                <w:sz w:val="24"/>
                <w:szCs w:val="24"/>
              </w:rPr>
            </w:r>
          </w:p>
        </w:tc>
        <w:tc>
          <w:tcPr>
            <w:tcW w:w="1757" w:type="dxa"/>
            <w:tcBorders>
              <w:left w:val="single" w:sz="8" w:space="0" w:color="000000"/>
              <w:bottom w:val="single" w:sz="8" w:space="0" w:color="000000"/>
            </w:tcBorders>
            <w:vAlign w:val="center"/>
          </w:tcPr>
          <w:p>
            <w:pPr>
              <w:pStyle w:val="LOnormal"/>
              <w:widowControl w:val="false"/>
              <w:jc w:val="center"/>
              <w:rPr>
                <w:sz w:val="20"/>
                <w:szCs w:val="20"/>
              </w:rPr>
            </w:pPr>
            <w:r>
              <w:rPr>
                <w:b/>
                <w:sz w:val="20"/>
                <w:szCs w:val="20"/>
              </w:rPr>
              <w:t>ARWIBO</w:t>
            </w:r>
            <w:hyperlink r:id="rId20">
              <w:r>
                <w:rPr>
                  <w:b/>
                  <w:sz w:val="20"/>
                  <w:szCs w:val="20"/>
                </w:rPr>
                <w:t>[5]</w:t>
              </w:r>
            </w:hyperlink>
          </w:p>
        </w:tc>
        <w:tc>
          <w:tcPr>
            <w:tcW w:w="4619" w:type="dxa"/>
            <w:tcBorders>
              <w:left w:val="single" w:sz="8" w:space="0" w:color="000000"/>
              <w:bottom w:val="single" w:sz="8" w:space="0" w:color="000000"/>
            </w:tcBorders>
            <w:shd w:fill="FCFCFC" w:val="clear"/>
            <w:vAlign w:val="center"/>
          </w:tcPr>
          <w:p>
            <w:pPr>
              <w:pStyle w:val="LOnormal"/>
              <w:widowControl w:val="false"/>
              <w:rPr>
                <w:sz w:val="20"/>
                <w:szCs w:val="20"/>
              </w:rPr>
            </w:pPr>
            <w:r>
              <w:rPr>
                <w:sz w:val="20"/>
                <w:szCs w:val="20"/>
              </w:rPr>
              <w:t>Alzheimer’s Disease Repository Without Borders</w:t>
            </w:r>
          </w:p>
        </w:tc>
        <w:tc>
          <w:tcPr>
            <w:tcW w:w="1665" w:type="dxa"/>
            <w:tcBorders>
              <w:left w:val="single" w:sz="8" w:space="0" w:color="000000"/>
              <w:bottom w:val="single" w:sz="8" w:space="0" w:color="000000"/>
              <w:right w:val="single" w:sz="8" w:space="0" w:color="000000"/>
            </w:tcBorders>
            <w:vAlign w:val="center"/>
          </w:tcPr>
          <w:p>
            <w:pPr>
              <w:pStyle w:val="LOnormal"/>
              <w:widowControl w:val="false"/>
              <w:jc w:val="center"/>
              <w:rPr>
                <w:sz w:val="20"/>
                <w:szCs w:val="20"/>
              </w:rPr>
            </w:pPr>
            <w:r>
              <w:rPr>
                <w:sz w:val="20"/>
                <w:szCs w:val="20"/>
              </w:rPr>
              <w:t>1104</w:t>
            </w:r>
          </w:p>
        </w:tc>
      </w:tr>
      <w:tr>
        <w:trPr>
          <w:trHeight w:val="440" w:hRule="atLeast"/>
        </w:trPr>
        <w:tc>
          <w:tcPr>
            <w:tcW w:w="988" w:type="dxa"/>
            <w:vMerge w:val="continue"/>
            <w:tcBorders>
              <w:left w:val="single" w:sz="8" w:space="0" w:color="000000"/>
              <w:bottom w:val="single" w:sz="8" w:space="0" w:color="000000"/>
            </w:tcBorders>
            <w:shd w:fill="B7B7B7" w:val="clear"/>
          </w:tcPr>
          <w:p>
            <w:pPr>
              <w:pStyle w:val="LOnormal"/>
              <w:widowControl w:val="false"/>
              <w:spacing w:lineRule="auto" w:line="240"/>
              <w:rPr>
                <w:sz w:val="24"/>
                <w:szCs w:val="24"/>
              </w:rPr>
            </w:pPr>
            <w:r>
              <w:rPr>
                <w:sz w:val="24"/>
                <w:szCs w:val="24"/>
              </w:rPr>
            </w:r>
          </w:p>
        </w:tc>
        <w:tc>
          <w:tcPr>
            <w:tcW w:w="1757" w:type="dxa"/>
            <w:tcBorders>
              <w:left w:val="single" w:sz="8" w:space="0" w:color="000000"/>
              <w:bottom w:val="single" w:sz="8" w:space="0" w:color="000000"/>
            </w:tcBorders>
            <w:vAlign w:val="center"/>
          </w:tcPr>
          <w:p>
            <w:pPr>
              <w:pStyle w:val="LOnormal"/>
              <w:widowControl w:val="false"/>
              <w:jc w:val="center"/>
              <w:rPr>
                <w:sz w:val="20"/>
                <w:szCs w:val="20"/>
              </w:rPr>
            </w:pPr>
            <w:r>
              <w:rPr>
                <w:b/>
                <w:sz w:val="20"/>
                <w:szCs w:val="20"/>
              </w:rPr>
              <w:t>DOD-ADNI</w:t>
            </w:r>
            <w:hyperlink r:id="rId21">
              <w:r>
                <w:rPr>
                  <w:b/>
                  <w:sz w:val="20"/>
                  <w:szCs w:val="20"/>
                </w:rPr>
                <w:t>[6]</w:t>
              </w:r>
            </w:hyperlink>
          </w:p>
        </w:tc>
        <w:tc>
          <w:tcPr>
            <w:tcW w:w="4619" w:type="dxa"/>
            <w:tcBorders>
              <w:left w:val="single" w:sz="8" w:space="0" w:color="000000"/>
              <w:bottom w:val="single" w:sz="8" w:space="0" w:color="000000"/>
            </w:tcBorders>
            <w:shd w:fill="FCFCFC" w:val="clear"/>
            <w:vAlign w:val="center"/>
          </w:tcPr>
          <w:p>
            <w:pPr>
              <w:pStyle w:val="LOnormal"/>
              <w:widowControl w:val="false"/>
              <w:rPr>
                <w:sz w:val="20"/>
                <w:szCs w:val="20"/>
              </w:rPr>
            </w:pPr>
            <w:r>
              <w:rPr>
                <w:sz w:val="20"/>
                <w:szCs w:val="20"/>
              </w:rPr>
              <w:t>Effects of TBI &amp; PTSD on Alzheimer’s Disease in Vietnam Vets</w:t>
            </w:r>
          </w:p>
        </w:tc>
        <w:tc>
          <w:tcPr>
            <w:tcW w:w="1665" w:type="dxa"/>
            <w:tcBorders>
              <w:left w:val="single" w:sz="8" w:space="0" w:color="000000"/>
              <w:bottom w:val="single" w:sz="8" w:space="0" w:color="000000"/>
              <w:right w:val="single" w:sz="8" w:space="0" w:color="000000"/>
            </w:tcBorders>
            <w:vAlign w:val="center"/>
          </w:tcPr>
          <w:p>
            <w:pPr>
              <w:pStyle w:val="LOnormal"/>
              <w:widowControl w:val="false"/>
              <w:jc w:val="center"/>
              <w:rPr>
                <w:sz w:val="20"/>
                <w:szCs w:val="20"/>
              </w:rPr>
            </w:pPr>
            <w:r>
              <w:rPr>
                <w:sz w:val="20"/>
                <w:szCs w:val="20"/>
              </w:rPr>
              <w:t>322</w:t>
            </w:r>
          </w:p>
        </w:tc>
      </w:tr>
      <w:tr>
        <w:trPr>
          <w:trHeight w:val="440" w:hRule="atLeast"/>
        </w:trPr>
        <w:tc>
          <w:tcPr>
            <w:tcW w:w="988" w:type="dxa"/>
            <w:vMerge w:val="continue"/>
            <w:tcBorders>
              <w:left w:val="single" w:sz="8" w:space="0" w:color="000000"/>
              <w:bottom w:val="single" w:sz="8" w:space="0" w:color="000000"/>
            </w:tcBorders>
            <w:shd w:fill="B7B7B7" w:val="clear"/>
          </w:tcPr>
          <w:p>
            <w:pPr>
              <w:pStyle w:val="LOnormal"/>
              <w:widowControl w:val="false"/>
              <w:spacing w:lineRule="auto" w:line="240"/>
              <w:rPr>
                <w:sz w:val="24"/>
                <w:szCs w:val="24"/>
              </w:rPr>
            </w:pPr>
            <w:r>
              <w:rPr>
                <w:sz w:val="24"/>
                <w:szCs w:val="24"/>
              </w:rPr>
            </w:r>
          </w:p>
        </w:tc>
        <w:tc>
          <w:tcPr>
            <w:tcW w:w="1757" w:type="dxa"/>
            <w:tcBorders>
              <w:left w:val="single" w:sz="8" w:space="0" w:color="000000"/>
              <w:bottom w:val="single" w:sz="8" w:space="0" w:color="000000"/>
            </w:tcBorders>
            <w:vAlign w:val="center"/>
          </w:tcPr>
          <w:p>
            <w:pPr>
              <w:pStyle w:val="LOnormal"/>
              <w:widowControl w:val="false"/>
              <w:jc w:val="center"/>
              <w:rPr>
                <w:sz w:val="20"/>
                <w:szCs w:val="20"/>
              </w:rPr>
            </w:pPr>
            <w:r>
              <w:rPr>
                <w:b/>
                <w:sz w:val="20"/>
                <w:szCs w:val="20"/>
              </w:rPr>
              <w:t>EDSD</w:t>
            </w:r>
            <w:hyperlink r:id="rId22">
              <w:r>
                <w:rPr>
                  <w:b/>
                  <w:sz w:val="20"/>
                  <w:szCs w:val="20"/>
                </w:rPr>
                <w:t>[7]</w:t>
              </w:r>
            </w:hyperlink>
          </w:p>
        </w:tc>
        <w:tc>
          <w:tcPr>
            <w:tcW w:w="4619" w:type="dxa"/>
            <w:tcBorders>
              <w:left w:val="single" w:sz="8" w:space="0" w:color="000000"/>
              <w:bottom w:val="single" w:sz="8" w:space="0" w:color="000000"/>
            </w:tcBorders>
            <w:shd w:fill="FCFCFC" w:val="clear"/>
            <w:vAlign w:val="center"/>
          </w:tcPr>
          <w:p>
            <w:pPr>
              <w:pStyle w:val="LOnormal"/>
              <w:widowControl w:val="false"/>
              <w:rPr>
                <w:sz w:val="20"/>
                <w:szCs w:val="20"/>
              </w:rPr>
            </w:pPr>
            <w:r>
              <w:rPr>
                <w:sz w:val="20"/>
                <w:szCs w:val="20"/>
              </w:rPr>
              <w:t>The European DTI Study on Dementia</w:t>
            </w:r>
          </w:p>
        </w:tc>
        <w:tc>
          <w:tcPr>
            <w:tcW w:w="1665" w:type="dxa"/>
            <w:tcBorders>
              <w:left w:val="single" w:sz="8" w:space="0" w:color="000000"/>
              <w:bottom w:val="single" w:sz="8" w:space="0" w:color="000000"/>
              <w:right w:val="single" w:sz="8" w:space="0" w:color="000000"/>
            </w:tcBorders>
            <w:vAlign w:val="center"/>
          </w:tcPr>
          <w:p>
            <w:pPr>
              <w:pStyle w:val="LOnormal"/>
              <w:widowControl w:val="false"/>
              <w:jc w:val="center"/>
              <w:rPr>
                <w:sz w:val="20"/>
                <w:szCs w:val="20"/>
              </w:rPr>
            </w:pPr>
            <w:r>
              <w:rPr>
                <w:sz w:val="20"/>
                <w:szCs w:val="20"/>
              </w:rPr>
              <w:t>1061</w:t>
            </w:r>
          </w:p>
        </w:tc>
      </w:tr>
      <w:tr>
        <w:trPr>
          <w:trHeight w:val="440" w:hRule="atLeast"/>
        </w:trPr>
        <w:tc>
          <w:tcPr>
            <w:tcW w:w="988" w:type="dxa"/>
            <w:vMerge w:val="continue"/>
            <w:tcBorders>
              <w:left w:val="single" w:sz="8" w:space="0" w:color="000000"/>
              <w:bottom w:val="single" w:sz="8" w:space="0" w:color="000000"/>
            </w:tcBorders>
            <w:shd w:fill="B7B7B7" w:val="clear"/>
          </w:tcPr>
          <w:p>
            <w:pPr>
              <w:pStyle w:val="LOnormal"/>
              <w:widowControl w:val="false"/>
              <w:spacing w:lineRule="auto" w:line="240"/>
              <w:rPr>
                <w:sz w:val="24"/>
                <w:szCs w:val="24"/>
              </w:rPr>
            </w:pPr>
            <w:r>
              <w:rPr>
                <w:sz w:val="24"/>
                <w:szCs w:val="24"/>
              </w:rPr>
            </w:r>
          </w:p>
        </w:tc>
        <w:tc>
          <w:tcPr>
            <w:tcW w:w="1757" w:type="dxa"/>
            <w:tcBorders>
              <w:left w:val="single" w:sz="8" w:space="0" w:color="000000"/>
              <w:bottom w:val="single" w:sz="8" w:space="0" w:color="000000"/>
            </w:tcBorders>
            <w:vAlign w:val="center"/>
          </w:tcPr>
          <w:p>
            <w:pPr>
              <w:pStyle w:val="LOnormal"/>
              <w:widowControl w:val="false"/>
              <w:jc w:val="center"/>
              <w:rPr>
                <w:sz w:val="20"/>
                <w:szCs w:val="20"/>
              </w:rPr>
            </w:pPr>
            <w:r>
              <w:rPr>
                <w:b/>
                <w:sz w:val="20"/>
                <w:szCs w:val="20"/>
              </w:rPr>
              <w:t>EMIF</w:t>
            </w:r>
            <w:hyperlink r:id="rId23">
              <w:r>
                <w:rPr>
                  <w:b/>
                  <w:sz w:val="20"/>
                  <w:szCs w:val="20"/>
                </w:rPr>
                <w:t>[8]</w:t>
              </w:r>
            </w:hyperlink>
          </w:p>
        </w:tc>
        <w:tc>
          <w:tcPr>
            <w:tcW w:w="4619" w:type="dxa"/>
            <w:tcBorders>
              <w:left w:val="single" w:sz="8" w:space="0" w:color="000000"/>
              <w:bottom w:val="single" w:sz="8" w:space="0" w:color="000000"/>
            </w:tcBorders>
            <w:shd w:fill="FCFCFC" w:val="clear"/>
            <w:vAlign w:val="center"/>
          </w:tcPr>
          <w:p>
            <w:pPr>
              <w:pStyle w:val="LOnormal"/>
              <w:widowControl w:val="false"/>
              <w:rPr>
                <w:sz w:val="20"/>
                <w:szCs w:val="20"/>
              </w:rPr>
            </w:pPr>
            <w:r>
              <w:rPr>
                <w:sz w:val="20"/>
                <w:szCs w:val="20"/>
              </w:rPr>
              <w:t>European Medical Information Framework</w:t>
            </w:r>
          </w:p>
        </w:tc>
        <w:tc>
          <w:tcPr>
            <w:tcW w:w="1665" w:type="dxa"/>
            <w:tcBorders>
              <w:left w:val="single" w:sz="8" w:space="0" w:color="000000"/>
              <w:bottom w:val="single" w:sz="8" w:space="0" w:color="000000"/>
              <w:right w:val="single" w:sz="8" w:space="0" w:color="000000"/>
            </w:tcBorders>
            <w:vAlign w:val="center"/>
          </w:tcPr>
          <w:p>
            <w:pPr>
              <w:pStyle w:val="LOnormal"/>
              <w:widowControl w:val="false"/>
              <w:jc w:val="center"/>
              <w:rPr>
                <w:sz w:val="20"/>
                <w:szCs w:val="20"/>
              </w:rPr>
            </w:pPr>
            <w:r>
              <w:rPr>
                <w:sz w:val="20"/>
                <w:szCs w:val="20"/>
              </w:rPr>
              <w:t>30</w:t>
            </w:r>
          </w:p>
        </w:tc>
      </w:tr>
      <w:tr>
        <w:trPr>
          <w:trHeight w:val="440" w:hRule="atLeast"/>
        </w:trPr>
        <w:tc>
          <w:tcPr>
            <w:tcW w:w="988" w:type="dxa"/>
            <w:vMerge w:val="continue"/>
            <w:tcBorders>
              <w:left w:val="single" w:sz="8" w:space="0" w:color="000000"/>
              <w:bottom w:val="single" w:sz="8" w:space="0" w:color="000000"/>
            </w:tcBorders>
            <w:shd w:fill="B7B7B7" w:val="clear"/>
          </w:tcPr>
          <w:p>
            <w:pPr>
              <w:pStyle w:val="LOnormal"/>
              <w:widowControl w:val="false"/>
              <w:spacing w:lineRule="auto" w:line="240"/>
              <w:rPr>
                <w:sz w:val="24"/>
                <w:szCs w:val="24"/>
              </w:rPr>
            </w:pPr>
            <w:r>
              <w:rPr>
                <w:sz w:val="24"/>
                <w:szCs w:val="24"/>
              </w:rPr>
            </w:r>
          </w:p>
        </w:tc>
        <w:tc>
          <w:tcPr>
            <w:tcW w:w="1757" w:type="dxa"/>
            <w:tcBorders>
              <w:left w:val="single" w:sz="8" w:space="0" w:color="000000"/>
              <w:bottom w:val="single" w:sz="8" w:space="0" w:color="000000"/>
            </w:tcBorders>
            <w:vAlign w:val="center"/>
          </w:tcPr>
          <w:p>
            <w:pPr>
              <w:pStyle w:val="LOnormal"/>
              <w:widowControl w:val="false"/>
              <w:jc w:val="center"/>
              <w:rPr>
                <w:sz w:val="20"/>
                <w:szCs w:val="20"/>
              </w:rPr>
            </w:pPr>
            <w:r>
              <w:rPr>
                <w:b/>
                <w:sz w:val="20"/>
                <w:szCs w:val="20"/>
              </w:rPr>
              <w:t>I-ADNI</w:t>
            </w:r>
            <w:hyperlink r:id="rId24">
              <w:r>
                <w:rPr>
                  <w:b/>
                  <w:sz w:val="20"/>
                  <w:szCs w:val="20"/>
                </w:rPr>
                <w:t>[9]</w:t>
              </w:r>
            </w:hyperlink>
          </w:p>
        </w:tc>
        <w:tc>
          <w:tcPr>
            <w:tcW w:w="4619" w:type="dxa"/>
            <w:tcBorders>
              <w:left w:val="single" w:sz="8" w:space="0" w:color="000000"/>
              <w:bottom w:val="single" w:sz="8" w:space="0" w:color="000000"/>
            </w:tcBorders>
            <w:shd w:fill="FCFCFC" w:val="clear"/>
            <w:vAlign w:val="center"/>
          </w:tcPr>
          <w:p>
            <w:pPr>
              <w:pStyle w:val="LOnormal"/>
              <w:widowControl w:val="false"/>
              <w:rPr>
                <w:sz w:val="20"/>
                <w:szCs w:val="20"/>
              </w:rPr>
            </w:pPr>
            <w:r>
              <w:rPr>
                <w:sz w:val="20"/>
                <w:szCs w:val="20"/>
              </w:rPr>
              <w:t>The Italian Alzheimer’s Disease</w:t>
            </w:r>
          </w:p>
          <w:p>
            <w:pPr>
              <w:pStyle w:val="LOnormal"/>
              <w:widowControl w:val="false"/>
              <w:rPr>
                <w:sz w:val="20"/>
                <w:szCs w:val="20"/>
              </w:rPr>
            </w:pPr>
            <w:r>
              <w:rPr>
                <w:sz w:val="20"/>
                <w:szCs w:val="20"/>
              </w:rPr>
              <w:t>Neuroimaging Initiative</w:t>
            </w:r>
          </w:p>
        </w:tc>
        <w:tc>
          <w:tcPr>
            <w:tcW w:w="1665" w:type="dxa"/>
            <w:tcBorders>
              <w:left w:val="single" w:sz="8" w:space="0" w:color="000000"/>
              <w:bottom w:val="single" w:sz="8" w:space="0" w:color="000000"/>
              <w:right w:val="single" w:sz="8" w:space="0" w:color="000000"/>
            </w:tcBorders>
            <w:vAlign w:val="center"/>
          </w:tcPr>
          <w:p>
            <w:pPr>
              <w:pStyle w:val="LOnormal"/>
              <w:widowControl w:val="false"/>
              <w:jc w:val="center"/>
              <w:rPr>
                <w:sz w:val="20"/>
                <w:szCs w:val="20"/>
              </w:rPr>
            </w:pPr>
            <w:r>
              <w:rPr>
                <w:sz w:val="20"/>
                <w:szCs w:val="20"/>
              </w:rPr>
              <w:t>1064</w:t>
            </w:r>
          </w:p>
        </w:tc>
      </w:tr>
      <w:tr>
        <w:trPr>
          <w:trHeight w:val="440" w:hRule="atLeast"/>
        </w:trPr>
        <w:tc>
          <w:tcPr>
            <w:tcW w:w="988" w:type="dxa"/>
            <w:vMerge w:val="continue"/>
            <w:tcBorders>
              <w:left w:val="single" w:sz="8" w:space="0" w:color="000000"/>
              <w:bottom w:val="single" w:sz="8" w:space="0" w:color="000000"/>
            </w:tcBorders>
            <w:shd w:fill="B7B7B7" w:val="clear"/>
          </w:tcPr>
          <w:p>
            <w:pPr>
              <w:pStyle w:val="LOnormal"/>
              <w:widowControl w:val="false"/>
              <w:spacing w:lineRule="auto" w:line="240"/>
              <w:rPr>
                <w:sz w:val="24"/>
                <w:szCs w:val="24"/>
              </w:rPr>
            </w:pPr>
            <w:r>
              <w:rPr>
                <w:sz w:val="24"/>
                <w:szCs w:val="24"/>
              </w:rPr>
            </w:r>
          </w:p>
        </w:tc>
        <w:tc>
          <w:tcPr>
            <w:tcW w:w="1757" w:type="dxa"/>
            <w:tcBorders>
              <w:left w:val="single" w:sz="8" w:space="0" w:color="000000"/>
              <w:bottom w:val="single" w:sz="8" w:space="0" w:color="000000"/>
            </w:tcBorders>
            <w:vAlign w:val="center"/>
          </w:tcPr>
          <w:p>
            <w:pPr>
              <w:pStyle w:val="LOnormal"/>
              <w:widowControl w:val="false"/>
              <w:jc w:val="center"/>
              <w:rPr>
                <w:sz w:val="20"/>
                <w:szCs w:val="20"/>
              </w:rPr>
            </w:pPr>
            <w:r>
              <w:rPr>
                <w:b/>
                <w:sz w:val="20"/>
                <w:szCs w:val="20"/>
              </w:rPr>
              <w:t>JADNI</w:t>
            </w:r>
            <w:hyperlink r:id="rId25">
              <w:r>
                <w:rPr>
                  <w:b/>
                  <w:sz w:val="20"/>
                  <w:szCs w:val="20"/>
                </w:rPr>
                <w:t>[10]</w:t>
              </w:r>
            </w:hyperlink>
          </w:p>
        </w:tc>
        <w:tc>
          <w:tcPr>
            <w:tcW w:w="4619" w:type="dxa"/>
            <w:tcBorders>
              <w:left w:val="single" w:sz="8" w:space="0" w:color="000000"/>
              <w:bottom w:val="single" w:sz="8" w:space="0" w:color="000000"/>
            </w:tcBorders>
            <w:shd w:fill="FCFCFC" w:val="clear"/>
            <w:vAlign w:val="center"/>
          </w:tcPr>
          <w:p>
            <w:pPr>
              <w:pStyle w:val="LOnormal"/>
              <w:widowControl w:val="false"/>
              <w:rPr>
                <w:sz w:val="20"/>
                <w:szCs w:val="20"/>
              </w:rPr>
            </w:pPr>
            <w:r>
              <w:rPr>
                <w:sz w:val="20"/>
                <w:szCs w:val="20"/>
              </w:rPr>
              <w:t>Japanese Alzheimer’s Disease Neuroimaging Initiative</w:t>
            </w:r>
          </w:p>
        </w:tc>
        <w:tc>
          <w:tcPr>
            <w:tcW w:w="1665" w:type="dxa"/>
            <w:tcBorders>
              <w:left w:val="single" w:sz="8" w:space="0" w:color="000000"/>
              <w:bottom w:val="single" w:sz="8" w:space="0" w:color="000000"/>
              <w:right w:val="single" w:sz="8" w:space="0" w:color="000000"/>
            </w:tcBorders>
            <w:vAlign w:val="center"/>
          </w:tcPr>
          <w:p>
            <w:pPr>
              <w:pStyle w:val="LOnormal"/>
              <w:widowControl w:val="false"/>
              <w:jc w:val="center"/>
              <w:rPr>
                <w:sz w:val="20"/>
                <w:szCs w:val="20"/>
              </w:rPr>
            </w:pPr>
            <w:r>
              <w:rPr>
                <w:sz w:val="20"/>
                <w:szCs w:val="20"/>
              </w:rPr>
              <w:t>647</w:t>
            </w:r>
          </w:p>
        </w:tc>
      </w:tr>
      <w:tr>
        <w:trPr>
          <w:trHeight w:val="440" w:hRule="atLeast"/>
        </w:trPr>
        <w:tc>
          <w:tcPr>
            <w:tcW w:w="988" w:type="dxa"/>
            <w:vMerge w:val="continue"/>
            <w:tcBorders>
              <w:left w:val="single" w:sz="8" w:space="0" w:color="000000"/>
              <w:bottom w:val="single" w:sz="8" w:space="0" w:color="000000"/>
            </w:tcBorders>
            <w:shd w:fill="B7B7B7" w:val="clear"/>
          </w:tcPr>
          <w:p>
            <w:pPr>
              <w:pStyle w:val="LOnormal"/>
              <w:widowControl w:val="false"/>
              <w:spacing w:lineRule="auto" w:line="240"/>
              <w:rPr>
                <w:sz w:val="24"/>
                <w:szCs w:val="24"/>
              </w:rPr>
            </w:pPr>
            <w:r>
              <w:rPr>
                <w:sz w:val="24"/>
                <w:szCs w:val="24"/>
              </w:rPr>
            </w:r>
          </w:p>
        </w:tc>
        <w:tc>
          <w:tcPr>
            <w:tcW w:w="1757" w:type="dxa"/>
            <w:tcBorders>
              <w:left w:val="single" w:sz="8" w:space="0" w:color="000000"/>
              <w:bottom w:val="single" w:sz="8" w:space="0" w:color="000000"/>
            </w:tcBorders>
            <w:vAlign w:val="center"/>
          </w:tcPr>
          <w:p>
            <w:pPr>
              <w:pStyle w:val="LOnormal"/>
              <w:widowControl w:val="false"/>
              <w:jc w:val="center"/>
              <w:rPr>
                <w:sz w:val="20"/>
                <w:szCs w:val="20"/>
              </w:rPr>
            </w:pPr>
            <w:r>
              <w:rPr>
                <w:b/>
                <w:sz w:val="20"/>
                <w:szCs w:val="20"/>
              </w:rPr>
              <w:t>PharmaCog</w:t>
            </w:r>
            <w:hyperlink r:id="rId26">
              <w:r>
                <w:rPr>
                  <w:b/>
                  <w:sz w:val="20"/>
                  <w:szCs w:val="20"/>
                </w:rPr>
                <w:t>[11]</w:t>
              </w:r>
            </w:hyperlink>
          </w:p>
        </w:tc>
        <w:tc>
          <w:tcPr>
            <w:tcW w:w="4619" w:type="dxa"/>
            <w:tcBorders>
              <w:left w:val="single" w:sz="8" w:space="0" w:color="000000"/>
              <w:bottom w:val="single" w:sz="8" w:space="0" w:color="000000"/>
            </w:tcBorders>
            <w:shd w:fill="FCFCFC" w:val="clear"/>
            <w:vAlign w:val="center"/>
          </w:tcPr>
          <w:p>
            <w:pPr>
              <w:pStyle w:val="LOnormal"/>
              <w:widowControl w:val="false"/>
              <w:rPr>
                <w:sz w:val="20"/>
                <w:szCs w:val="20"/>
              </w:rPr>
            </w:pPr>
            <w:r>
              <w:rPr>
                <w:sz w:val="20"/>
                <w:szCs w:val="20"/>
              </w:rPr>
              <w:t>Prediction of Cognitive Properties of New Drug Candidates for Neurodegenerative Diseases in Early Clinical Development</w:t>
            </w:r>
          </w:p>
        </w:tc>
        <w:tc>
          <w:tcPr>
            <w:tcW w:w="1665" w:type="dxa"/>
            <w:tcBorders>
              <w:left w:val="single" w:sz="8" w:space="0" w:color="000000"/>
              <w:bottom w:val="single" w:sz="8" w:space="0" w:color="000000"/>
              <w:right w:val="single" w:sz="8" w:space="0" w:color="000000"/>
            </w:tcBorders>
            <w:vAlign w:val="center"/>
          </w:tcPr>
          <w:p>
            <w:pPr>
              <w:pStyle w:val="LOnormal"/>
              <w:widowControl w:val="false"/>
              <w:jc w:val="center"/>
              <w:rPr>
                <w:sz w:val="20"/>
                <w:szCs w:val="20"/>
              </w:rPr>
            </w:pPr>
            <w:r>
              <w:rPr>
                <w:sz w:val="20"/>
                <w:szCs w:val="20"/>
              </w:rPr>
              <w:t>1067</w:t>
            </w:r>
          </w:p>
        </w:tc>
      </w:tr>
      <w:tr>
        <w:trPr>
          <w:trHeight w:val="440" w:hRule="atLeast"/>
        </w:trPr>
        <w:tc>
          <w:tcPr>
            <w:tcW w:w="988" w:type="dxa"/>
            <w:vMerge w:val="continue"/>
            <w:tcBorders>
              <w:left w:val="single" w:sz="8" w:space="0" w:color="000000"/>
              <w:bottom w:val="single" w:sz="8" w:space="0" w:color="000000"/>
            </w:tcBorders>
            <w:shd w:fill="B7B7B7" w:val="clear"/>
          </w:tcPr>
          <w:p>
            <w:pPr>
              <w:pStyle w:val="LOnormal"/>
              <w:widowControl w:val="false"/>
              <w:spacing w:lineRule="auto" w:line="240"/>
              <w:rPr>
                <w:sz w:val="24"/>
                <w:szCs w:val="24"/>
              </w:rPr>
            </w:pPr>
            <w:r>
              <w:rPr>
                <w:sz w:val="24"/>
                <w:szCs w:val="24"/>
              </w:rPr>
            </w:r>
          </w:p>
        </w:tc>
        <w:tc>
          <w:tcPr>
            <w:tcW w:w="1757" w:type="dxa"/>
            <w:tcBorders>
              <w:left w:val="single" w:sz="8" w:space="0" w:color="000000"/>
              <w:bottom w:val="single" w:sz="8" w:space="0" w:color="000000"/>
            </w:tcBorders>
            <w:vAlign w:val="center"/>
          </w:tcPr>
          <w:p>
            <w:pPr>
              <w:pStyle w:val="LOnormal"/>
              <w:widowControl w:val="false"/>
              <w:jc w:val="center"/>
              <w:rPr>
                <w:b/>
                <w:b/>
                <w:sz w:val="20"/>
                <w:szCs w:val="20"/>
              </w:rPr>
            </w:pPr>
            <w:r>
              <w:rPr>
                <w:b/>
                <w:sz w:val="20"/>
                <w:szCs w:val="20"/>
              </w:rPr>
              <w:t>PREVENT-AD</w:t>
            </w:r>
            <w:hyperlink r:id="rId27">
              <w:r>
                <w:rPr>
                  <w:b/>
                  <w:sz w:val="20"/>
                  <w:szCs w:val="20"/>
                </w:rPr>
                <w:t>[12]</w:t>
              </w:r>
            </w:hyperlink>
          </w:p>
        </w:tc>
        <w:tc>
          <w:tcPr>
            <w:tcW w:w="4619" w:type="dxa"/>
            <w:tcBorders>
              <w:left w:val="single" w:sz="8" w:space="0" w:color="000000"/>
              <w:bottom w:val="single" w:sz="8" w:space="0" w:color="000000"/>
            </w:tcBorders>
            <w:shd w:fill="FCFCFC" w:val="clear"/>
            <w:vAlign w:val="center"/>
          </w:tcPr>
          <w:p>
            <w:pPr>
              <w:pStyle w:val="LOnormal"/>
              <w:widowControl w:val="false"/>
              <w:rPr>
                <w:sz w:val="20"/>
                <w:szCs w:val="20"/>
              </w:rPr>
            </w:pPr>
            <w:r>
              <w:rPr>
                <w:sz w:val="20"/>
                <w:szCs w:val="20"/>
              </w:rPr>
              <w:t>Pre-symptomatic Evaluation of Experimental or Novel Treatments for Alzheimer’s Disease</w:t>
            </w:r>
          </w:p>
        </w:tc>
        <w:tc>
          <w:tcPr>
            <w:tcW w:w="1665" w:type="dxa"/>
            <w:tcBorders>
              <w:left w:val="single" w:sz="8" w:space="0" w:color="000000"/>
              <w:bottom w:val="single" w:sz="8" w:space="0" w:color="000000"/>
              <w:right w:val="single" w:sz="8" w:space="0" w:color="000000"/>
            </w:tcBorders>
            <w:vAlign w:val="center"/>
          </w:tcPr>
          <w:p>
            <w:pPr>
              <w:pStyle w:val="LOnormal"/>
              <w:widowControl w:val="false"/>
              <w:jc w:val="center"/>
              <w:rPr>
                <w:sz w:val="20"/>
                <w:szCs w:val="20"/>
              </w:rPr>
            </w:pPr>
            <w:r>
              <w:rPr>
                <w:sz w:val="20"/>
                <w:szCs w:val="20"/>
              </w:rPr>
              <w:t>34</w:t>
            </w:r>
          </w:p>
        </w:tc>
      </w:tr>
      <w:tr>
        <w:trPr>
          <w:trHeight w:val="440" w:hRule="atLeast"/>
        </w:trPr>
        <w:tc>
          <w:tcPr>
            <w:tcW w:w="988" w:type="dxa"/>
            <w:vMerge w:val="continue"/>
            <w:tcBorders>
              <w:left w:val="single" w:sz="8" w:space="0" w:color="000000"/>
              <w:bottom w:val="single" w:sz="8" w:space="0" w:color="000000"/>
            </w:tcBorders>
            <w:shd w:fill="B7B7B7" w:val="clear"/>
          </w:tcPr>
          <w:p>
            <w:pPr>
              <w:pStyle w:val="LOnormal"/>
              <w:widowControl w:val="false"/>
              <w:spacing w:lineRule="auto" w:line="240"/>
              <w:rPr>
                <w:sz w:val="24"/>
                <w:szCs w:val="24"/>
              </w:rPr>
            </w:pPr>
            <w:r>
              <w:rPr>
                <w:sz w:val="24"/>
                <w:szCs w:val="24"/>
              </w:rPr>
            </w:r>
          </w:p>
        </w:tc>
        <w:tc>
          <w:tcPr>
            <w:tcW w:w="1757" w:type="dxa"/>
            <w:tcBorders>
              <w:left w:val="single" w:sz="8" w:space="0" w:color="000000"/>
              <w:bottom w:val="single" w:sz="8" w:space="0" w:color="000000"/>
            </w:tcBorders>
            <w:vAlign w:val="center"/>
          </w:tcPr>
          <w:p>
            <w:pPr>
              <w:pStyle w:val="LOnormal"/>
              <w:widowControl w:val="false"/>
              <w:jc w:val="center"/>
              <w:rPr>
                <w:sz w:val="20"/>
                <w:szCs w:val="20"/>
              </w:rPr>
            </w:pPr>
            <w:r>
              <w:rPr>
                <w:b/>
                <w:sz w:val="20"/>
                <w:szCs w:val="20"/>
              </w:rPr>
              <w:t>VITA</w:t>
            </w:r>
            <w:hyperlink r:id="rId28">
              <w:r>
                <w:rPr>
                  <w:b/>
                  <w:sz w:val="20"/>
                  <w:szCs w:val="20"/>
                </w:rPr>
                <w:t>[13]</w:t>
              </w:r>
            </w:hyperlink>
          </w:p>
        </w:tc>
        <w:tc>
          <w:tcPr>
            <w:tcW w:w="4619" w:type="dxa"/>
            <w:tcBorders>
              <w:left w:val="single" w:sz="8" w:space="0" w:color="000000"/>
              <w:bottom w:val="single" w:sz="8" w:space="0" w:color="000000"/>
            </w:tcBorders>
            <w:shd w:fill="FCFCFC" w:val="clear"/>
            <w:vAlign w:val="center"/>
          </w:tcPr>
          <w:p>
            <w:pPr>
              <w:pStyle w:val="LOnormal"/>
              <w:widowControl w:val="false"/>
              <w:rPr>
                <w:sz w:val="20"/>
                <w:szCs w:val="20"/>
              </w:rPr>
            </w:pPr>
            <w:r>
              <w:rPr>
                <w:sz w:val="20"/>
                <w:szCs w:val="20"/>
              </w:rPr>
              <w:t>Vienna Transdanube Aging</w:t>
            </w:r>
          </w:p>
        </w:tc>
        <w:tc>
          <w:tcPr>
            <w:tcW w:w="1665" w:type="dxa"/>
            <w:tcBorders>
              <w:left w:val="single" w:sz="8" w:space="0" w:color="000000"/>
              <w:bottom w:val="single" w:sz="8" w:space="0" w:color="000000"/>
              <w:right w:val="single" w:sz="8" w:space="0" w:color="000000"/>
            </w:tcBorders>
            <w:vAlign w:val="center"/>
          </w:tcPr>
          <w:p>
            <w:pPr>
              <w:pStyle w:val="LOnormal"/>
              <w:widowControl w:val="false"/>
              <w:jc w:val="center"/>
              <w:rPr>
                <w:sz w:val="20"/>
                <w:szCs w:val="20"/>
              </w:rPr>
            </w:pPr>
            <w:r>
              <w:rPr>
                <w:sz w:val="20"/>
                <w:szCs w:val="20"/>
              </w:rPr>
              <w:t>1054</w:t>
            </w:r>
          </w:p>
        </w:tc>
      </w:tr>
    </w:tbl>
    <w:p>
      <w:pPr>
        <w:pStyle w:val="LOnormal"/>
        <w:jc w:val="both"/>
        <w:rPr>
          <w:sz w:val="20"/>
          <w:szCs w:val="20"/>
        </w:rPr>
      </w:pPr>
      <w:r>
        <w:rPr>
          <w:b/>
          <w:sz w:val="20"/>
          <w:szCs w:val="20"/>
        </w:rPr>
        <w:t xml:space="preserve">Table S6: </w:t>
      </w:r>
      <w:r>
        <w:rPr>
          <w:sz w:val="20"/>
          <w:szCs w:val="20"/>
        </w:rPr>
        <w:t>Investigated AD cohort studies and their total number of variables that were included in AD-Mapper CDM.</w:t>
      </w:r>
      <w:hyperlink r:id="rId29">
        <w:r>
          <w:rPr>
            <w:sz w:val="20"/>
            <w:szCs w:val="20"/>
          </w:rPr>
          <w:t>[14]</w:t>
        </w:r>
      </w:hyperlink>
      <w:r>
        <w:rPr/>
        <w:t xml:space="preserve"> </w:t>
      </w:r>
      <w:r>
        <w:rPr>
          <w:sz w:val="20"/>
          <w:szCs w:val="20"/>
        </w:rPr>
        <w:t>Note: we excluded cohorts that had no description provided in their data dictionaries or contained encodings that were not compatible with our mapping procedure.</w:t>
      </w:r>
    </w:p>
    <w:p>
      <w:pPr>
        <w:pStyle w:val="LOnormal"/>
        <w:jc w:val="both"/>
        <w:rPr/>
      </w:pPr>
      <w:r>
        <w:rPr/>
        <w:drawing>
          <wp:inline distT="0" distB="0" distL="0" distR="0">
            <wp:extent cx="5943600" cy="5346700"/>
            <wp:effectExtent l="0" t="0" r="0" b="0"/>
            <wp:docPr id="4"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descr=""/>
                    <pic:cNvPicPr>
                      <a:picLocks noChangeAspect="1" noChangeArrowheads="1"/>
                    </pic:cNvPicPr>
                  </pic:nvPicPr>
                  <pic:blipFill>
                    <a:blip r:embed="rId30"/>
                    <a:stretch>
                      <a:fillRect/>
                    </a:stretch>
                  </pic:blipFill>
                  <pic:spPr bwMode="auto">
                    <a:xfrm>
                      <a:off x="0" y="0"/>
                      <a:ext cx="5943600" cy="5346700"/>
                    </a:xfrm>
                    <a:prstGeom prst="rect">
                      <a:avLst/>
                    </a:prstGeom>
                  </pic:spPr>
                </pic:pic>
              </a:graphicData>
            </a:graphic>
          </wp:inline>
        </w:drawing>
      </w:r>
    </w:p>
    <w:p>
      <w:pPr>
        <w:pStyle w:val="LOnormal"/>
        <w:jc w:val="both"/>
        <w:rPr>
          <w:sz w:val="20"/>
          <w:szCs w:val="20"/>
        </w:rPr>
      </w:pPr>
      <w:r>
        <w:rPr>
          <w:b/>
          <w:sz w:val="20"/>
          <w:szCs w:val="20"/>
        </w:rPr>
        <w:t xml:space="preserve">Figure S3: </w:t>
      </w:r>
      <w:r>
        <w:rPr>
          <w:sz w:val="20"/>
          <w:szCs w:val="20"/>
        </w:rPr>
        <w:t>The total number of variable mappings from each cohort (panel A), as well as the variable overlap within two cohorts (panel B). Note: we deliberately excluded the empty sets and certain cohort combinations with variable overlap lower than 30.</w:t>
      </w:r>
    </w:p>
    <w:p>
      <w:pPr>
        <w:pStyle w:val="LOnormal"/>
        <w:jc w:val="both"/>
        <w:rPr>
          <w:sz w:val="20"/>
          <w:szCs w:val="20"/>
        </w:rPr>
      </w:pPr>
      <w:r>
        <w:rPr>
          <w:sz w:val="20"/>
          <w:szCs w:val="20"/>
        </w:rPr>
      </w:r>
    </w:p>
    <w:p>
      <w:pPr>
        <w:pStyle w:val="Heading1"/>
        <w:jc w:val="both"/>
        <w:rPr/>
      </w:pPr>
      <w:bookmarkStart w:id="1" w:name="_2zqje6rmdrfk"/>
      <w:bookmarkEnd w:id="1"/>
      <w:r>
        <w:rPr>
          <w:b/>
          <w:sz w:val="28"/>
          <w:szCs w:val="28"/>
        </w:rPr>
        <w:t>Accuracy: A to B vs. B to A</w:t>
      </w:r>
    </w:p>
    <w:p>
      <w:pPr>
        <w:pStyle w:val="LOnormal"/>
        <w:spacing w:lineRule="auto" w:line="360" w:before="200" w:after="200"/>
        <w:jc w:val="both"/>
        <w:rPr>
          <w:sz w:val="24"/>
          <w:szCs w:val="24"/>
        </w:rPr>
      </w:pPr>
      <w:r>
        <w:rPr>
          <w:sz w:val="24"/>
          <w:szCs w:val="24"/>
        </w:rPr>
        <w:t>By comparing the harmonization results of one cohort to another and rearranging the PD cohorts (e.g., harmonizing PPMI to PRoBaND and PRoBaND to PPMI), we observed that the accuracy remained unchanged or changed marginally in most cases. While harmonizing PRoBaND to OPDC, BIOFIND to OPDC, and PPMI to LuxPARK using OpenAI embeddings, had the same accuracy. The unchanged results could potentially be due to similarities between the cohorts’ descriptions. Similarly within AD cohorts, only in 10 cohort-to-cohort harmonization, the accuracy remained the same when the order of cohorts to be harmonized to another was switched.</w:t>
      </w:r>
    </w:p>
    <w:p>
      <w:pPr>
        <w:pStyle w:val="LOnormal"/>
        <w:spacing w:lineRule="auto" w:line="360" w:before="200" w:after="200"/>
        <w:jc w:val="both"/>
        <w:rPr/>
      </w:pPr>
      <w:r>
        <w:rPr>
          <w:sz w:val="24"/>
          <w:szCs w:val="24"/>
        </w:rPr>
        <w:t>When harmonizing LCC to LuxPARK, OpenAI embeddings achieved an accuracy of 89%, and harmonizing LuxPARK to LCC resulted in an accuracy of 88%. In a few instances, there was a moderate variation in accuracy, with the maximum change being 15%. Similarly, string matching accuracies differed when the order of cohort that was used for harmonization was switched. However, unlike the OpenAI embedding-based accuracies, the changes within the extracted result varied substantially for half of the cases (i.e., string matching results). One extreme case was observed for the harmonization of OPDC to PPMI with 7% accuracy whereas the harmonization of PPMI to OPDC had an accuracy of 57%.</w:t>
      </w:r>
    </w:p>
    <w:p>
      <w:pPr>
        <w:pStyle w:val="LOnormal"/>
        <w:spacing w:lineRule="auto" w:line="360" w:before="200" w:after="200"/>
        <w:jc w:val="both"/>
        <w:rPr/>
      </w:pPr>
      <w:r>
        <w:rPr/>
      </w:r>
      <w:r>
        <w:br w:type="page"/>
      </w:r>
    </w:p>
    <w:p>
      <w:pPr>
        <w:pStyle w:val="LOnormal"/>
        <w:spacing w:lineRule="auto" w:line="240"/>
        <w:jc w:val="both"/>
        <w:rPr>
          <w:b/>
          <w:b/>
          <w:sz w:val="32"/>
          <w:szCs w:val="32"/>
        </w:rPr>
      </w:pPr>
      <w:r>
        <w:rPr>
          <w:b/>
          <w:sz w:val="32"/>
          <w:szCs w:val="32"/>
        </w:rPr>
        <w:t>REFERENCES</w:t>
      </w:r>
    </w:p>
    <w:p>
      <w:pPr>
        <w:pStyle w:val="LOnormal"/>
        <w:spacing w:lineRule="auto" w:line="240"/>
        <w:jc w:val="both"/>
        <w:rPr>
          <w:b/>
          <w:b/>
          <w:sz w:val="24"/>
          <w:szCs w:val="24"/>
        </w:rPr>
      </w:pPr>
      <w:r>
        <w:rPr>
          <w:b/>
          <w:sz w:val="24"/>
          <w:szCs w:val="24"/>
        </w:rPr>
      </w:r>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31">
        <w:r>
          <w:rPr>
            <w:position w:val="0"/>
            <w:sz w:val="20"/>
            <w:sz w:val="20"/>
            <w:szCs w:val="20"/>
            <w:vertAlign w:val="baseline"/>
          </w:rPr>
          <w:t>1.</w:t>
          <w:tab/>
          <w:t xml:space="preserve">Sperling RA, Rentz DM, Johnson KA, et al. The A4 study: stopping AD before symptoms begin? </w:t>
        </w:r>
      </w:hyperlink>
      <w:hyperlink r:id="rId32">
        <w:r>
          <w:rPr>
            <w:i/>
            <w:position w:val="0"/>
            <w:sz w:val="20"/>
            <w:sz w:val="20"/>
            <w:szCs w:val="20"/>
            <w:vertAlign w:val="baseline"/>
          </w:rPr>
          <w:t>Sci Transl Med</w:t>
        </w:r>
      </w:hyperlink>
      <w:hyperlink r:id="rId33">
        <w:r>
          <w:rPr>
            <w:position w:val="0"/>
            <w:sz w:val="20"/>
            <w:sz w:val="20"/>
            <w:szCs w:val="20"/>
            <w:vertAlign w:val="baseline"/>
          </w:rPr>
          <w:t xml:space="preserve"> 2014;6(228):228fs13. doi:10.1126/scitranslmed.3007941</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34">
        <w:r>
          <w:rPr>
            <w:position w:val="0"/>
            <w:sz w:val="20"/>
            <w:sz w:val="20"/>
            <w:szCs w:val="20"/>
            <w:vertAlign w:val="baseline"/>
          </w:rPr>
          <w:t>2.</w:t>
          <w:tab/>
          <w:t xml:space="preserve">Rodriguez FS, Zheng L, Chui HC. Psychometric Characteristics of Cognitive Reserve: How High Education Might Improve Certain Cognitive Abilities in Aging. </w:t>
        </w:r>
      </w:hyperlink>
      <w:hyperlink r:id="rId35">
        <w:r>
          <w:rPr>
            <w:i/>
            <w:position w:val="0"/>
            <w:sz w:val="20"/>
            <w:sz w:val="20"/>
            <w:szCs w:val="20"/>
            <w:vertAlign w:val="baseline"/>
          </w:rPr>
          <w:t>Dement Geriatr Cogn Disord</w:t>
        </w:r>
      </w:hyperlink>
      <w:hyperlink r:id="rId36">
        <w:r>
          <w:rPr>
            <w:position w:val="0"/>
            <w:sz w:val="20"/>
            <w:sz w:val="20"/>
            <w:szCs w:val="20"/>
            <w:vertAlign w:val="baseline"/>
          </w:rPr>
          <w:t xml:space="preserve"> 2019;47(4-6):335-344. doi:10.1159/000501150</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37">
        <w:r>
          <w:rPr>
            <w:position w:val="0"/>
            <w:sz w:val="20"/>
            <w:sz w:val="20"/>
            <w:szCs w:val="20"/>
            <w:vertAlign w:val="baseline"/>
          </w:rPr>
          <w:t>3.</w:t>
          <w:tab/>
          <w:t xml:space="preserve">Mueller SG, Weiner MW, Thal LJ, et al. Ways toward an early diagnosis in Alzheimer’s disease: the Alzheimer’s Disease Neuroimaging Initiative (ADNI). </w:t>
        </w:r>
      </w:hyperlink>
      <w:hyperlink r:id="rId38">
        <w:r>
          <w:rPr>
            <w:i/>
            <w:position w:val="0"/>
            <w:sz w:val="20"/>
            <w:sz w:val="20"/>
            <w:szCs w:val="20"/>
            <w:vertAlign w:val="baseline"/>
          </w:rPr>
          <w:t>Alzheimers Dement J Alzheimers Assoc</w:t>
        </w:r>
      </w:hyperlink>
      <w:hyperlink r:id="rId39">
        <w:r>
          <w:rPr>
            <w:position w:val="0"/>
            <w:sz w:val="20"/>
            <w:sz w:val="20"/>
            <w:szCs w:val="20"/>
            <w:vertAlign w:val="baseline"/>
          </w:rPr>
          <w:t xml:space="preserve"> 2005;1(1):55-66. doi:10.1016/j.jalz.2005.06.003</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40">
        <w:r>
          <w:rPr>
            <w:position w:val="0"/>
            <w:sz w:val="20"/>
            <w:sz w:val="20"/>
            <w:szCs w:val="20"/>
            <w:vertAlign w:val="baseline"/>
          </w:rPr>
          <w:t>4.</w:t>
          <w:tab/>
          <w:t xml:space="preserve">Ellis KA, Bush AI, Darby D, et al. The Australian Imaging, Biomarkers and Lifestyle (AIBL) study of aging: methodology and baseline characteristics of 1112 individuals recruited for a  longitudinal study of Alzheimer’s disease. </w:t>
        </w:r>
      </w:hyperlink>
      <w:hyperlink r:id="rId41">
        <w:r>
          <w:rPr>
            <w:i/>
            <w:position w:val="0"/>
            <w:sz w:val="20"/>
            <w:sz w:val="20"/>
            <w:szCs w:val="20"/>
            <w:vertAlign w:val="baseline"/>
          </w:rPr>
          <w:t>Int Psychogeriatr</w:t>
        </w:r>
      </w:hyperlink>
      <w:hyperlink r:id="rId42">
        <w:r>
          <w:rPr>
            <w:position w:val="0"/>
            <w:sz w:val="20"/>
            <w:sz w:val="20"/>
            <w:szCs w:val="20"/>
            <w:vertAlign w:val="baseline"/>
          </w:rPr>
          <w:t xml:space="preserve"> 2009;21(4):672-687. doi:10.1017/S1041610209009405</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43">
        <w:r>
          <w:rPr>
            <w:position w:val="0"/>
            <w:sz w:val="20"/>
            <w:sz w:val="20"/>
            <w:szCs w:val="20"/>
            <w:vertAlign w:val="baseline"/>
          </w:rPr>
          <w:t>5.</w:t>
          <w:tab/>
          <w:t xml:space="preserve">Frisoni GB, Prestia A, Zanetti O, et al. Markers of Alzheimer’s disease in a population attending a memory clinic. </w:t>
        </w:r>
      </w:hyperlink>
      <w:hyperlink r:id="rId44">
        <w:r>
          <w:rPr>
            <w:i/>
            <w:position w:val="0"/>
            <w:sz w:val="20"/>
            <w:sz w:val="20"/>
            <w:szCs w:val="20"/>
            <w:vertAlign w:val="baseline"/>
          </w:rPr>
          <w:t>Alzheimers Dement J Alzheimers Assoc</w:t>
        </w:r>
      </w:hyperlink>
      <w:hyperlink r:id="rId45">
        <w:r>
          <w:rPr>
            <w:position w:val="0"/>
            <w:sz w:val="20"/>
            <w:sz w:val="20"/>
            <w:szCs w:val="20"/>
            <w:vertAlign w:val="baseline"/>
          </w:rPr>
          <w:t xml:space="preserve"> 2009;5(4):307-317. doi:10.1016/j.jalz.2009.04.1235</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46">
        <w:r>
          <w:rPr>
            <w:position w:val="0"/>
            <w:sz w:val="20"/>
            <w:sz w:val="20"/>
            <w:szCs w:val="20"/>
            <w:vertAlign w:val="baseline"/>
          </w:rPr>
          <w:t>6.</w:t>
          <w:tab/>
          <w:t xml:space="preserve">Weiner MW, Veitch DP, Hayes J, et al. Effects of traumatic brain injury and posttraumatic stress disorder on Alzheimer’s disease in veterans, using the Alzheimer’s Disease Neuroimaging  Initiative. </w:t>
        </w:r>
      </w:hyperlink>
      <w:hyperlink r:id="rId47">
        <w:r>
          <w:rPr>
            <w:i/>
            <w:position w:val="0"/>
            <w:sz w:val="20"/>
            <w:sz w:val="20"/>
            <w:szCs w:val="20"/>
            <w:vertAlign w:val="baseline"/>
          </w:rPr>
          <w:t>Alzheimers Dement J Alzheimers Assoc</w:t>
        </w:r>
      </w:hyperlink>
      <w:hyperlink r:id="rId48">
        <w:r>
          <w:rPr>
            <w:position w:val="0"/>
            <w:sz w:val="20"/>
            <w:sz w:val="20"/>
            <w:szCs w:val="20"/>
            <w:vertAlign w:val="baseline"/>
          </w:rPr>
          <w:t xml:space="preserve"> 2014;10(3 Suppl):S226-235. doi:10.1016/j.jalz.2014.04.005</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49">
        <w:r>
          <w:rPr>
            <w:position w:val="0"/>
            <w:sz w:val="20"/>
            <w:sz w:val="20"/>
            <w:szCs w:val="20"/>
            <w:vertAlign w:val="baseline"/>
          </w:rPr>
          <w:t>7.</w:t>
          <w:tab/>
          <w:t xml:space="preserve">Brueggen K, Grothe MJ, Dyrba M, et al. The European DTI Study on Dementia - A multicenter DTI and MRI study on Alzheimer’s disease and Mild Cognitive Impairment. </w:t>
        </w:r>
      </w:hyperlink>
      <w:hyperlink r:id="rId50">
        <w:r>
          <w:rPr>
            <w:i/>
            <w:position w:val="0"/>
            <w:sz w:val="20"/>
            <w:sz w:val="20"/>
            <w:szCs w:val="20"/>
            <w:vertAlign w:val="baseline"/>
          </w:rPr>
          <w:t>NeuroImage</w:t>
        </w:r>
      </w:hyperlink>
      <w:hyperlink r:id="rId51">
        <w:r>
          <w:rPr>
            <w:position w:val="0"/>
            <w:sz w:val="20"/>
            <w:sz w:val="20"/>
            <w:szCs w:val="20"/>
            <w:vertAlign w:val="baseline"/>
          </w:rPr>
          <w:t xml:space="preserve"> 2017;144(Pt B):305-308. doi:10.1016/j.neuroimage.2016.03.067</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52">
        <w:r>
          <w:rPr>
            <w:position w:val="0"/>
            <w:sz w:val="20"/>
            <w:sz w:val="20"/>
            <w:szCs w:val="20"/>
            <w:vertAlign w:val="baseline"/>
          </w:rPr>
          <w:t>8.</w:t>
          <w:tab/>
          <w:t xml:space="preserve">Bos I, Vos S, Vandenberghe R, et al. The EMIF-AD Multimodal Biomarker Discovery study: design, methods and cohort characteristics. </w:t>
        </w:r>
      </w:hyperlink>
      <w:hyperlink r:id="rId53">
        <w:r>
          <w:rPr>
            <w:i/>
            <w:position w:val="0"/>
            <w:sz w:val="20"/>
            <w:sz w:val="20"/>
            <w:szCs w:val="20"/>
            <w:vertAlign w:val="baseline"/>
          </w:rPr>
          <w:t>Alzheimers Res Ther</w:t>
        </w:r>
      </w:hyperlink>
      <w:hyperlink r:id="rId54">
        <w:r>
          <w:rPr>
            <w:position w:val="0"/>
            <w:sz w:val="20"/>
            <w:sz w:val="20"/>
            <w:szCs w:val="20"/>
            <w:vertAlign w:val="baseline"/>
          </w:rPr>
          <w:t xml:space="preserve"> 2018;10(1):64. doi:10.1186/s13195-018-0396-5</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55">
        <w:r>
          <w:rPr>
            <w:position w:val="0"/>
            <w:sz w:val="20"/>
            <w:sz w:val="20"/>
            <w:szCs w:val="20"/>
            <w:vertAlign w:val="baseline"/>
          </w:rPr>
          <w:t>9.</w:t>
          <w:tab/>
          <w:t xml:space="preserve">Cavedo E, Redolfi A, Angeloni F, et al. The Italian Alzheimer’s Disease Neuroimaging Initiative (I-ADNI): validation of structural MR imaging. </w:t>
        </w:r>
      </w:hyperlink>
      <w:hyperlink r:id="rId56">
        <w:r>
          <w:rPr>
            <w:i/>
            <w:position w:val="0"/>
            <w:sz w:val="20"/>
            <w:sz w:val="20"/>
            <w:szCs w:val="20"/>
            <w:vertAlign w:val="baseline"/>
          </w:rPr>
          <w:t>J Alzheimers Dis JAD</w:t>
        </w:r>
      </w:hyperlink>
      <w:hyperlink r:id="rId57">
        <w:r>
          <w:rPr>
            <w:position w:val="0"/>
            <w:sz w:val="20"/>
            <w:sz w:val="20"/>
            <w:szCs w:val="20"/>
            <w:vertAlign w:val="baseline"/>
          </w:rPr>
          <w:t xml:space="preserve"> 2014;40(4):941-952. doi:10.3233/JAD-132666</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58">
        <w:r>
          <w:rPr>
            <w:position w:val="0"/>
            <w:sz w:val="20"/>
            <w:sz w:val="20"/>
            <w:szCs w:val="20"/>
            <w:vertAlign w:val="baseline"/>
          </w:rPr>
          <w:t>10.</w:t>
          <w:tab/>
          <w:t xml:space="preserve">Iwatsubo T. Japanese Alzheimer’s Disease Neuroimaging Initiative: present status and future. </w:t>
        </w:r>
      </w:hyperlink>
      <w:hyperlink r:id="rId59">
        <w:r>
          <w:rPr>
            <w:i/>
            <w:position w:val="0"/>
            <w:sz w:val="20"/>
            <w:sz w:val="20"/>
            <w:szCs w:val="20"/>
            <w:vertAlign w:val="baseline"/>
          </w:rPr>
          <w:t>Alzheimers Dement J Alzheimers Assoc</w:t>
        </w:r>
      </w:hyperlink>
      <w:hyperlink r:id="rId60">
        <w:r>
          <w:rPr>
            <w:position w:val="0"/>
            <w:sz w:val="20"/>
            <w:sz w:val="20"/>
            <w:szCs w:val="20"/>
            <w:vertAlign w:val="baseline"/>
          </w:rPr>
          <w:t xml:space="preserve"> 2010;6(3):297-299. doi:10.1016/j.jalz.2010.03.011</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61">
        <w:r>
          <w:rPr>
            <w:position w:val="0"/>
            <w:sz w:val="20"/>
            <w:sz w:val="20"/>
            <w:szCs w:val="20"/>
            <w:vertAlign w:val="baseline"/>
          </w:rPr>
          <w:t>11.</w:t>
          <w:tab/>
          <w:t xml:space="preserve">Galluzzi S, Marizzoni M, Babiloni C, et al. Clinical and biomarker profiling of prodromal Alzheimer’s disease in workpackage 5 of the Innovative Medicines Initiative PharmaCog project: a “European ADNI  study”. </w:t>
        </w:r>
      </w:hyperlink>
      <w:hyperlink r:id="rId62">
        <w:r>
          <w:rPr>
            <w:i/>
            <w:position w:val="0"/>
            <w:sz w:val="20"/>
            <w:sz w:val="20"/>
            <w:szCs w:val="20"/>
            <w:vertAlign w:val="baseline"/>
          </w:rPr>
          <w:t>J Intern Med</w:t>
        </w:r>
      </w:hyperlink>
      <w:hyperlink r:id="rId63">
        <w:r>
          <w:rPr>
            <w:position w:val="0"/>
            <w:sz w:val="20"/>
            <w:sz w:val="20"/>
            <w:szCs w:val="20"/>
            <w:vertAlign w:val="baseline"/>
          </w:rPr>
          <w:t xml:space="preserve"> 2016;279(6):576-591. doi:10.1111/joim.12482</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64">
        <w:r>
          <w:rPr>
            <w:position w:val="0"/>
            <w:sz w:val="20"/>
            <w:sz w:val="20"/>
            <w:szCs w:val="20"/>
            <w:vertAlign w:val="baseline"/>
          </w:rPr>
          <w:t>12.</w:t>
          <w:tab/>
          <w:t xml:space="preserve">Breitner JCS, Poirier J, Etienne PE, et al. Rationale and Structure for a New Center for Studies on Prevention of Alzheimer’s Disease (StoP-AD). </w:t>
        </w:r>
      </w:hyperlink>
      <w:hyperlink r:id="rId65">
        <w:r>
          <w:rPr>
            <w:i/>
            <w:position w:val="0"/>
            <w:sz w:val="20"/>
            <w:sz w:val="20"/>
            <w:szCs w:val="20"/>
            <w:vertAlign w:val="baseline"/>
          </w:rPr>
          <w:t>J Prev Alzheimers Dis</w:t>
        </w:r>
      </w:hyperlink>
      <w:hyperlink r:id="rId66">
        <w:r>
          <w:rPr>
            <w:position w:val="0"/>
            <w:sz w:val="20"/>
            <w:sz w:val="20"/>
            <w:szCs w:val="20"/>
            <w:vertAlign w:val="baseline"/>
          </w:rPr>
          <w:t xml:space="preserve"> 2016;3(4):236-242. doi:10.14283/jpad.2016.121</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67">
        <w:r>
          <w:rPr>
            <w:position w:val="0"/>
            <w:sz w:val="20"/>
            <w:sz w:val="20"/>
            <w:szCs w:val="20"/>
            <w:vertAlign w:val="baseline"/>
          </w:rPr>
          <w:t>13.</w:t>
          <w:tab/>
          <w:t xml:space="preserve">Fischer P, Jungwirth S, Krampla W, et al. Vienna Transdanube Aging “VITA”: study design, recruitment strategies and level of participation. </w:t>
        </w:r>
      </w:hyperlink>
      <w:hyperlink r:id="rId68">
        <w:r>
          <w:rPr>
            <w:i/>
            <w:position w:val="0"/>
            <w:sz w:val="20"/>
            <w:sz w:val="20"/>
            <w:szCs w:val="20"/>
            <w:vertAlign w:val="baseline"/>
          </w:rPr>
          <w:t>J Neural Transm Suppl</w:t>
        </w:r>
      </w:hyperlink>
      <w:hyperlink r:id="rId69">
        <w:r>
          <w:rPr>
            <w:position w:val="0"/>
            <w:sz w:val="20"/>
            <w:sz w:val="20"/>
            <w:szCs w:val="20"/>
            <w:vertAlign w:val="baseline"/>
          </w:rPr>
          <w:t xml:space="preserve"> 2002;(62):105-116. doi:10.1007/978-3-7091-6139-5_11</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70">
        <w:r>
          <w:rPr>
            <w:position w:val="0"/>
            <w:sz w:val="20"/>
            <w:sz w:val="20"/>
            <w:szCs w:val="20"/>
            <w:vertAlign w:val="baseline"/>
          </w:rPr>
          <w:t>14.</w:t>
          <w:tab/>
          <w:t>Wegner P, Balabin H, Ay MC, et al. Semantic harmonization of Alzheimer’s disease datasets using AD-Mapper. Published online October 30, 2023. doi:10.1101/2023.10.26.564134</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71">
        <w:r>
          <w:rPr>
            <w:position w:val="0"/>
            <w:sz w:val="20"/>
            <w:sz w:val="20"/>
            <w:szCs w:val="20"/>
            <w:vertAlign w:val="baseline"/>
          </w:rPr>
          <w:t>15.</w:t>
          <w:tab/>
          <w:t xml:space="preserve">Kang UJ, Goldman JG, Alcalay RN, et al. The BioFIND study: Characteristics of a clinically typical Parkinson’s disease biomarker cohort. </w:t>
        </w:r>
      </w:hyperlink>
      <w:hyperlink r:id="rId72">
        <w:r>
          <w:rPr>
            <w:i/>
            <w:position w:val="0"/>
            <w:sz w:val="20"/>
            <w:sz w:val="20"/>
            <w:szCs w:val="20"/>
            <w:vertAlign w:val="baseline"/>
          </w:rPr>
          <w:t>Mov Disord</w:t>
        </w:r>
      </w:hyperlink>
      <w:hyperlink r:id="rId73">
        <w:r>
          <w:rPr>
            <w:position w:val="0"/>
            <w:sz w:val="20"/>
            <w:sz w:val="20"/>
            <w:szCs w:val="20"/>
            <w:vertAlign w:val="baseline"/>
          </w:rPr>
          <w:t xml:space="preserve"> 2016;31(6):924-932. doi:10.1002/mds.26613</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74">
        <w:r>
          <w:rPr>
            <w:position w:val="0"/>
            <w:sz w:val="20"/>
            <w:sz w:val="20"/>
            <w:szCs w:val="20"/>
            <w:vertAlign w:val="baseline"/>
          </w:rPr>
          <w:t>16.</w:t>
          <w:tab/>
          <w:t xml:space="preserve">Pont-Sunyer C, Tolosa E, Caspell-Garcia C, et al. The prodromal phase of leucine-rich repeat kinase 2-associated Parkinson disease: Clinical and imaging Studies. </w:t>
        </w:r>
      </w:hyperlink>
      <w:hyperlink r:id="rId75">
        <w:r>
          <w:rPr>
            <w:i/>
            <w:position w:val="0"/>
            <w:sz w:val="20"/>
            <w:sz w:val="20"/>
            <w:szCs w:val="20"/>
            <w:vertAlign w:val="baseline"/>
          </w:rPr>
          <w:t>Mov Disord Off J Mov Disord Soc</w:t>
        </w:r>
      </w:hyperlink>
      <w:hyperlink r:id="rId76">
        <w:r>
          <w:rPr>
            <w:position w:val="0"/>
            <w:sz w:val="20"/>
            <w:sz w:val="20"/>
            <w:szCs w:val="20"/>
            <w:vertAlign w:val="baseline"/>
          </w:rPr>
          <w:t xml:space="preserve"> 2017;32(5):726-738. doi:10.1002/mds.26964</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77">
        <w:r>
          <w:rPr>
            <w:position w:val="0"/>
            <w:sz w:val="20"/>
            <w:sz w:val="20"/>
            <w:szCs w:val="20"/>
            <w:vertAlign w:val="baseline"/>
          </w:rPr>
          <w:t>17.</w:t>
          <w:tab/>
          <w:t xml:space="preserve">Hipp G, Vaillant M, Diederich NJ, et al. The Luxembourg Parkinson’s Study: A Comprehensive Approach for Stratification and Early Diagnosis. </w:t>
        </w:r>
      </w:hyperlink>
      <w:hyperlink r:id="rId78">
        <w:r>
          <w:rPr>
            <w:i/>
            <w:position w:val="0"/>
            <w:sz w:val="20"/>
            <w:sz w:val="20"/>
            <w:szCs w:val="20"/>
            <w:vertAlign w:val="baseline"/>
          </w:rPr>
          <w:t>Front Aging Neurosci</w:t>
        </w:r>
      </w:hyperlink>
      <w:hyperlink r:id="rId79">
        <w:r>
          <w:rPr>
            <w:position w:val="0"/>
            <w:sz w:val="20"/>
            <w:sz w:val="20"/>
            <w:szCs w:val="20"/>
            <w:vertAlign w:val="baseline"/>
          </w:rPr>
          <w:t xml:space="preserve"> 2018;10:326. doi:10.3389/fnagi.2018.00326</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80">
        <w:r>
          <w:rPr>
            <w:position w:val="0"/>
            <w:sz w:val="20"/>
            <w:sz w:val="20"/>
            <w:szCs w:val="20"/>
            <w:vertAlign w:val="baseline"/>
          </w:rPr>
          <w:t>18.</w:t>
          <w:tab/>
          <w:t>Hu M. Oxford Parkinson’s Disease Centre Discovery CohortOPDC Discovery. Published online 2017. doi:10.48532/036000</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81">
        <w:r>
          <w:rPr>
            <w:position w:val="0"/>
            <w:sz w:val="20"/>
            <w:sz w:val="20"/>
            <w:szCs w:val="20"/>
            <w:vertAlign w:val="baseline"/>
          </w:rPr>
          <w:t>19.</w:t>
          <w:tab/>
          <w:t xml:space="preserve">Verdi S, Marquand AF, Schott JM, et al. Beyond the average patient: how neuroimaging models can address heterogeneity in dementia. </w:t>
        </w:r>
      </w:hyperlink>
      <w:hyperlink r:id="rId82">
        <w:r>
          <w:rPr>
            <w:i/>
            <w:position w:val="0"/>
            <w:sz w:val="20"/>
            <w:sz w:val="20"/>
            <w:szCs w:val="20"/>
            <w:vertAlign w:val="baseline"/>
          </w:rPr>
          <w:t>Brain J Neurol</w:t>
        </w:r>
      </w:hyperlink>
      <w:hyperlink r:id="rId83">
        <w:r>
          <w:rPr>
            <w:position w:val="0"/>
            <w:sz w:val="20"/>
            <w:sz w:val="20"/>
            <w:szCs w:val="20"/>
            <w:vertAlign w:val="baseline"/>
          </w:rPr>
          <w:t xml:space="preserve"> 2021;144(10):2946-2953. doi:10.1093/brain/awab165</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84">
        <w:r>
          <w:rPr>
            <w:position w:val="0"/>
            <w:sz w:val="20"/>
            <w:sz w:val="20"/>
            <w:szCs w:val="20"/>
            <w:vertAlign w:val="baseline"/>
          </w:rPr>
          <w:t>20.</w:t>
          <w:tab/>
          <w:t xml:space="preserve">Malek N, Swallow DMA, Grosset KA, et al. Tracking Parkinson’s: Study Design and Baseline Patient Data. </w:t>
        </w:r>
      </w:hyperlink>
      <w:hyperlink r:id="rId85">
        <w:r>
          <w:rPr>
            <w:i/>
            <w:position w:val="0"/>
            <w:sz w:val="20"/>
            <w:sz w:val="20"/>
            <w:szCs w:val="20"/>
            <w:vertAlign w:val="baseline"/>
          </w:rPr>
          <w:t>J Park Dis</w:t>
        </w:r>
      </w:hyperlink>
      <w:hyperlink r:id="rId86">
        <w:r>
          <w:rPr>
            <w:position w:val="0"/>
            <w:sz w:val="20"/>
            <w:sz w:val="20"/>
            <w:szCs w:val="20"/>
            <w:vertAlign w:val="baseline"/>
          </w:rPr>
          <w:t xml:space="preserve"> 2015;5(4):947-959. doi:10.3233/JPD-150662</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87">
        <w:r>
          <w:rPr>
            <w:position w:val="0"/>
            <w:sz w:val="20"/>
            <w:sz w:val="20"/>
            <w:szCs w:val="20"/>
            <w:vertAlign w:val="baseline"/>
          </w:rPr>
          <w:t>21.</w:t>
          <w:tab/>
          <w:t>Data Standardization – OHDSI. Accessed November 28, 2023. https://www.ohdsi.org/data-standardization/</w:t>
        </w:r>
      </w:hyperlink>
    </w:p>
    <w:p>
      <w:pPr>
        <w:pStyle w:val="LOnormal"/>
        <w:keepNext w:val="false"/>
        <w:keepLines w:val="false"/>
        <w:pageBreakBefore w:val="false"/>
        <w:widowControl w:val="false"/>
        <w:shd w:val="clear" w:fill="auto"/>
        <w:spacing w:lineRule="auto" w:line="240" w:before="0" w:after="0"/>
        <w:ind w:left="264" w:right="0" w:hanging="264"/>
        <w:jc w:val="both"/>
        <w:rPr>
          <w:b/>
          <w:b/>
          <w:sz w:val="20"/>
          <w:szCs w:val="20"/>
        </w:rPr>
      </w:pPr>
      <w:hyperlink r:id="rId88">
        <w:r>
          <w:rPr>
            <w:position w:val="0"/>
            <w:sz w:val="20"/>
            <w:sz w:val="20"/>
            <w:szCs w:val="20"/>
            <w:vertAlign w:val="baseline"/>
          </w:rPr>
          <w:t>22.</w:t>
          <w:tab/>
          <w:t>Institute EB. EMBL-EBI homepage. Accessed November 28, 2023. https://www.ebi.ac.uk/</w:t>
        </w:r>
      </w:hyperlink>
    </w:p>
    <w:sectPr>
      <w:type w:val="nextPage"/>
      <w:pgSz w:w="12240" w:h="15840"/>
      <w:pgMar w:left="1440" w:right="1440" w:gutter="0" w:header="0" w:top="1440" w:footer="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Liberation Sans">
    <w:altName w:val="Arial"/>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u w:val="none"/>
      </w:rPr>
    </w:lvl>
    <w:lvl w:ilvl="1">
      <w:start w:val="1"/>
      <w:numFmt w:val="lowerLetter"/>
      <w:lvlText w:val="%2."/>
      <w:lvlJc w:val="left"/>
      <w:pPr>
        <w:tabs>
          <w:tab w:val="num" w:pos="0"/>
        </w:tabs>
        <w:ind w:left="1440" w:hanging="360"/>
      </w:pPr>
      <w:rPr>
        <w:u w:val="none"/>
      </w:rPr>
    </w:lvl>
    <w:lvl w:ilvl="2">
      <w:start w:val="1"/>
      <w:numFmt w:val="lowerRoman"/>
      <w:lvlText w:val="%3."/>
      <w:lvlJc w:val="lef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lef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left"/>
      <w:pPr>
        <w:tabs>
          <w:tab w:val="num" w:pos="0"/>
        </w:tabs>
        <w:ind w:left="6480" w:hanging="360"/>
      </w:pPr>
      <w:rPr>
        <w:u w:val="none"/>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LOnormal"/>
    <w:next w:val="LOnormal"/>
    <w:qFormat/>
    <w:pPr>
      <w:keepNext w:val="true"/>
      <w:keepLines/>
      <w:pageBreakBefore w:val="false"/>
      <w:spacing w:lineRule="auto" w:line="240" w:before="400" w:after="120"/>
    </w:pPr>
    <w:rPr>
      <w:sz w:val="40"/>
      <w:szCs w:val="40"/>
    </w:rPr>
  </w:style>
  <w:style w:type="paragraph" w:styleId="Heading2">
    <w:name w:val="Heading 2"/>
    <w:basedOn w:val="LOnormal"/>
    <w:next w:val="LOnormal"/>
    <w:qFormat/>
    <w:pPr>
      <w:keepNext w:val="true"/>
      <w:keepLines/>
      <w:pageBreakBefore w:val="false"/>
      <w:spacing w:lineRule="auto" w:line="240" w:before="360" w:after="120"/>
    </w:pPr>
    <w:rPr>
      <w:b w:val="false"/>
      <w:sz w:val="32"/>
      <w:szCs w:val="32"/>
    </w:rPr>
  </w:style>
  <w:style w:type="paragraph" w:styleId="Heading3">
    <w:name w:val="Heading 3"/>
    <w:basedOn w:val="LOnormal"/>
    <w:next w:val="LOnormal"/>
    <w:qFormat/>
    <w:pPr>
      <w:keepNext w:val="true"/>
      <w:keepLines/>
      <w:pageBreakBefore w:val="false"/>
      <w:spacing w:lineRule="auto" w:line="240" w:before="320" w:after="80"/>
    </w:pPr>
    <w:rPr>
      <w:b w:val="false"/>
      <w:color w:val="434343"/>
      <w:sz w:val="28"/>
      <w:szCs w:val="28"/>
    </w:rPr>
  </w:style>
  <w:style w:type="paragraph" w:styleId="Heading4">
    <w:name w:val="Heading 4"/>
    <w:basedOn w:val="LOnormal"/>
    <w:next w:val="LOnormal"/>
    <w:qFormat/>
    <w:pPr>
      <w:keepNext w:val="true"/>
      <w:keepLines/>
      <w:pageBreakBefore w:val="false"/>
      <w:spacing w:lineRule="auto" w:line="240" w:before="280" w:after="80"/>
    </w:pPr>
    <w:rPr>
      <w:color w:val="666666"/>
      <w:sz w:val="24"/>
      <w:szCs w:val="24"/>
    </w:rPr>
  </w:style>
  <w:style w:type="paragraph" w:styleId="Heading5">
    <w:name w:val="Heading 5"/>
    <w:basedOn w:val="LOnormal"/>
    <w:next w:val="LOnormal"/>
    <w:qFormat/>
    <w:pPr>
      <w:keepNext w:val="true"/>
      <w:keepLines/>
      <w:pageBreakBefore w:val="false"/>
      <w:spacing w:lineRule="auto" w:line="240" w:before="240" w:after="80"/>
    </w:pPr>
    <w:rPr>
      <w:color w:val="666666"/>
      <w:sz w:val="22"/>
      <w:szCs w:val="22"/>
    </w:rPr>
  </w:style>
  <w:style w:type="paragraph" w:styleId="Heading6">
    <w:name w:val="Heading 6"/>
    <w:basedOn w:val="LOnormal"/>
    <w:next w:val="LOnormal"/>
    <w:qFormat/>
    <w:pPr>
      <w:keepNext w:val="true"/>
      <w:keepLines/>
      <w:pageBreakBefore w:val="false"/>
      <w:spacing w:lineRule="auto" w:line="240" w:before="240" w:after="80"/>
    </w:pPr>
    <w:rPr>
      <w:i/>
      <w:color w:val="666666"/>
      <w:sz w:val="22"/>
      <w:szCs w:val="22"/>
    </w:rPr>
  </w:style>
  <w:style w:type="character" w:styleId="InternetLink">
    <w:name w:val="Hyperlink"/>
    <w:rPr>
      <w:color w:val="000080"/>
      <w:u w:val="single"/>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LOnormal" w:default="1">
    <w:name w:val="LO-normal"/>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LOnormal"/>
    <w:next w:val="LOnormal"/>
    <w:qFormat/>
    <w:pPr>
      <w:keepNext w:val="true"/>
      <w:keepLines/>
      <w:pageBreakBefore w:val="false"/>
      <w:spacing w:lineRule="auto" w:line="240" w:before="0" w:after="60"/>
    </w:pPr>
    <w:rPr>
      <w:sz w:val="52"/>
      <w:szCs w:val="52"/>
    </w:rPr>
  </w:style>
  <w:style w:type="paragraph" w:styleId="Subtitle">
    <w:name w:val="Subtitle"/>
    <w:basedOn w:val="LOnormal"/>
    <w:next w:val="LOnormal"/>
    <w:qFormat/>
    <w:pPr>
      <w:keepNext w:val="true"/>
      <w:keepLines/>
      <w:pageBreakBefore w:val="false"/>
      <w:spacing w:lineRule="auto" w:line="240" w:before="0" w:after="320"/>
    </w:pPr>
    <w:rPr>
      <w:rFonts w:ascii="Arial" w:hAnsi="Arial" w:eastAsia="Arial" w:cs="Arial"/>
      <w:i w:val="false"/>
      <w:color w:val="666666"/>
      <w:sz w:val="30"/>
      <w:szCs w:val="30"/>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adni.loni.usc.edu/wp-content/uploads/how_to_apply/ADNI_Acknowledgement_List.pdf" TargetMode="External"/><Relationship Id="rId3" Type="http://schemas.openxmlformats.org/officeDocument/2006/relationships/hyperlink" Target="https://humandbs.biosciencedbc.jp/en/hum0043-j-adni-authors" TargetMode="External"/><Relationship Id="rId4" Type="http://schemas.openxmlformats.org/officeDocument/2006/relationships/hyperlink" Target="https://www.arwibo.it/acknowledgments.pdf" TargetMode="External"/><Relationship Id="rId5" Type="http://schemas.openxmlformats.org/officeDocument/2006/relationships/hyperlink" Target="https://www.zotero.org/google-docs/?NVlEUE" TargetMode="External"/><Relationship Id="rId6" Type="http://schemas.openxmlformats.org/officeDocument/2006/relationships/hyperlink" Target="https://www.zotero.org/google-docs/?xFFu3y" TargetMode="External"/><Relationship Id="rId7" Type="http://schemas.openxmlformats.org/officeDocument/2006/relationships/hyperlink" Target="https://www.zotero.org/google-docs/?2fY1VR" TargetMode="External"/><Relationship Id="rId8" Type="http://schemas.openxmlformats.org/officeDocument/2006/relationships/hyperlink" Target="https://www.zotero.org/google-docs/?pYkSC0" TargetMode="External"/><Relationship Id="rId9" Type="http://schemas.openxmlformats.org/officeDocument/2006/relationships/hyperlink" Target="https://www.zotero.org/google-docs/?Bj67zr" TargetMode="External"/><Relationship Id="rId10" Type="http://schemas.openxmlformats.org/officeDocument/2006/relationships/hyperlink" Target="https://www.zotero.org/google-docs/?5GvPs7" TargetMode="External"/><Relationship Id="rId11" Type="http://schemas.openxmlformats.org/officeDocument/2006/relationships/hyperlink" Target="https://www.zotero.org/google-docs/?IcunDJ" TargetMode="External"/><Relationship Id="rId12" Type="http://schemas.openxmlformats.org/officeDocument/2006/relationships/hyperlink" Target="https://www.zotero.org/google-docs/?k1XxpV" TargetMode="External"/><Relationship Id="rId13" Type="http://schemas.openxmlformats.org/officeDocument/2006/relationships/image" Target="media/image1.png"/><Relationship Id="rId14" Type="http://schemas.openxmlformats.org/officeDocument/2006/relationships/image" Target="media/image2.png"/><Relationship Id="rId15" Type="http://schemas.openxmlformats.org/officeDocument/2006/relationships/image" Target="media/image3.png"/><Relationship Id="rId16" Type="http://schemas.openxmlformats.org/officeDocument/2006/relationships/hyperlink" Target="https://www.zotero.org/google-docs/?VPcCVW" TargetMode="External"/><Relationship Id="rId17" Type="http://schemas.openxmlformats.org/officeDocument/2006/relationships/hyperlink" Target="https://www.zotero.org/google-docs/?fdILQS" TargetMode="External"/><Relationship Id="rId18" Type="http://schemas.openxmlformats.org/officeDocument/2006/relationships/hyperlink" Target="https://www.zotero.org/google-docs/?KGoQux" TargetMode="External"/><Relationship Id="rId19" Type="http://schemas.openxmlformats.org/officeDocument/2006/relationships/hyperlink" Target="https://www.zotero.org/google-docs/?GrnH8o" TargetMode="External"/><Relationship Id="rId20" Type="http://schemas.openxmlformats.org/officeDocument/2006/relationships/hyperlink" Target="https://www.zotero.org/google-docs/?PGFZ1X" TargetMode="External"/><Relationship Id="rId21" Type="http://schemas.openxmlformats.org/officeDocument/2006/relationships/hyperlink" Target="https://www.zotero.org/google-docs/?d5LmbF" TargetMode="External"/><Relationship Id="rId22" Type="http://schemas.openxmlformats.org/officeDocument/2006/relationships/hyperlink" Target="https://www.zotero.org/google-docs/?kwndTR" TargetMode="External"/><Relationship Id="rId23" Type="http://schemas.openxmlformats.org/officeDocument/2006/relationships/hyperlink" Target="https://www.zotero.org/google-docs/?VOdqJG" TargetMode="External"/><Relationship Id="rId24" Type="http://schemas.openxmlformats.org/officeDocument/2006/relationships/hyperlink" Target="https://www.zotero.org/google-docs/?JJhoc5" TargetMode="External"/><Relationship Id="rId25" Type="http://schemas.openxmlformats.org/officeDocument/2006/relationships/hyperlink" Target="https://www.zotero.org/google-docs/?JYQ0VF" TargetMode="External"/><Relationship Id="rId26" Type="http://schemas.openxmlformats.org/officeDocument/2006/relationships/hyperlink" Target="https://www.zotero.org/google-docs/?PjpF4w" TargetMode="External"/><Relationship Id="rId27" Type="http://schemas.openxmlformats.org/officeDocument/2006/relationships/hyperlink" Target="https://www.zotero.org/google-docs/?tmPa6k" TargetMode="External"/><Relationship Id="rId28" Type="http://schemas.openxmlformats.org/officeDocument/2006/relationships/hyperlink" Target="https://www.zotero.org/google-docs/?zq1IgI" TargetMode="External"/><Relationship Id="rId29" Type="http://schemas.openxmlformats.org/officeDocument/2006/relationships/hyperlink" Target="https://www.zotero.org/google-docs/?ojz2sD" TargetMode="External"/><Relationship Id="rId30" Type="http://schemas.openxmlformats.org/officeDocument/2006/relationships/image" Target="media/image4.png"/><Relationship Id="rId31" Type="http://schemas.openxmlformats.org/officeDocument/2006/relationships/hyperlink" Target="https://www.zotero.org/google-docs/?NBI8Fg" TargetMode="External"/><Relationship Id="rId32" Type="http://schemas.openxmlformats.org/officeDocument/2006/relationships/hyperlink" Target="https://www.zotero.org/google-docs/?NBI8Fg" TargetMode="External"/><Relationship Id="rId33" Type="http://schemas.openxmlformats.org/officeDocument/2006/relationships/hyperlink" Target="https://www.zotero.org/google-docs/?NBI8Fg" TargetMode="External"/><Relationship Id="rId34" Type="http://schemas.openxmlformats.org/officeDocument/2006/relationships/hyperlink" Target="https://www.zotero.org/google-docs/?NBI8Fg" TargetMode="External"/><Relationship Id="rId35" Type="http://schemas.openxmlformats.org/officeDocument/2006/relationships/hyperlink" Target="https://www.zotero.org/google-docs/?NBI8Fg" TargetMode="External"/><Relationship Id="rId36" Type="http://schemas.openxmlformats.org/officeDocument/2006/relationships/hyperlink" Target="https://www.zotero.org/google-docs/?NBI8Fg" TargetMode="External"/><Relationship Id="rId37" Type="http://schemas.openxmlformats.org/officeDocument/2006/relationships/hyperlink" Target="https://www.zotero.org/google-docs/?NBI8Fg" TargetMode="External"/><Relationship Id="rId38" Type="http://schemas.openxmlformats.org/officeDocument/2006/relationships/hyperlink" Target="https://www.zotero.org/google-docs/?NBI8Fg" TargetMode="External"/><Relationship Id="rId39" Type="http://schemas.openxmlformats.org/officeDocument/2006/relationships/hyperlink" Target="https://www.zotero.org/google-docs/?NBI8Fg" TargetMode="External"/><Relationship Id="rId40" Type="http://schemas.openxmlformats.org/officeDocument/2006/relationships/hyperlink" Target="https://www.zotero.org/google-docs/?NBI8Fg" TargetMode="External"/><Relationship Id="rId41" Type="http://schemas.openxmlformats.org/officeDocument/2006/relationships/hyperlink" Target="https://www.zotero.org/google-docs/?NBI8Fg" TargetMode="External"/><Relationship Id="rId42" Type="http://schemas.openxmlformats.org/officeDocument/2006/relationships/hyperlink" Target="https://www.zotero.org/google-docs/?NBI8Fg" TargetMode="External"/><Relationship Id="rId43" Type="http://schemas.openxmlformats.org/officeDocument/2006/relationships/hyperlink" Target="https://www.zotero.org/google-docs/?NBI8Fg" TargetMode="External"/><Relationship Id="rId44" Type="http://schemas.openxmlformats.org/officeDocument/2006/relationships/hyperlink" Target="https://www.zotero.org/google-docs/?NBI8Fg" TargetMode="External"/><Relationship Id="rId45" Type="http://schemas.openxmlformats.org/officeDocument/2006/relationships/hyperlink" Target="https://www.zotero.org/google-docs/?NBI8Fg" TargetMode="External"/><Relationship Id="rId46" Type="http://schemas.openxmlformats.org/officeDocument/2006/relationships/hyperlink" Target="https://www.zotero.org/google-docs/?NBI8Fg" TargetMode="External"/><Relationship Id="rId47" Type="http://schemas.openxmlformats.org/officeDocument/2006/relationships/hyperlink" Target="https://www.zotero.org/google-docs/?NBI8Fg" TargetMode="External"/><Relationship Id="rId48" Type="http://schemas.openxmlformats.org/officeDocument/2006/relationships/hyperlink" Target="https://www.zotero.org/google-docs/?NBI8Fg" TargetMode="External"/><Relationship Id="rId49" Type="http://schemas.openxmlformats.org/officeDocument/2006/relationships/hyperlink" Target="https://www.zotero.org/google-docs/?NBI8Fg" TargetMode="External"/><Relationship Id="rId50" Type="http://schemas.openxmlformats.org/officeDocument/2006/relationships/hyperlink" Target="https://www.zotero.org/google-docs/?NBI8Fg" TargetMode="External"/><Relationship Id="rId51" Type="http://schemas.openxmlformats.org/officeDocument/2006/relationships/hyperlink" Target="https://www.zotero.org/google-docs/?NBI8Fg" TargetMode="External"/><Relationship Id="rId52" Type="http://schemas.openxmlformats.org/officeDocument/2006/relationships/hyperlink" Target="https://www.zotero.org/google-docs/?NBI8Fg" TargetMode="External"/><Relationship Id="rId53" Type="http://schemas.openxmlformats.org/officeDocument/2006/relationships/hyperlink" Target="https://www.zotero.org/google-docs/?NBI8Fg" TargetMode="External"/><Relationship Id="rId54" Type="http://schemas.openxmlformats.org/officeDocument/2006/relationships/hyperlink" Target="https://www.zotero.org/google-docs/?NBI8Fg" TargetMode="External"/><Relationship Id="rId55" Type="http://schemas.openxmlformats.org/officeDocument/2006/relationships/hyperlink" Target="https://www.zotero.org/google-docs/?NBI8Fg" TargetMode="External"/><Relationship Id="rId56" Type="http://schemas.openxmlformats.org/officeDocument/2006/relationships/hyperlink" Target="https://www.zotero.org/google-docs/?NBI8Fg" TargetMode="External"/><Relationship Id="rId57" Type="http://schemas.openxmlformats.org/officeDocument/2006/relationships/hyperlink" Target="https://www.zotero.org/google-docs/?NBI8Fg" TargetMode="External"/><Relationship Id="rId58" Type="http://schemas.openxmlformats.org/officeDocument/2006/relationships/hyperlink" Target="https://www.zotero.org/google-docs/?NBI8Fg" TargetMode="External"/><Relationship Id="rId59" Type="http://schemas.openxmlformats.org/officeDocument/2006/relationships/hyperlink" Target="https://www.zotero.org/google-docs/?NBI8Fg" TargetMode="External"/><Relationship Id="rId60" Type="http://schemas.openxmlformats.org/officeDocument/2006/relationships/hyperlink" Target="https://www.zotero.org/google-docs/?NBI8Fg" TargetMode="External"/><Relationship Id="rId61" Type="http://schemas.openxmlformats.org/officeDocument/2006/relationships/hyperlink" Target="https://www.zotero.org/google-docs/?NBI8Fg" TargetMode="External"/><Relationship Id="rId62" Type="http://schemas.openxmlformats.org/officeDocument/2006/relationships/hyperlink" Target="https://www.zotero.org/google-docs/?NBI8Fg" TargetMode="External"/><Relationship Id="rId63" Type="http://schemas.openxmlformats.org/officeDocument/2006/relationships/hyperlink" Target="https://www.zotero.org/google-docs/?NBI8Fg" TargetMode="External"/><Relationship Id="rId64" Type="http://schemas.openxmlformats.org/officeDocument/2006/relationships/hyperlink" Target="https://www.zotero.org/google-docs/?NBI8Fg" TargetMode="External"/><Relationship Id="rId65" Type="http://schemas.openxmlformats.org/officeDocument/2006/relationships/hyperlink" Target="https://www.zotero.org/google-docs/?NBI8Fg" TargetMode="External"/><Relationship Id="rId66" Type="http://schemas.openxmlformats.org/officeDocument/2006/relationships/hyperlink" Target="https://www.zotero.org/google-docs/?NBI8Fg" TargetMode="External"/><Relationship Id="rId67" Type="http://schemas.openxmlformats.org/officeDocument/2006/relationships/hyperlink" Target="https://www.zotero.org/google-docs/?NBI8Fg" TargetMode="External"/><Relationship Id="rId68" Type="http://schemas.openxmlformats.org/officeDocument/2006/relationships/hyperlink" Target="https://www.zotero.org/google-docs/?NBI8Fg" TargetMode="External"/><Relationship Id="rId69" Type="http://schemas.openxmlformats.org/officeDocument/2006/relationships/hyperlink" Target="https://www.zotero.org/google-docs/?NBI8Fg" TargetMode="External"/><Relationship Id="rId70" Type="http://schemas.openxmlformats.org/officeDocument/2006/relationships/hyperlink" Target="https://www.zotero.org/google-docs/?NBI8Fg" TargetMode="External"/><Relationship Id="rId71" Type="http://schemas.openxmlformats.org/officeDocument/2006/relationships/hyperlink" Target="https://www.zotero.org/google-docs/?NBI8Fg" TargetMode="External"/><Relationship Id="rId72" Type="http://schemas.openxmlformats.org/officeDocument/2006/relationships/hyperlink" Target="https://www.zotero.org/google-docs/?NBI8Fg" TargetMode="External"/><Relationship Id="rId73" Type="http://schemas.openxmlformats.org/officeDocument/2006/relationships/hyperlink" Target="https://www.zotero.org/google-docs/?NBI8Fg" TargetMode="External"/><Relationship Id="rId74" Type="http://schemas.openxmlformats.org/officeDocument/2006/relationships/hyperlink" Target="https://www.zotero.org/google-docs/?NBI8Fg" TargetMode="External"/><Relationship Id="rId75" Type="http://schemas.openxmlformats.org/officeDocument/2006/relationships/hyperlink" Target="https://www.zotero.org/google-docs/?NBI8Fg" TargetMode="External"/><Relationship Id="rId76" Type="http://schemas.openxmlformats.org/officeDocument/2006/relationships/hyperlink" Target="https://www.zotero.org/google-docs/?NBI8Fg" TargetMode="External"/><Relationship Id="rId77" Type="http://schemas.openxmlformats.org/officeDocument/2006/relationships/hyperlink" Target="https://www.zotero.org/google-docs/?NBI8Fg" TargetMode="External"/><Relationship Id="rId78" Type="http://schemas.openxmlformats.org/officeDocument/2006/relationships/hyperlink" Target="https://www.zotero.org/google-docs/?NBI8Fg" TargetMode="External"/><Relationship Id="rId79" Type="http://schemas.openxmlformats.org/officeDocument/2006/relationships/hyperlink" Target="https://www.zotero.org/google-docs/?NBI8Fg" TargetMode="External"/><Relationship Id="rId80" Type="http://schemas.openxmlformats.org/officeDocument/2006/relationships/hyperlink" Target="https://www.zotero.org/google-docs/?NBI8Fg" TargetMode="External"/><Relationship Id="rId81" Type="http://schemas.openxmlformats.org/officeDocument/2006/relationships/hyperlink" Target="https://www.zotero.org/google-docs/?NBI8Fg" TargetMode="External"/><Relationship Id="rId82" Type="http://schemas.openxmlformats.org/officeDocument/2006/relationships/hyperlink" Target="https://www.zotero.org/google-docs/?NBI8Fg" TargetMode="External"/><Relationship Id="rId83" Type="http://schemas.openxmlformats.org/officeDocument/2006/relationships/hyperlink" Target="https://www.zotero.org/google-docs/?NBI8Fg" TargetMode="External"/><Relationship Id="rId84" Type="http://schemas.openxmlformats.org/officeDocument/2006/relationships/hyperlink" Target="https://www.zotero.org/google-docs/?NBI8Fg" TargetMode="External"/><Relationship Id="rId85" Type="http://schemas.openxmlformats.org/officeDocument/2006/relationships/hyperlink" Target="https://www.zotero.org/google-docs/?NBI8Fg" TargetMode="External"/><Relationship Id="rId86" Type="http://schemas.openxmlformats.org/officeDocument/2006/relationships/hyperlink" Target="https://www.zotero.org/google-docs/?NBI8Fg" TargetMode="External"/><Relationship Id="rId87" Type="http://schemas.openxmlformats.org/officeDocument/2006/relationships/hyperlink" Target="https://www.zotero.org/google-docs/?NBI8Fg" TargetMode="External"/><Relationship Id="rId88" Type="http://schemas.openxmlformats.org/officeDocument/2006/relationships/hyperlink" Target="https://www.zotero.org/google-docs/?NBI8Fg" TargetMode="External"/><Relationship Id="rId89" Type="http://schemas.openxmlformats.org/officeDocument/2006/relationships/numbering" Target="numbering.xml"/><Relationship Id="rId90" Type="http://schemas.openxmlformats.org/officeDocument/2006/relationships/fontTable" Target="fontTable.xml"/><Relationship Id="rId91" Type="http://schemas.openxmlformats.org/officeDocument/2006/relationships/settings" Target="settings.xml"/><Relationship Id="rId92"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7</TotalTime>
  <Application>LibreOffice/7.3.7.2$Linux_X86_64 LibreOffice_project/30$Build-2</Application>
  <AppVersion>15.0000</AppVersion>
  <Pages>13</Pages>
  <Words>2796</Words>
  <Characters>15845</Characters>
  <CharactersWithSpaces>17602</CharactersWithSpaces>
  <Paragraphs>1045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2024-03-14T17:04:07Z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