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E201E9C" w14:textId="77777777" w:rsidR="008F5F5E" w:rsidRDefault="008F5F5E" w:rsidP="008F5F5E"/>
    <w:p w14:paraId="0142FE33" w14:textId="77777777" w:rsidR="008F5F5E" w:rsidRDefault="008F5F5E" w:rsidP="008F5F5E">
      <w:r>
        <w:rPr>
          <w:noProof/>
          <w:lang w:eastAsia="en-CA"/>
        </w:rPr>
        <mc:AlternateContent>
          <mc:Choice Requires="wps">
            <w:drawing>
              <wp:anchor distT="45720" distB="45720" distL="114300" distR="114300" simplePos="0" relativeHeight="251662336" behindDoc="1" locked="0" layoutInCell="1" allowOverlap="1" wp14:anchorId="694D58CE" wp14:editId="5754C4CA">
                <wp:simplePos x="0" y="0"/>
                <wp:positionH relativeFrom="column">
                  <wp:posOffset>66675</wp:posOffset>
                </wp:positionH>
                <wp:positionV relativeFrom="paragraph">
                  <wp:posOffset>0</wp:posOffset>
                </wp:positionV>
                <wp:extent cx="370800" cy="259200"/>
                <wp:effectExtent l="0" t="0" r="0" b="7620"/>
                <wp:wrapSquare wrapText="bothSides"/>
                <wp:docPr id="10" name="Text Box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70800" cy="259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F80DD2F" w14:textId="77777777" w:rsidR="008F5F5E" w:rsidRPr="00D179A3" w:rsidRDefault="008F5F5E" w:rsidP="008F5F5E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95D5A3A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5.25pt;margin-top:0;width:29.2pt;height:20.4pt;z-index:-2516541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" stroked="f">
                <o:lock v:ext="edit" aspectratio="t"/>
                <v:textbox>
                  <w:txbxContent>
                    <w:p w:rsidR="008F5F5E" w:rsidRPr="00D179A3" w:rsidRDefault="008F5F5E" w:rsidP="008F5F5E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EE0BC9">
        <w:rPr>
          <w:noProof/>
          <w:lang w:eastAsia="en-CA"/>
        </w:rPr>
        <w:drawing>
          <wp:anchor distT="0" distB="0" distL="114300" distR="114300" simplePos="0" relativeHeight="251661312" behindDoc="1" locked="0" layoutInCell="1" allowOverlap="1" wp14:anchorId="6A0E64D4" wp14:editId="453F04FD">
            <wp:simplePos x="0" y="0"/>
            <wp:positionH relativeFrom="column">
              <wp:posOffset>0</wp:posOffset>
            </wp:positionH>
            <wp:positionV relativeFrom="paragraph">
              <wp:posOffset>-114300</wp:posOffset>
            </wp:positionV>
            <wp:extent cx="5943600" cy="2800350"/>
            <wp:effectExtent l="0" t="0" r="0" b="0"/>
            <wp:wrapNone/>
            <wp:docPr id="6" name="Chart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  <wp14:sizeRelV relativeFrom="margin">
              <wp14:pctHeight>0</wp14:pctHeight>
            </wp14:sizeRelV>
          </wp:anchor>
        </w:drawing>
      </w:r>
      <w:r>
        <w:rPr>
          <w:noProof/>
          <w:lang w:eastAsia="en-CA"/>
        </w:rPr>
        <mc:AlternateContent>
          <mc:Choice Requires="wps">
            <w:drawing>
              <wp:anchor distT="45720" distB="45720" distL="114300" distR="114300" simplePos="0" relativeHeight="251659264" behindDoc="1" locked="0" layoutInCell="1" allowOverlap="1" wp14:anchorId="1DAF2DF0" wp14:editId="6482035D">
                <wp:simplePos x="0" y="0"/>
                <wp:positionH relativeFrom="column">
                  <wp:posOffset>66675</wp:posOffset>
                </wp:positionH>
                <wp:positionV relativeFrom="paragraph">
                  <wp:posOffset>2105025</wp:posOffset>
                </wp:positionV>
                <wp:extent cx="370800" cy="259200"/>
                <wp:effectExtent l="0" t="0" r="0" b="7620"/>
                <wp:wrapSquare wrapText="bothSides"/>
                <wp:docPr id="217" name="Text Box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70800" cy="259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8A38FA7" w14:textId="77777777" w:rsidR="008F5F5E" w:rsidRPr="00D179A3" w:rsidRDefault="008F5F5E" w:rsidP="008F5F5E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A71A03" id="_x0000_s1027" type="#_x0000_t202" style="position:absolute;margin-left:5.25pt;margin-top:165.75pt;width:29.2pt;height:20.4pt;z-index:-2516572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" stroked="f">
                <o:lock v:ext="edit" aspectratio="t"/>
                <v:textbox>
                  <w:txbxContent>
                    <w:p w:rsidR="008F5F5E" w:rsidRPr="00D179A3" w:rsidRDefault="008F5F5E" w:rsidP="008F5F5E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B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4B0F73">
        <w:rPr>
          <w:noProof/>
          <w:lang w:eastAsia="en-CA"/>
        </w:rPr>
        <w:drawing>
          <wp:inline distT="0" distB="0" distL="0" distR="0" wp14:anchorId="6AC7E2F2" wp14:editId="115A47CA">
            <wp:extent cx="5943600" cy="3097530"/>
            <wp:effectExtent l="0" t="0" r="0" b="7620"/>
            <wp:docPr id="3" name="Chart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14:paraId="021E8E7F" w14:textId="5516FFCC" w:rsidR="0066686A" w:rsidRDefault="005423C6">
      <w:r>
        <w:t>Fig. S2.</w:t>
      </w:r>
      <w:bookmarkStart w:id="0" w:name="_GoBack"/>
      <w:bookmarkEnd w:id="0"/>
    </w:p>
    <w:sectPr w:rsidR="0066686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5F5E"/>
    <w:rsid w:val="00142BBD"/>
    <w:rsid w:val="002F4D26"/>
    <w:rsid w:val="003A3D90"/>
    <w:rsid w:val="005423C6"/>
    <w:rsid w:val="00650ED3"/>
    <w:rsid w:val="008A5968"/>
    <w:rsid w:val="008F5F5E"/>
    <w:rsid w:val="00A22A55"/>
    <w:rsid w:val="00C35F1A"/>
    <w:rsid w:val="00D27DC3"/>
    <w:rsid w:val="00E12025"/>
    <w:rsid w:val="00F45F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C8F827"/>
  <w15:chartTrackingRefBased/>
  <w15:docId w15:val="{6D36B0EE-27A0-49D1-B58F-3C993D3173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8F5F5E"/>
    <w:rPr>
      <w:rFonts w:eastAsia="SimSun"/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423C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23C6"/>
    <w:rPr>
      <w:rFonts w:ascii="Segoe UI" w:eastAsia="SimSun" w:hAnsi="Segoe UI" w:cs="Segoe UI"/>
      <w:sz w:val="18"/>
      <w:szCs w:val="18"/>
      <w:lang w:val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hart" Target="charts/chart2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Andrew\Downloads\Table%20for%20Bruce.xls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Andrew\Downloads\Table%20for%20Bruce.xls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39"/>
    </mc:Choice>
    <mc:Fallback>
      <c:style val="39"/>
    </mc:Fallback>
  </mc:AlternateContent>
  <c:chart>
    <c:autoTitleDeleted val="1"/>
    <c:plotArea>
      <c:layout>
        <c:manualLayout>
          <c:layoutTarget val="inner"/>
          <c:xMode val="edge"/>
          <c:yMode val="edge"/>
          <c:x val="9.2957803351504137E-2"/>
          <c:y val="0.1539152445801926"/>
          <c:w val="0.80150386912842786"/>
          <c:h val="0.53540953288312265"/>
        </c:manualLayout>
      </c:layout>
      <c:barChart>
        <c:barDir val="col"/>
        <c:grouping val="clustered"/>
        <c:varyColors val="0"/>
        <c:ser>
          <c:idx val="1"/>
          <c:order val="0"/>
          <c:tx>
            <c:v>Untreated</c:v>
          </c:tx>
          <c:spPr>
            <a:solidFill>
              <a:schemeClr val="bg1"/>
            </a:solidFill>
            <a:ln w="12700">
              <a:solidFill>
                <a:schemeClr val="tx1"/>
              </a:solidFill>
            </a:ln>
          </c:spPr>
          <c:invertIfNegative val="0"/>
          <c:cat>
            <c:strRef>
              <c:f>Sheet5!$A$2:$A$10</c:f>
              <c:strCache>
                <c:ptCount val="9"/>
                <c:pt idx="0">
                  <c:v>3461</c:v>
                </c:pt>
                <c:pt idx="1">
                  <c:v>3481</c:v>
                </c:pt>
                <c:pt idx="2">
                  <c:v>3490</c:v>
                </c:pt>
                <c:pt idx="3">
                  <c:v>3531</c:v>
                </c:pt>
                <c:pt idx="4">
                  <c:v>Lonto</c:v>
                </c:pt>
                <c:pt idx="5">
                  <c:v>3466</c:v>
                </c:pt>
                <c:pt idx="6">
                  <c:v>Prominent</c:v>
                </c:pt>
                <c:pt idx="7">
                  <c:v>3483</c:v>
                </c:pt>
                <c:pt idx="8">
                  <c:v>3376</c:v>
                </c:pt>
              </c:strCache>
            </c:strRef>
          </c:cat>
          <c:val>
            <c:numRef>
              <c:f>Sheet5!$J$2:$J$10</c:f>
              <c:numCache>
                <c:formatCode>0.00</c:formatCode>
                <c:ptCount val="9"/>
                <c:pt idx="0">
                  <c:v>100</c:v>
                </c:pt>
                <c:pt idx="1">
                  <c:v>100</c:v>
                </c:pt>
                <c:pt idx="2">
                  <c:v>99.676100000000005</c:v>
                </c:pt>
                <c:pt idx="3">
                  <c:v>99.676100000000005</c:v>
                </c:pt>
                <c:pt idx="4">
                  <c:v>96.667500000000004</c:v>
                </c:pt>
                <c:pt idx="5">
                  <c:v>95.4328</c:v>
                </c:pt>
                <c:pt idx="6">
                  <c:v>92.269400000000005</c:v>
                </c:pt>
                <c:pt idx="7">
                  <c:v>90.832499999999996</c:v>
                </c:pt>
                <c:pt idx="8">
                  <c:v>88.334999999999994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A93C-40F7-A3E9-1094B76154C9}"/>
            </c:ext>
          </c:extLst>
        </c:ser>
        <c:ser>
          <c:idx val="0"/>
          <c:order val="1"/>
          <c:tx>
            <c:v>Treated</c:v>
          </c:tx>
          <c:spPr>
            <a:pattFill prst="wdUpDiag">
              <a:fgClr>
                <a:schemeClr val="tx1"/>
              </a:fgClr>
              <a:bgClr>
                <a:schemeClr val="bg1"/>
              </a:bgClr>
            </a:pattFill>
            <a:ln w="12700">
              <a:solidFill>
                <a:schemeClr val="tx1"/>
              </a:solidFill>
            </a:ln>
          </c:spPr>
          <c:invertIfNegative val="0"/>
          <c:cat>
            <c:strRef>
              <c:f>Sheet5!$A$2:$A$10</c:f>
              <c:strCache>
                <c:ptCount val="9"/>
                <c:pt idx="0">
                  <c:v>3461</c:v>
                </c:pt>
                <c:pt idx="1">
                  <c:v>3481</c:v>
                </c:pt>
                <c:pt idx="2">
                  <c:v>3490</c:v>
                </c:pt>
                <c:pt idx="3">
                  <c:v>3531</c:v>
                </c:pt>
                <c:pt idx="4">
                  <c:v>Lonto</c:v>
                </c:pt>
                <c:pt idx="5">
                  <c:v>3466</c:v>
                </c:pt>
                <c:pt idx="6">
                  <c:v>Prominent</c:v>
                </c:pt>
                <c:pt idx="7">
                  <c:v>3483</c:v>
                </c:pt>
                <c:pt idx="8">
                  <c:v>3376</c:v>
                </c:pt>
              </c:strCache>
            </c:strRef>
          </c:cat>
          <c:val>
            <c:numRef>
              <c:f>Sheet5!$I$2:$I$10</c:f>
              <c:numCache>
                <c:formatCode>0.00</c:formatCode>
                <c:ptCount val="9"/>
                <c:pt idx="0">
                  <c:v>98.332499999999996</c:v>
                </c:pt>
                <c:pt idx="1">
                  <c:v>98.570700000000002</c:v>
                </c:pt>
                <c:pt idx="2">
                  <c:v>88.599199999999996</c:v>
                </c:pt>
                <c:pt idx="3">
                  <c:v>92.5625</c:v>
                </c:pt>
                <c:pt idx="4">
                  <c:v>99.167500000000004</c:v>
                </c:pt>
                <c:pt idx="5">
                  <c:v>71.525499999999994</c:v>
                </c:pt>
                <c:pt idx="6">
                  <c:v>91.082499999999996</c:v>
                </c:pt>
                <c:pt idx="7">
                  <c:v>89.844499999999996</c:v>
                </c:pt>
                <c:pt idx="8">
                  <c:v>96.875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A93C-40F7-A3E9-1094B76154C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972093760"/>
        <c:axId val="972087232"/>
      </c:barChart>
      <c:catAx>
        <c:axId val="972093760"/>
        <c:scaling>
          <c:orientation val="minMax"/>
        </c:scaling>
        <c:delete val="0"/>
        <c:axPos val="b"/>
        <c:numFmt formatCode="@" sourceLinked="0"/>
        <c:majorTickMark val="none"/>
        <c:minorTickMark val="none"/>
        <c:tickLblPos val="nextTo"/>
        <c:txPr>
          <a:bodyPr/>
          <a:lstStyle/>
          <a:p>
            <a:pPr>
              <a:defRPr sz="1200"/>
            </a:pPr>
            <a:endParaRPr lang="en-US"/>
          </a:p>
        </c:txPr>
        <c:crossAx val="972087232"/>
        <c:crosses val="autoZero"/>
        <c:auto val="1"/>
        <c:lblAlgn val="ctr"/>
        <c:lblOffset val="100"/>
        <c:noMultiLvlLbl val="0"/>
      </c:catAx>
      <c:valAx>
        <c:axId val="972087232"/>
        <c:scaling>
          <c:orientation val="minMax"/>
          <c:max val="100"/>
          <c:min val="0"/>
        </c:scaling>
        <c:delete val="0"/>
        <c:axPos val="l"/>
        <c:majorGridlines>
          <c:spPr>
            <a:ln>
              <a:noFill/>
            </a:ln>
          </c:spPr>
        </c:majorGridlines>
        <c:title>
          <c:tx>
            <c:rich>
              <a:bodyPr/>
              <a:lstStyle/>
              <a:p>
                <a:pPr>
                  <a:defRPr sz="1600"/>
                </a:pPr>
                <a:r>
                  <a:rPr lang="en-US" sz="1600"/>
                  <a:t>DSI</a:t>
                </a:r>
                <a:r>
                  <a:rPr lang="en-US" sz="1600" baseline="0"/>
                  <a:t> </a:t>
                </a:r>
                <a:endParaRPr lang="en-US" sz="1600"/>
              </a:p>
            </c:rich>
          </c:tx>
          <c:overlay val="0"/>
        </c:title>
        <c:numFmt formatCode="0" sourceLinked="0"/>
        <c:majorTickMark val="out"/>
        <c:minorTickMark val="out"/>
        <c:tickLblPos val="nextTo"/>
        <c:spPr>
          <a:ln/>
        </c:spPr>
        <c:txPr>
          <a:bodyPr/>
          <a:lstStyle/>
          <a:p>
            <a:pPr>
              <a:defRPr sz="1200"/>
            </a:pPr>
            <a:endParaRPr lang="en-US"/>
          </a:p>
        </c:txPr>
        <c:crossAx val="972093760"/>
        <c:crosses val="autoZero"/>
        <c:crossBetween val="between"/>
        <c:majorUnit val="20"/>
        <c:minorUnit val="10"/>
      </c:valAx>
      <c:spPr>
        <a:noFill/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39"/>
    </mc:Choice>
    <mc:Fallback>
      <c:style val="39"/>
    </mc:Fallback>
  </mc:AlternateContent>
  <c:chart>
    <c:autoTitleDeleted val="1"/>
    <c:plotArea>
      <c:layout>
        <c:manualLayout>
          <c:layoutTarget val="inner"/>
          <c:xMode val="edge"/>
          <c:yMode val="edge"/>
          <c:x val="9.9371761222154922E-2"/>
          <c:y val="3.0032961746940305E-2"/>
          <c:w val="0.87859008008614303"/>
          <c:h val="0.57266886842096765"/>
        </c:manualLayout>
      </c:layout>
      <c:barChart>
        <c:barDir val="col"/>
        <c:grouping val="clustered"/>
        <c:varyColors val="0"/>
        <c:ser>
          <c:idx val="1"/>
          <c:order val="0"/>
          <c:tx>
            <c:v>Untreated</c:v>
          </c:tx>
          <c:spPr>
            <a:solidFill>
              <a:schemeClr val="bg1"/>
            </a:solidFill>
            <a:ln w="12700">
              <a:solidFill>
                <a:schemeClr val="tx1"/>
              </a:solidFill>
            </a:ln>
          </c:spPr>
          <c:invertIfNegative val="0"/>
          <c:cat>
            <c:strRef>
              <c:f>Sheet5!$A$11:$A$20</c:f>
              <c:strCache>
                <c:ptCount val="10"/>
                <c:pt idx="0">
                  <c:v>Jumbo</c:v>
                </c:pt>
                <c:pt idx="1">
                  <c:v>Ghobi</c:v>
                </c:pt>
                <c:pt idx="2">
                  <c:v>GhobiSaronCN_101868</c:v>
                </c:pt>
                <c:pt idx="3">
                  <c:v>Peace</c:v>
                </c:pt>
                <c:pt idx="4">
                  <c:v>R_3420</c:v>
                </c:pt>
                <c:pt idx="5">
                  <c:v>GhobiSaronCN_101869</c:v>
                </c:pt>
                <c:pt idx="6">
                  <c:v>UC77_1047</c:v>
                </c:pt>
                <c:pt idx="7">
                  <c:v>UC77_1251</c:v>
                </c:pt>
                <c:pt idx="8">
                  <c:v>PAK_85903</c:v>
                </c:pt>
                <c:pt idx="9">
                  <c:v>Nevin</c:v>
                </c:pt>
              </c:strCache>
            </c:strRef>
          </c:cat>
          <c:val>
            <c:numRef>
              <c:f>Sheet5!$J$13:$J$22</c:f>
              <c:numCache>
                <c:formatCode>0.00</c:formatCode>
                <c:ptCount val="10"/>
                <c:pt idx="0">
                  <c:v>97.206100000000006</c:v>
                </c:pt>
                <c:pt idx="1">
                  <c:v>87.216899999999995</c:v>
                </c:pt>
                <c:pt idx="2">
                  <c:v>85.927499999999995</c:v>
                </c:pt>
                <c:pt idx="3">
                  <c:v>80.605000000000004</c:v>
                </c:pt>
                <c:pt idx="4">
                  <c:v>76.482900000000001</c:v>
                </c:pt>
                <c:pt idx="5">
                  <c:v>72.09</c:v>
                </c:pt>
                <c:pt idx="6">
                  <c:v>67.122500000000002</c:v>
                </c:pt>
                <c:pt idx="7">
                  <c:v>66.980800000000002</c:v>
                </c:pt>
                <c:pt idx="8">
                  <c:v>54.905000000000001</c:v>
                </c:pt>
                <c:pt idx="9">
                  <c:v>48.085000000000001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AC9-4E8E-A262-771E71DE4B7C}"/>
            </c:ext>
          </c:extLst>
        </c:ser>
        <c:ser>
          <c:idx val="0"/>
          <c:order val="1"/>
          <c:tx>
            <c:v>Treated</c:v>
          </c:tx>
          <c:spPr>
            <a:pattFill prst="wdUpDiag">
              <a:fgClr>
                <a:schemeClr val="tx1"/>
              </a:fgClr>
              <a:bgClr>
                <a:schemeClr val="bg1"/>
              </a:bgClr>
            </a:pattFill>
            <a:ln w="12700">
              <a:solidFill>
                <a:schemeClr val="tx1"/>
              </a:solidFill>
            </a:ln>
          </c:spPr>
          <c:invertIfNegative val="0"/>
          <c:cat>
            <c:strRef>
              <c:f>Sheet5!$A$11:$A$20</c:f>
              <c:strCache>
                <c:ptCount val="10"/>
                <c:pt idx="0">
                  <c:v>Jumbo</c:v>
                </c:pt>
                <c:pt idx="1">
                  <c:v>Ghobi</c:v>
                </c:pt>
                <c:pt idx="2">
                  <c:v>GhobiSaronCN_101868</c:v>
                </c:pt>
                <c:pt idx="3">
                  <c:v>Peace</c:v>
                </c:pt>
                <c:pt idx="4">
                  <c:v>R_3420</c:v>
                </c:pt>
                <c:pt idx="5">
                  <c:v>GhobiSaronCN_101869</c:v>
                </c:pt>
                <c:pt idx="6">
                  <c:v>UC77_1047</c:v>
                </c:pt>
                <c:pt idx="7">
                  <c:v>UC77_1251</c:v>
                </c:pt>
                <c:pt idx="8">
                  <c:v>PAK_85903</c:v>
                </c:pt>
                <c:pt idx="9">
                  <c:v>Nevin</c:v>
                </c:pt>
              </c:strCache>
            </c:strRef>
          </c:cat>
          <c:val>
            <c:numRef>
              <c:f>Sheet5!$I$13:$I$22</c:f>
              <c:numCache>
                <c:formatCode>0.00</c:formatCode>
                <c:ptCount val="10"/>
                <c:pt idx="0">
                  <c:v>56.204999999999998</c:v>
                </c:pt>
                <c:pt idx="1">
                  <c:v>37.247799999999998</c:v>
                </c:pt>
                <c:pt idx="2">
                  <c:v>63.604999999999997</c:v>
                </c:pt>
                <c:pt idx="3">
                  <c:v>83.568899999999999</c:v>
                </c:pt>
                <c:pt idx="4">
                  <c:v>33.895800000000001</c:v>
                </c:pt>
                <c:pt idx="5">
                  <c:v>46.365000000000002</c:v>
                </c:pt>
                <c:pt idx="6">
                  <c:v>68.2423</c:v>
                </c:pt>
                <c:pt idx="7">
                  <c:v>8.0640999999999998</c:v>
                </c:pt>
                <c:pt idx="8">
                  <c:v>17.88</c:v>
                </c:pt>
                <c:pt idx="9">
                  <c:v>42.5578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6AC9-4E8E-A262-771E71DE4B7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059623776"/>
        <c:axId val="1059617792"/>
      </c:barChart>
      <c:catAx>
        <c:axId val="1059623776"/>
        <c:scaling>
          <c:orientation val="minMax"/>
        </c:scaling>
        <c:delete val="0"/>
        <c:axPos val="b"/>
        <c:numFmt formatCode="@" sourceLinked="0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Arial" panose="020B0604020202020204" pitchFamily="34" charset="0"/>
                <a:cs typeface="Arial" panose="020B0604020202020204" pitchFamily="34" charset="0"/>
              </a:defRPr>
            </a:pPr>
            <a:endParaRPr lang="en-US"/>
          </a:p>
        </c:txPr>
        <c:crossAx val="1059617792"/>
        <c:crosses val="autoZero"/>
        <c:auto val="1"/>
        <c:lblAlgn val="ctr"/>
        <c:lblOffset val="100"/>
        <c:noMultiLvlLbl val="0"/>
      </c:catAx>
      <c:valAx>
        <c:axId val="1059617792"/>
        <c:scaling>
          <c:orientation val="minMax"/>
          <c:max val="100"/>
          <c:min val="0"/>
        </c:scaling>
        <c:delete val="0"/>
        <c:axPos val="l"/>
        <c:majorGridlines>
          <c:spPr>
            <a:ln>
              <a:noFill/>
            </a:ln>
          </c:spPr>
        </c:majorGridlines>
        <c:title>
          <c:tx>
            <c:rich>
              <a:bodyPr/>
              <a:lstStyle/>
              <a:p>
                <a:pPr>
                  <a:defRPr sz="1600"/>
                </a:pPr>
                <a:r>
                  <a:rPr lang="en-US" sz="1600"/>
                  <a:t>DSI</a:t>
                </a:r>
              </a:p>
            </c:rich>
          </c:tx>
          <c:overlay val="0"/>
        </c:title>
        <c:numFmt formatCode="0" sourceLinked="0"/>
        <c:majorTickMark val="out"/>
        <c:minorTickMark val="out"/>
        <c:tickLblPos val="nextTo"/>
        <c:spPr>
          <a:ln w="12700">
            <a:solidFill>
              <a:schemeClr val="tx1"/>
            </a:solidFill>
          </a:ln>
        </c:spPr>
        <c:txPr>
          <a:bodyPr/>
          <a:lstStyle/>
          <a:p>
            <a:pPr>
              <a:defRPr sz="1200"/>
            </a:pPr>
            <a:endParaRPr lang="en-US"/>
          </a:p>
        </c:txPr>
        <c:crossAx val="1059623776"/>
        <c:crosses val="autoZero"/>
        <c:crossBetween val="between"/>
        <c:majorUnit val="20"/>
        <c:minorUnit val="10"/>
      </c:valAx>
      <c:spPr>
        <a:noFill/>
      </c:spPr>
    </c:plotArea>
    <c:legend>
      <c:legendPos val="r"/>
      <c:layout>
        <c:manualLayout>
          <c:xMode val="edge"/>
          <c:yMode val="edge"/>
          <c:x val="0.83245692846086528"/>
          <c:y val="3.0530777748722374E-2"/>
          <c:w val="0.14831230230836531"/>
          <c:h val="0.16813073642547449"/>
        </c:manualLayout>
      </c:layout>
      <c:overlay val="0"/>
      <c:txPr>
        <a:bodyPr/>
        <a:lstStyle/>
        <a:p>
          <a:pPr>
            <a:defRPr sz="1200"/>
          </a:pPr>
          <a:endParaRPr lang="en-US"/>
        </a:p>
      </c:txPr>
    </c:legend>
    <c:plotVisOnly val="1"/>
    <c:dispBlanksAs val="gap"/>
    <c:showDLblsOverMax val="0"/>
  </c:chart>
  <c:spPr>
    <a:ln>
      <a:noFill/>
    </a:ln>
  </c:spPr>
  <c:externalData r:id="rId1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Gossen, Bruce</dc:creator>
  <cp:keywords/>
  <dc:description/>
  <cp:lastModifiedBy>MRM</cp:lastModifiedBy>
  <cp:revision>2</cp:revision>
  <dcterms:created xsi:type="dcterms:W3CDTF">2020-05-14T20:58:00Z</dcterms:created>
  <dcterms:modified xsi:type="dcterms:W3CDTF">2020-05-14T20:58:00Z</dcterms:modified>
</cp:coreProperties>
</file>