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Supporting</w:t>
      </w:r>
      <w:r>
        <w:rPr>
          <w:rFonts w:hint="eastAsia" w:ascii="Arial" w:hAnsi="Arial" w:cs="Arial"/>
          <w:b/>
          <w:bCs/>
          <w:sz w:val="24"/>
        </w:rPr>
        <w:t xml:space="preserve"> Information for:</w:t>
      </w:r>
    </w:p>
    <w:p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Dual-protein orthogonal exosome sorting and polymerization-mediated miRNA profiling for the diagnosis of gliomas</w:t>
      </w:r>
    </w:p>
    <w:p>
      <w:pPr>
        <w:spacing w:line="360" w:lineRule="auto"/>
        <w:rPr>
          <w:rFonts w:ascii="Arial" w:hAnsi="Arial" w:cs="Arial"/>
          <w:szCs w:val="21"/>
        </w:rPr>
      </w:pPr>
      <w:bookmarkStart w:id="0" w:name="OLE_LINK27"/>
      <w:r>
        <w:rPr>
          <w:rFonts w:ascii="Arial" w:hAnsi="Arial" w:cs="Arial"/>
          <w:szCs w:val="21"/>
        </w:rPr>
        <w:t>Xingjie Wu</w:t>
      </w:r>
      <w:r>
        <w:rPr>
          <w:rFonts w:ascii="Arial" w:hAnsi="Arial" w:cs="Arial"/>
          <w:szCs w:val="21"/>
          <w:vertAlign w:val="superscript"/>
        </w:rPr>
        <w:t>a,b,c,#,</w:t>
      </w:r>
      <w:r>
        <w:rPr>
          <w:rFonts w:ascii="Arial" w:hAnsi="Arial" w:cs="Arial"/>
          <w:szCs w:val="21"/>
        </w:rPr>
        <w:t xml:space="preserve">*, </w:t>
      </w:r>
      <w:bookmarkStart w:id="1" w:name="OLE_LINK22"/>
      <w:r>
        <w:rPr>
          <w:rFonts w:ascii="Arial" w:hAnsi="Arial" w:cs="Arial"/>
          <w:szCs w:val="21"/>
        </w:rPr>
        <w:t>Zhilu Sun</w:t>
      </w:r>
      <w:bookmarkEnd w:id="1"/>
      <w:r>
        <w:rPr>
          <w:rFonts w:ascii="Arial" w:hAnsi="Arial" w:cs="Arial"/>
          <w:szCs w:val="21"/>
          <w:vertAlign w:val="superscript"/>
        </w:rPr>
        <w:t>a,</w:t>
      </w:r>
      <w:r>
        <w:rPr>
          <w:rFonts w:hint="eastAsia" w:ascii="Arial" w:hAnsi="Arial" w:cs="Arial"/>
          <w:szCs w:val="21"/>
          <w:vertAlign w:val="superscript"/>
          <w:lang w:val="en-US" w:eastAsia="zh-CN"/>
        </w:rPr>
        <w:t>d,</w:t>
      </w:r>
      <w:r>
        <w:rPr>
          <w:rFonts w:ascii="Arial" w:hAnsi="Arial" w:cs="Arial"/>
          <w:szCs w:val="21"/>
          <w:vertAlign w:val="superscript"/>
        </w:rPr>
        <w:t>#</w:t>
      </w:r>
      <w:r>
        <w:rPr>
          <w:rFonts w:ascii="Arial" w:hAnsi="Arial" w:cs="Arial"/>
          <w:szCs w:val="21"/>
        </w:rPr>
        <w:t xml:space="preserve">, </w:t>
      </w:r>
      <w:bookmarkStart w:id="9" w:name="_GoBack"/>
      <w:bookmarkEnd w:id="9"/>
      <w:r>
        <w:rPr>
          <w:rFonts w:ascii="Arial" w:hAnsi="Arial" w:cs="Arial"/>
          <w:szCs w:val="21"/>
        </w:rPr>
        <w:t>Ling Tao</w:t>
      </w:r>
      <w:r>
        <w:rPr>
          <w:rFonts w:ascii="Arial" w:hAnsi="Arial" w:cs="Arial"/>
          <w:szCs w:val="21"/>
          <w:vertAlign w:val="superscript"/>
        </w:rPr>
        <w:t>b,c</w:t>
      </w:r>
      <w:r>
        <w:rPr>
          <w:rFonts w:ascii="Arial" w:hAnsi="Arial" w:cs="Arial"/>
          <w:szCs w:val="21"/>
        </w:rPr>
        <w:t>, Xiangchun Shen</w:t>
      </w:r>
      <w:r>
        <w:rPr>
          <w:rFonts w:ascii="Arial" w:hAnsi="Arial" w:cs="Arial"/>
          <w:szCs w:val="21"/>
          <w:vertAlign w:val="superscript"/>
        </w:rPr>
        <w:t>b,c,</w:t>
      </w:r>
      <w:r>
        <w:rPr>
          <w:rFonts w:ascii="Arial" w:hAnsi="Arial" w:cs="Arial"/>
          <w:szCs w:val="21"/>
        </w:rPr>
        <w:t>* and Guofeng Wu</w:t>
      </w:r>
      <w:r>
        <w:rPr>
          <w:rFonts w:ascii="Arial" w:hAnsi="Arial" w:cs="Arial"/>
          <w:szCs w:val="21"/>
          <w:vertAlign w:val="superscript"/>
        </w:rPr>
        <w:t>a,</w:t>
      </w:r>
      <w:r>
        <w:rPr>
          <w:rFonts w:ascii="Arial" w:hAnsi="Arial" w:cs="Arial"/>
          <w:szCs w:val="21"/>
        </w:rPr>
        <w:t>*</w:t>
      </w:r>
    </w:p>
    <w:p>
      <w:pPr>
        <w:spacing w:line="360" w:lineRule="auto"/>
        <w:rPr>
          <w:rFonts w:ascii="Arial" w:hAnsi="Arial" w:cs="Arial"/>
          <w:szCs w:val="21"/>
        </w:rPr>
      </w:pPr>
    </w:p>
    <w:p>
      <w:pPr>
        <w:spacing w:line="360" w:lineRule="auto"/>
        <w:rPr>
          <w:rFonts w:ascii="Arial" w:hAnsi="Arial" w:cs="Arial"/>
          <w:i/>
          <w:iCs/>
          <w:szCs w:val="21"/>
        </w:rPr>
      </w:pPr>
      <w:bookmarkStart w:id="2" w:name="OLE_LINK26"/>
      <w:r>
        <w:rPr>
          <w:rFonts w:ascii="Arial" w:hAnsi="Arial" w:cs="Arial"/>
          <w:i/>
          <w:iCs/>
          <w:szCs w:val="21"/>
          <w:vertAlign w:val="superscript"/>
        </w:rPr>
        <w:t>a</w:t>
      </w:r>
      <w:r>
        <w:rPr>
          <w:rFonts w:ascii="Arial" w:hAnsi="Arial" w:cs="Arial"/>
          <w:i/>
          <w:iCs/>
          <w:szCs w:val="21"/>
        </w:rPr>
        <w:t xml:space="preserve">Department of Emergency, </w:t>
      </w:r>
      <w:bookmarkStart w:id="3" w:name="OLE_LINK24"/>
      <w:r>
        <w:rPr>
          <w:rFonts w:ascii="Arial" w:hAnsi="Arial" w:cs="Arial"/>
          <w:i/>
          <w:iCs/>
          <w:szCs w:val="21"/>
        </w:rPr>
        <w:t>The Affiliated Hospital of Guizhou Medical University, Guiyang</w:t>
      </w:r>
      <w:bookmarkEnd w:id="3"/>
      <w:r>
        <w:rPr>
          <w:rFonts w:ascii="Arial" w:hAnsi="Arial" w:cs="Arial"/>
          <w:i/>
          <w:iCs/>
          <w:szCs w:val="21"/>
        </w:rPr>
        <w:t>, 550004, Guizhou, China</w:t>
      </w:r>
    </w:p>
    <w:p>
      <w:pPr>
        <w:spacing w:line="360" w:lineRule="auto"/>
        <w:rPr>
          <w:rStyle w:val="5"/>
          <w:rFonts w:ascii="Arial" w:hAnsi="Arial" w:cs="Arial"/>
          <w:sz w:val="21"/>
          <w:szCs w:val="21"/>
        </w:rPr>
      </w:pPr>
      <w:r>
        <w:rPr>
          <w:rStyle w:val="5"/>
          <w:rFonts w:ascii="Arial" w:hAnsi="Arial" w:eastAsia="宋体" w:cs="Arial"/>
          <w:sz w:val="21"/>
          <w:szCs w:val="21"/>
          <w:vertAlign w:val="superscript"/>
        </w:rPr>
        <w:t>b</w:t>
      </w:r>
      <w:r>
        <w:rPr>
          <w:rStyle w:val="5"/>
          <w:rFonts w:ascii="Arial" w:hAnsi="Arial" w:cs="Arial"/>
          <w:sz w:val="21"/>
          <w:szCs w:val="21"/>
        </w:rPr>
        <w:t xml:space="preserve">State Key Laboratory of Functions and Applications of Medicinal Plants, School of Pharmaceutical Sciences, </w:t>
      </w:r>
      <w:bookmarkStart w:id="4" w:name="OLE_LINK23"/>
      <w:r>
        <w:rPr>
          <w:rStyle w:val="5"/>
          <w:rFonts w:ascii="Arial" w:hAnsi="Arial" w:cs="Arial"/>
          <w:sz w:val="21"/>
          <w:szCs w:val="21"/>
        </w:rPr>
        <w:t xml:space="preserve">Guizhou Medical University, </w:t>
      </w:r>
      <w:r>
        <w:rPr>
          <w:rStyle w:val="5"/>
          <w:rFonts w:hint="eastAsia" w:ascii="Arial" w:hAnsi="Arial" w:cs="Arial"/>
          <w:sz w:val="21"/>
          <w:szCs w:val="21"/>
        </w:rPr>
        <w:t>No.6 Ankang Avenue,</w:t>
      </w:r>
      <w:r>
        <w:rPr>
          <w:rStyle w:val="5"/>
          <w:rFonts w:hint="eastAsia" w:ascii="Arial" w:hAnsi="Arial" w:eastAsia="宋体" w:cs="Arial"/>
          <w:sz w:val="21"/>
          <w:szCs w:val="21"/>
        </w:rPr>
        <w:t xml:space="preserve"> </w:t>
      </w:r>
      <w:r>
        <w:rPr>
          <w:rStyle w:val="5"/>
          <w:rFonts w:hint="eastAsia" w:ascii="Arial" w:hAnsi="Arial" w:cs="Arial"/>
          <w:sz w:val="21"/>
          <w:szCs w:val="21"/>
        </w:rPr>
        <w:t>Guiyang City and Guian New District</w:t>
      </w:r>
      <w:bookmarkEnd w:id="4"/>
      <w:r>
        <w:rPr>
          <w:rStyle w:val="5"/>
          <w:rFonts w:hint="eastAsia" w:ascii="Arial" w:hAnsi="Arial" w:cs="Arial"/>
          <w:sz w:val="21"/>
          <w:szCs w:val="21"/>
        </w:rPr>
        <w:t>, 561113</w:t>
      </w:r>
      <w:r>
        <w:rPr>
          <w:rStyle w:val="5"/>
          <w:rFonts w:ascii="Arial" w:hAnsi="Arial" w:cs="Arial"/>
          <w:sz w:val="21"/>
          <w:szCs w:val="21"/>
        </w:rPr>
        <w:t>, Guizhou,</w:t>
      </w:r>
      <w:r>
        <w:rPr>
          <w:rStyle w:val="5"/>
          <w:rFonts w:ascii="Arial" w:hAnsi="Arial" w:eastAsia="宋体" w:cs="Arial"/>
          <w:sz w:val="21"/>
          <w:szCs w:val="21"/>
        </w:rPr>
        <w:t xml:space="preserve"> </w:t>
      </w:r>
      <w:r>
        <w:rPr>
          <w:rStyle w:val="5"/>
          <w:rFonts w:ascii="Arial" w:hAnsi="Arial" w:cs="Arial"/>
          <w:sz w:val="21"/>
          <w:szCs w:val="21"/>
        </w:rPr>
        <w:t>China</w:t>
      </w: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  <w:r>
        <w:rPr>
          <w:rStyle w:val="5"/>
          <w:rFonts w:ascii="Arial" w:hAnsi="Arial" w:eastAsia="宋体" w:cs="Arial"/>
          <w:sz w:val="21"/>
          <w:szCs w:val="21"/>
          <w:vertAlign w:val="superscript"/>
        </w:rPr>
        <w:t>c</w:t>
      </w:r>
      <w:r>
        <w:rPr>
          <w:rStyle w:val="5"/>
          <w:rFonts w:ascii="Arial" w:hAnsi="Arial" w:cs="Arial"/>
          <w:sz w:val="21"/>
          <w:szCs w:val="21"/>
        </w:rPr>
        <w:t xml:space="preserve">The High Efficacy Application of Natural Medicinal Resources Engineering Center of Guizhou Province, School of Pharmaceutical Sciences, Guizhou Medical University, </w:t>
      </w:r>
      <w:r>
        <w:rPr>
          <w:rStyle w:val="5"/>
          <w:rFonts w:hint="eastAsia" w:ascii="Arial" w:hAnsi="Arial" w:cs="Arial"/>
          <w:sz w:val="21"/>
          <w:szCs w:val="21"/>
        </w:rPr>
        <w:t xml:space="preserve">No.6 Ankang </w:t>
      </w:r>
      <w:r>
        <w:rPr>
          <w:rStyle w:val="5"/>
          <w:rFonts w:ascii="Arial" w:hAnsi="Arial" w:cs="Arial"/>
          <w:sz w:val="21"/>
          <w:szCs w:val="21"/>
        </w:rPr>
        <w:t>Avenue, Guiyang</w:t>
      </w:r>
      <w:r>
        <w:rPr>
          <w:rStyle w:val="5"/>
          <w:rFonts w:hint="eastAsia" w:ascii="Arial" w:hAnsi="Arial" w:cs="Arial"/>
          <w:sz w:val="21"/>
          <w:szCs w:val="21"/>
        </w:rPr>
        <w:t xml:space="preserve"> City and Guian New District, 561113</w:t>
      </w:r>
      <w:r>
        <w:rPr>
          <w:rStyle w:val="5"/>
          <w:rFonts w:ascii="Arial" w:hAnsi="Arial" w:cs="Arial"/>
          <w:sz w:val="21"/>
          <w:szCs w:val="21"/>
        </w:rPr>
        <w:t>, Guizhou,</w:t>
      </w:r>
      <w:r>
        <w:rPr>
          <w:rStyle w:val="5"/>
          <w:rFonts w:ascii="Arial" w:hAnsi="Arial" w:eastAsia="宋体" w:cs="Arial"/>
          <w:sz w:val="21"/>
          <w:szCs w:val="21"/>
        </w:rPr>
        <w:t xml:space="preserve"> </w:t>
      </w:r>
      <w:r>
        <w:rPr>
          <w:rStyle w:val="5"/>
          <w:rFonts w:ascii="Arial" w:hAnsi="Arial" w:cs="Arial"/>
          <w:sz w:val="21"/>
          <w:szCs w:val="21"/>
        </w:rPr>
        <w:t>China</w:t>
      </w:r>
      <w:r>
        <w:rPr>
          <w:rFonts w:ascii="Arial" w:hAnsi="Arial" w:eastAsia="宋体" w:cs="Arial"/>
          <w:i/>
          <w:iCs/>
          <w:szCs w:val="21"/>
        </w:rPr>
        <w:t xml:space="preserve"> </w:t>
      </w:r>
    </w:p>
    <w:p>
      <w:pPr>
        <w:spacing w:line="360" w:lineRule="auto"/>
        <w:rPr>
          <w:rFonts w:ascii="Arial" w:hAnsi="Arial" w:cs="Arial"/>
          <w:szCs w:val="21"/>
        </w:rPr>
      </w:pPr>
      <w:r>
        <w:rPr>
          <w:rFonts w:hint="eastAsia" w:ascii="Arial" w:hAnsi="Arial" w:eastAsia="宋体" w:cs="Arial"/>
          <w:i/>
          <w:iCs/>
          <w:szCs w:val="21"/>
          <w:vertAlign w:val="superscript"/>
          <w:lang w:val="en-US" w:eastAsia="zh-CN"/>
        </w:rPr>
        <w:t>d</w:t>
      </w:r>
      <w:r>
        <w:rPr>
          <w:rFonts w:hint="eastAsia" w:ascii="Arial" w:hAnsi="Arial" w:eastAsia="宋体" w:cs="Arial"/>
          <w:i/>
          <w:iCs/>
          <w:szCs w:val="21"/>
        </w:rPr>
        <w:t>Department of Emergency</w:t>
      </w:r>
      <w:r>
        <w:rPr>
          <w:rFonts w:hint="eastAsia" w:ascii="Arial" w:hAnsi="Arial" w:eastAsia="宋体" w:cs="Arial"/>
          <w:i/>
          <w:iCs/>
          <w:szCs w:val="21"/>
          <w:lang w:val="en-US" w:eastAsia="zh-CN"/>
        </w:rPr>
        <w:t xml:space="preserve">, </w:t>
      </w:r>
      <w:r>
        <w:rPr>
          <w:rFonts w:hint="eastAsia" w:ascii="Arial" w:hAnsi="Arial" w:eastAsia="宋体" w:cs="Arial"/>
          <w:i/>
          <w:iCs/>
          <w:szCs w:val="21"/>
        </w:rPr>
        <w:t>The First Affiliated Hospital</w:t>
      </w:r>
      <w:r>
        <w:rPr>
          <w:rFonts w:hint="eastAsia" w:ascii="Arial" w:hAnsi="Arial" w:eastAsia="宋体" w:cs="Arial"/>
          <w:i/>
          <w:iCs/>
          <w:szCs w:val="21"/>
          <w:lang w:val="en-US" w:eastAsia="zh-CN"/>
        </w:rPr>
        <w:t xml:space="preserve"> of </w:t>
      </w:r>
      <w:r>
        <w:rPr>
          <w:rFonts w:hint="eastAsia" w:ascii="Arial" w:hAnsi="Arial" w:eastAsia="宋体" w:cs="Arial"/>
          <w:i/>
          <w:iCs/>
          <w:szCs w:val="21"/>
        </w:rPr>
        <w:t xml:space="preserve">Hengyang Medical School, </w:t>
      </w:r>
      <w:bookmarkStart w:id="5" w:name="OLE_LINK25"/>
      <w:r>
        <w:rPr>
          <w:rFonts w:hint="eastAsia" w:ascii="Arial" w:hAnsi="Arial" w:eastAsia="宋体" w:cs="Arial"/>
          <w:i/>
          <w:iCs/>
          <w:szCs w:val="21"/>
        </w:rPr>
        <w:t>University of South China</w:t>
      </w:r>
      <w:bookmarkEnd w:id="5"/>
      <w:r>
        <w:rPr>
          <w:rFonts w:hint="eastAsia" w:ascii="Arial" w:hAnsi="Arial" w:eastAsia="宋体" w:cs="Arial"/>
          <w:i/>
          <w:iCs/>
          <w:szCs w:val="21"/>
          <w:lang w:val="en-US" w:eastAsia="zh-CN"/>
        </w:rPr>
        <w:t>, No. 69 Chuanshan Road, Shigu District, Hengyang City, 421001, Hunan, China</w:t>
      </w:r>
    </w:p>
    <w:bookmarkEnd w:id="0"/>
    <w:bookmarkEnd w:id="2"/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spacing w:line="360" w:lineRule="auto"/>
        <w:rPr>
          <w:rFonts w:ascii="Arial" w:hAnsi="Arial" w:eastAsia="宋体" w:cs="Arial"/>
          <w:i/>
          <w:iCs/>
          <w:szCs w:val="21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drawing>
          <wp:inline distT="0" distB="0" distL="0" distR="0">
            <wp:extent cx="5274310" cy="2113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ascii="Arial" w:hAnsi="Arial" w:cs="Arial"/>
          <w:b/>
          <w:bCs/>
        </w:rPr>
        <w:t xml:space="preserve"> S1.</w:t>
      </w:r>
      <w:r>
        <w:rPr>
          <w:rFonts w:ascii="Arial" w:hAnsi="Arial" w:cs="Arial"/>
        </w:rPr>
        <w:t xml:space="preserve"> The schematic illustration of aptamer oligo (a) and transducing oligo (b) modification processes.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Table S1.</w:t>
      </w:r>
      <w:r>
        <w:rPr>
          <w:rFonts w:ascii="Arial" w:hAnsi="Arial" w:cs="Arial"/>
        </w:rPr>
        <w:t xml:space="preserve"> The list of </w:t>
      </w:r>
      <w:r>
        <w:rPr>
          <w:rFonts w:hint="eastAsia" w:ascii="Arial" w:hAnsi="Arial" w:cs="Arial"/>
        </w:rPr>
        <w:t>complementary and transducing oligos of glioma-related miRNAs</w:t>
      </w:r>
      <w:r>
        <w:rPr>
          <w:rFonts w:ascii="Arial" w:hAnsi="Arial" w:cs="Arial"/>
        </w:rPr>
        <w:t xml:space="preserve"> used in this manuscript.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5"/>
        <w:gridCol w:w="702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Oligo ID</w:t>
            </w:r>
          </w:p>
        </w:tc>
        <w:tc>
          <w:tcPr>
            <w:tcW w:w="7027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jc w:val="left"/>
              <w:rPr>
                <w:rFonts w:hint="default" w:ascii="Arial" w:hAnsi="Arial" w:cs="Arial" w:eastAsiaTheme="minorEastAsia"/>
                <w:szCs w:val="21"/>
                <w:lang w:val="en-US" w:eastAsia="zh-CN"/>
              </w:rPr>
            </w:pPr>
            <w:r>
              <w:rPr>
                <w:rFonts w:ascii="Arial" w:hAnsi="Arial" w:cs="Arial"/>
                <w:szCs w:val="21"/>
              </w:rPr>
              <w:t>Sequence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 xml:space="preserve"> (5` to 3`)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bookmarkStart w:id="6" w:name="OLE_LINK1" w:colFirst="0" w:colLast="0"/>
            <w:r>
              <w:rPr>
                <w:rFonts w:ascii="Arial" w:hAnsi="Arial" w:cs="Arial"/>
                <w:szCs w:val="21"/>
              </w:rPr>
              <w:t>C-miR-9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bookmarkStart w:id="7" w:name="OLE_LINK2"/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TCATACAGCTAGATAACCAAAG</w:t>
            </w:r>
            <w:bookmarkEnd w:id="7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T-miR-9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TCTTTGGTTATC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C-miR-21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TGTCAGACAGCCCATCGACTGG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T-miR-21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CCAGTCGATGGG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C-miR-24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CTGTTCCTGCTGAACTGAGCCA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T-miR-24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</w:pPr>
            <w:r>
              <w:rPr>
                <w:rFonts w:ascii="Arial" w:hAnsi="Arial" w:eastAsia="微软雅黑" w:cs="Arial"/>
                <w:color w:val="222222"/>
                <w:szCs w:val="21"/>
                <w:shd w:val="clear" w:color="auto" w:fill="FFFFFF"/>
              </w:rPr>
              <w:t>CTGTTCCTGCTG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C-miR-125b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bookmarkStart w:id="8" w:name="OLE_LINK3"/>
            <w:r>
              <w:rPr>
                <w:rFonts w:ascii="Arial" w:hAnsi="Arial" w:cs="Arial"/>
                <w:szCs w:val="21"/>
              </w:rPr>
              <w:t>TCACAAGTTAGGGTCTCAGGGA</w:t>
            </w:r>
            <w:bookmarkEnd w:id="8"/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T-miR-125b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TCC TGAGACCC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C-miR-221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GAGAACATGTTTCCAGGTAGCC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T-miR-221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GGCTACCTGGAA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C-miR-301a</w:t>
            </w:r>
          </w:p>
        </w:tc>
        <w:tc>
          <w:tcPr>
            <w:tcW w:w="7027" w:type="dxa"/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CCTGCTTTCAGATGCTTTGACA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5" w:type="dxa"/>
            <w:tcBorders>
              <w:bottom w:val="single" w:color="auto" w:sz="12" w:space="0"/>
            </w:tcBorders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T-miR-301a</w:t>
            </w:r>
          </w:p>
        </w:tc>
        <w:tc>
          <w:tcPr>
            <w:tcW w:w="7027" w:type="dxa"/>
            <w:tcBorders>
              <w:bottom w:val="single" w:color="auto" w:sz="12" w:space="0"/>
            </w:tcBorders>
            <w:vAlign w:val="center"/>
          </w:tcPr>
          <w:p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TTGTCAAAGCAT </w:t>
            </w:r>
          </w:p>
        </w:tc>
      </w:tr>
      <w:bookmarkEnd w:id="6"/>
    </w:tbl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5269230" cy="3736340"/>
            <wp:effectExtent l="0" t="0" r="1270" b="10160"/>
            <wp:docPr id="9" name="图片 9" descr="Figure S2-A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 S2-A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hint="eastAsia" w:ascii="Arial" w:hAnsi="Arial" w:cs="Arial"/>
          <w:b/>
          <w:bCs/>
        </w:rPr>
        <w:t xml:space="preserve"> S2.</w:t>
      </w:r>
      <w:r>
        <w:rPr>
          <w:rFonts w:hint="eastAsia" w:ascii="Arial" w:hAnsi="Arial" w:cs="Arial"/>
        </w:rPr>
        <w:t xml:space="preserve"> (a) Schematic illustration of MNP surface modification process. (b) the TEM image of MNP-EGFR</w:t>
      </w:r>
      <w:r>
        <w:rPr>
          <w:rFonts w:hint="eastAsia" w:ascii="Arial" w:hAnsi="Arial" w:cs="Arial"/>
          <w:vertAlign w:val="subscript"/>
        </w:rPr>
        <w:t>apt</w:t>
      </w:r>
      <w:r>
        <w:rPr>
          <w:rFonts w:hint="eastAsia" w:ascii="Arial" w:hAnsi="Arial" w:cs="Arial"/>
        </w:rPr>
        <w:t>. (c) the surface zeta potential of MNP before and after surface modification.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</w:t>
      </w: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273675" cy="2626360"/>
            <wp:effectExtent l="0" t="0" r="9525" b="2540"/>
            <wp:docPr id="6" name="图片 6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hint="eastAsia" w:ascii="Arial" w:hAnsi="Arial" w:cs="Arial"/>
          <w:b/>
          <w:bCs/>
        </w:rPr>
        <w:t xml:space="preserve"> S3.</w:t>
      </w:r>
      <w:r>
        <w:rPr>
          <w:rFonts w:hint="eastAsia" w:ascii="Arial" w:hAnsi="Arial" w:cs="Arial"/>
        </w:rPr>
        <w:t xml:space="preserve"> Schematic illustration of PLGA-b-PEI micelle surface modification processes.</w:t>
      </w: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drawing>
          <wp:inline distT="0" distB="0" distL="114300" distR="114300">
            <wp:extent cx="2051050" cy="1685290"/>
            <wp:effectExtent l="0" t="0" r="6350" b="3810"/>
            <wp:docPr id="5" name="图片 5" descr="Figure S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 S4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hint="eastAsia" w:ascii="Arial" w:hAnsi="Arial" w:cs="Arial"/>
          <w:b/>
          <w:bCs/>
        </w:rPr>
        <w:t xml:space="preserve"> S4.</w:t>
      </w:r>
      <w:r>
        <w:rPr>
          <w:rFonts w:hint="eastAsia" w:ascii="Arial" w:hAnsi="Arial" w:cs="Arial"/>
        </w:rPr>
        <w:t xml:space="preserve"> The relative </w:t>
      </w:r>
      <w:r>
        <w:rPr>
          <w:rFonts w:hint="eastAsia" w:ascii="Arial" w:hAnsi="Arial" w:cs="Arial"/>
          <w:szCs w:val="21"/>
        </w:rPr>
        <w:t xml:space="preserve">1,3-diphenylisobenzofuran (DPBF) absorbance of micelle solution with different irradiation time </w:t>
      </w:r>
      <w:r>
        <w:rPr>
          <w:rFonts w:ascii="Arial" w:hAnsi="Arial" w:cs="Arial"/>
          <w:szCs w:val="21"/>
        </w:rPr>
        <w:t>after</w:t>
      </w:r>
      <w:r>
        <w:rPr>
          <w:rFonts w:hint="eastAsia" w:ascii="Arial" w:hAnsi="Arial" w:cs="Arial"/>
          <w:szCs w:val="21"/>
        </w:rPr>
        <w:t xml:space="preserve"> double labeling and magnetic separation. 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5264785" cy="1183640"/>
            <wp:effectExtent l="0" t="0" r="5715" b="10160"/>
            <wp:docPr id="1" name="图片 1" descr="Figure S5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5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</w:rPr>
      </w:pP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hint="eastAsia" w:ascii="Arial" w:hAnsi="Arial" w:cs="Arial"/>
          <w:b/>
          <w:bCs/>
        </w:rPr>
        <w:t xml:space="preserve"> S5.</w:t>
      </w:r>
      <w:r>
        <w:rPr>
          <w:rFonts w:hint="eastAsia" w:ascii="Arial" w:hAnsi="Arial" w:cs="Arial"/>
        </w:rPr>
        <w:t xml:space="preserve"> The hydration diameters of micelles prepared from PLGA-b-PEI having different hydrophilic ratio.</w: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4320540" cy="4320540"/>
            <wp:effectExtent l="0" t="0" r="10160" b="10160"/>
            <wp:docPr id="8" name="图片 8" descr="fig4 - 副本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4 - 副本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</w:rPr>
      </w:pPr>
      <w:r>
        <w:rPr>
          <w:rFonts w:hint="eastAsia" w:ascii="Arial" w:hAnsi="Arial" w:cs="Arial"/>
          <w:b/>
          <w:bCs/>
          <w:lang w:eastAsia="zh-CN"/>
        </w:rPr>
        <w:t>Fig.</w:t>
      </w:r>
      <w:r>
        <w:rPr>
          <w:rFonts w:ascii="Arial" w:hAnsi="Arial" w:cs="Arial"/>
          <w:b/>
          <w:bCs/>
        </w:rPr>
        <w:t xml:space="preserve"> S6.</w:t>
      </w:r>
      <w:r>
        <w:rPr>
          <w:rFonts w:ascii="Arial" w:hAnsi="Arial" w:cs="Arial"/>
        </w:rPr>
        <w:t xml:space="preserve"> The glioma-related miRNA composition of EGFR+, EphA2+ and CD133+ exosome subtypes isolated </w:t>
      </w:r>
      <w:r>
        <w:rPr>
          <w:rFonts w:hint="eastAsia" w:ascii="Arial" w:hAnsi="Arial" w:cs="Arial"/>
        </w:rPr>
        <w:t>of</w:t>
      </w:r>
      <w:r>
        <w:rPr>
          <w:rFonts w:ascii="Arial" w:hAnsi="Arial" w:cs="Arial"/>
        </w:rPr>
        <w:t xml:space="preserve"> glioma patient plasma and healthy dornor plasma. </w:t>
      </w:r>
      <w:r>
        <w:rPr>
          <w:rFonts w:ascii="Arial" w:hAnsi="Arial" w:eastAsia="宋体" w:cs="Arial"/>
        </w:rPr>
        <w:t xml:space="preserve">ΔF was normalized within each raw. </w:t>
      </w: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p>
      <w:pPr>
        <w:jc w:val="center"/>
        <w:rPr>
          <w:rFonts w:ascii="Arial" w:hAnsi="Arial" w:eastAsia="宋体" w:cs="Arial"/>
        </w:rPr>
      </w:pPr>
      <w:r>
        <w:rPr>
          <w:rFonts w:ascii="Arial" w:hAnsi="Arial" w:eastAsia="宋体" w:cs="Arial"/>
        </w:rPr>
        <w:drawing>
          <wp:inline distT="0" distB="0" distL="114300" distR="114300">
            <wp:extent cx="4104005" cy="3780790"/>
            <wp:effectExtent l="0" t="0" r="10795" b="3810"/>
            <wp:docPr id="7" name="图片 7" descr="Figure S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igure S7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宋体" w:cs="Arial"/>
        </w:rPr>
      </w:pPr>
      <w:r>
        <w:rPr>
          <w:rFonts w:hint="eastAsia" w:ascii="Arial" w:hAnsi="Arial" w:eastAsia="宋体" w:cs="Arial"/>
          <w:b/>
          <w:bCs/>
          <w:lang w:eastAsia="zh-CN"/>
        </w:rPr>
        <w:t>Fig.</w:t>
      </w:r>
      <w:r>
        <w:rPr>
          <w:rFonts w:hint="eastAsia" w:ascii="Arial" w:hAnsi="Arial" w:eastAsia="宋体" w:cs="Arial"/>
          <w:b/>
          <w:bCs/>
        </w:rPr>
        <w:t xml:space="preserve"> S7.</w:t>
      </w:r>
      <w:r>
        <w:rPr>
          <w:rFonts w:hint="eastAsia" w:ascii="Arial" w:hAnsi="Arial" w:eastAsia="宋体" w:cs="Arial"/>
        </w:rPr>
        <w:t xml:space="preserve"> The ROC curves of individual glioma-related miRNAs encapsulated within EGFR+/EphA2+ (a), EGFR+/CD133+ (b) and EphA2+/CD133+ (c) exosome subtypes on the classification of glioma and non-glioma patients. The AUC </w:t>
      </w:r>
      <w:r>
        <w:rPr>
          <w:rFonts w:ascii="Arial" w:hAnsi="Arial" w:eastAsia="宋体" w:cs="Arial"/>
        </w:rPr>
        <w:t>values</w:t>
      </w:r>
      <w:r>
        <w:rPr>
          <w:rFonts w:hint="eastAsia" w:ascii="Arial" w:hAnsi="Arial" w:eastAsia="宋体" w:cs="Arial"/>
        </w:rPr>
        <w:t xml:space="preserve"> of each miRNA were indicated at the top of each </w:t>
      </w:r>
      <w:r>
        <w:rPr>
          <w:rFonts w:hint="eastAsia" w:ascii="Arial" w:hAnsi="Arial" w:eastAsia="宋体" w:cs="Arial"/>
          <w:lang w:eastAsia="zh-CN"/>
        </w:rPr>
        <w:t>Fig.</w:t>
      </w:r>
      <w:r>
        <w:rPr>
          <w:rFonts w:hint="eastAsia" w:ascii="Arial" w:hAnsi="Arial" w:eastAsia="宋体" w:cs="Arial"/>
        </w:rPr>
        <w:t xml:space="preserve">.   </w:t>
      </w:r>
    </w:p>
    <w:p>
      <w:pPr>
        <w:rPr>
          <w:rFonts w:ascii="Arial" w:hAnsi="Arial" w:eastAsia="宋体" w:cs="Arial"/>
        </w:rPr>
      </w:pPr>
    </w:p>
    <w:p>
      <w:pPr>
        <w:rPr>
          <w:rFonts w:ascii="Arial" w:hAnsi="Arial" w:eastAsia="宋体" w:cs="Arial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harisSIL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k5NjdkYWI3MGYwZjVkMTRiMjEzOGY1NDY2Njg1MmUifQ=="/>
  </w:docVars>
  <w:rsids>
    <w:rsidRoot w:val="003874D6"/>
    <w:rsid w:val="003874D6"/>
    <w:rsid w:val="007762E1"/>
    <w:rsid w:val="043C6386"/>
    <w:rsid w:val="09AB4568"/>
    <w:rsid w:val="0D26636D"/>
    <w:rsid w:val="12180D25"/>
    <w:rsid w:val="1E562536"/>
    <w:rsid w:val="21725E3B"/>
    <w:rsid w:val="2FC92A49"/>
    <w:rsid w:val="3675539D"/>
    <w:rsid w:val="384D27A5"/>
    <w:rsid w:val="399E5AB1"/>
    <w:rsid w:val="3E3F422D"/>
    <w:rsid w:val="3FC06BB7"/>
    <w:rsid w:val="4532124D"/>
    <w:rsid w:val="48BE58EF"/>
    <w:rsid w:val="4A314FDA"/>
    <w:rsid w:val="4F3D23DD"/>
    <w:rsid w:val="546D06A7"/>
    <w:rsid w:val="5E350263"/>
    <w:rsid w:val="614D65E5"/>
    <w:rsid w:val="66A8580E"/>
    <w:rsid w:val="67012E22"/>
    <w:rsid w:val="6D9C21F3"/>
    <w:rsid w:val="71F73F58"/>
    <w:rsid w:val="752223C3"/>
    <w:rsid w:val="7C4C5998"/>
    <w:rsid w:val="7CC8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style21"/>
    <w:basedOn w:val="4"/>
    <w:autoRedefine/>
    <w:qFormat/>
    <w:uiPriority w:val="0"/>
    <w:rPr>
      <w:rFonts w:ascii="CharisSIL-Italic" w:hAnsi="CharisSIL-Italic" w:eastAsia="CharisSIL-Italic" w:cs="CharisSIL-Italic"/>
      <w:i/>
      <w:iCs/>
      <w:color w:val="000000"/>
      <w:sz w:val="14"/>
      <w:szCs w:val="1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395</Words>
  <Characters>2252</Characters>
  <Lines>18</Lines>
  <Paragraphs>5</Paragraphs>
  <TotalTime>24</TotalTime>
  <ScaleCrop>false</ScaleCrop>
  <LinksUpToDate>false</LinksUpToDate>
  <CharactersWithSpaces>2642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2023-06-20T09:29:00Z</dcterms:created>
  <dc:creator>jjyy201</dc:creator>
  <cp:lastModifiedBy>WPS_1527857161</cp:lastModifiedBy>
  <dcterms:modified xsi:type="dcterms:W3CDTF">2024-03-15T08:41:55Z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646CAB7E36024EE48FF95C21CAC5D647_12</vt:lpwstr>
  </property>
</Properties>
</file>