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8BEF34" w14:textId="76D3D633" w:rsidR="005B4D08" w:rsidRPr="00617CB5" w:rsidRDefault="00617CB5">
      <w:pPr>
        <w:tabs>
          <w:tab w:val="left" w:pos="6120"/>
        </w:tabs>
        <w:rPr>
          <w:rFonts w:hint="eastAsia"/>
          <w:b/>
          <w:bCs/>
          <w:sz w:val="28"/>
          <w:szCs w:val="28"/>
        </w:rPr>
      </w:pPr>
      <w:r>
        <w:rPr>
          <w:rFonts w:hint="eastAsia"/>
          <w:b/>
          <w:bCs/>
          <w:sz w:val="28"/>
          <w:szCs w:val="28"/>
        </w:rPr>
        <w:t xml:space="preserve">Additional </w:t>
      </w:r>
      <w:r>
        <w:rPr>
          <w:b/>
          <w:bCs/>
          <w:sz w:val="28"/>
          <w:szCs w:val="28"/>
        </w:rPr>
        <w:t xml:space="preserve">File </w:t>
      </w:r>
      <w:r>
        <w:rPr>
          <w:b/>
          <w:bCs/>
          <w:sz w:val="28"/>
          <w:szCs w:val="28"/>
        </w:rPr>
        <w:t>1</w:t>
      </w:r>
    </w:p>
    <w:p w14:paraId="3D74E813" w14:textId="77777777" w:rsidR="005B4D08" w:rsidRDefault="005B4D08">
      <w:pPr>
        <w:tabs>
          <w:tab w:val="left" w:pos="6120"/>
        </w:tabs>
        <w:rPr>
          <w:b/>
          <w:bCs/>
          <w:sz w:val="28"/>
          <w:szCs w:val="28"/>
          <w:highlight w:val="yellow"/>
        </w:rPr>
      </w:pPr>
    </w:p>
    <w:p w14:paraId="1AC2B62F" w14:textId="0E646B4B" w:rsidR="00C26954" w:rsidRDefault="00E108B4">
      <w:pPr>
        <w:tabs>
          <w:tab w:val="left" w:pos="6120"/>
        </w:tabs>
        <w:rPr>
          <w:b/>
          <w:bCs/>
          <w:szCs w:val="21"/>
        </w:rPr>
      </w:pPr>
      <w:r>
        <w:rPr>
          <w:rFonts w:hint="eastAsia"/>
          <w:b/>
          <w:bCs/>
          <w:szCs w:val="21"/>
          <w:highlight w:val="yellow"/>
        </w:rPr>
        <w:t>S</w:t>
      </w:r>
      <w:r>
        <w:rPr>
          <w:b/>
          <w:bCs/>
          <w:szCs w:val="21"/>
          <w:highlight w:val="yellow"/>
        </w:rPr>
        <w:t>upplementary</w:t>
      </w:r>
      <w:r>
        <w:rPr>
          <w:b/>
          <w:bCs/>
          <w:szCs w:val="21"/>
        </w:rPr>
        <w:t xml:space="preserve"> </w:t>
      </w:r>
      <w:r>
        <w:rPr>
          <w:b/>
          <w:bCs/>
          <w:szCs w:val="21"/>
          <w:highlight w:val="yellow"/>
        </w:rPr>
        <w:t xml:space="preserve">Table S1. </w:t>
      </w:r>
      <w:bookmarkStart w:id="0" w:name="_Hlk57296820"/>
      <w:bookmarkStart w:id="1" w:name="_Hlk58247360"/>
      <w:r>
        <w:rPr>
          <w:b/>
          <w:bCs/>
          <w:szCs w:val="21"/>
          <w:highlight w:val="yellow"/>
        </w:rPr>
        <w:t xml:space="preserve">Temporal trends in age-adjusted index cancer prevalence and the expected number of </w:t>
      </w:r>
      <w:bookmarkStart w:id="2" w:name="_Hlk57894879"/>
      <w:r>
        <w:rPr>
          <w:b/>
          <w:bCs/>
          <w:szCs w:val="21"/>
          <w:highlight w:val="yellow"/>
        </w:rPr>
        <w:t>index cancer patients with prior cancer</w:t>
      </w:r>
      <w:bookmarkEnd w:id="0"/>
      <w:bookmarkEnd w:id="1"/>
      <w:bookmarkEnd w:id="2"/>
      <w:r>
        <w:rPr>
          <w:rFonts w:hint="eastAsia"/>
          <w:b/>
          <w:bCs/>
          <w:szCs w:val="21"/>
          <w:highlight w:val="yellow"/>
        </w:rPr>
        <w:t xml:space="preserve">　</w:t>
      </w:r>
    </w:p>
    <w:tbl>
      <w:tblPr>
        <w:tblW w:w="5079" w:type="pct"/>
        <w:tblLayout w:type="fixed"/>
        <w:tblCellMar>
          <w:left w:w="99" w:type="dxa"/>
          <w:right w:w="99" w:type="dxa"/>
        </w:tblCellMar>
        <w:tblLook w:val="04A0" w:firstRow="1" w:lastRow="0" w:firstColumn="1" w:lastColumn="0" w:noHBand="0" w:noVBand="1"/>
      </w:tblPr>
      <w:tblGrid>
        <w:gridCol w:w="1418"/>
        <w:gridCol w:w="1208"/>
        <w:gridCol w:w="567"/>
        <w:gridCol w:w="1276"/>
        <w:gridCol w:w="811"/>
        <w:gridCol w:w="1171"/>
        <w:gridCol w:w="916"/>
        <w:gridCol w:w="973"/>
        <w:gridCol w:w="973"/>
        <w:gridCol w:w="978"/>
        <w:gridCol w:w="970"/>
        <w:gridCol w:w="978"/>
        <w:gridCol w:w="970"/>
        <w:gridCol w:w="970"/>
      </w:tblGrid>
      <w:tr w:rsidR="00C26954" w14:paraId="1AC2B633" w14:textId="77777777">
        <w:trPr>
          <w:trHeight w:val="360"/>
        </w:trPr>
        <w:tc>
          <w:tcPr>
            <w:tcW w:w="500" w:type="pct"/>
            <w:tcBorders>
              <w:left w:val="nil"/>
              <w:bottom w:val="single" w:sz="4" w:space="0" w:color="auto"/>
              <w:right w:val="nil"/>
            </w:tcBorders>
            <w:shd w:val="clear" w:color="auto" w:fill="auto"/>
            <w:noWrap/>
            <w:vAlign w:val="center"/>
            <w:hideMark/>
          </w:tcPr>
          <w:p w14:paraId="1AC2B630" w14:textId="77777777" w:rsidR="00C26954" w:rsidRDefault="00E108B4">
            <w:pPr>
              <w:widowControl/>
              <w:spacing w:line="240" w:lineRule="auto"/>
              <w:rPr>
                <w:rFonts w:eastAsia="游ゴシック" w:cs="Times New Roman"/>
                <w:color w:val="000000"/>
                <w:kern w:val="0"/>
                <w:sz w:val="18"/>
                <w:szCs w:val="18"/>
              </w:rPr>
            </w:pPr>
            <w:r>
              <w:rPr>
                <w:rFonts w:eastAsia="游ゴシック" w:cs="Times New Roman"/>
                <w:color w:val="000000"/>
                <w:kern w:val="0"/>
                <w:sz w:val="18"/>
                <w:szCs w:val="18"/>
              </w:rPr>
              <w:t xml:space="preserve">　</w:t>
            </w:r>
          </w:p>
        </w:tc>
        <w:tc>
          <w:tcPr>
            <w:tcW w:w="426" w:type="pct"/>
            <w:tcBorders>
              <w:left w:val="nil"/>
              <w:bottom w:val="single" w:sz="4" w:space="0" w:color="auto"/>
              <w:right w:val="nil"/>
            </w:tcBorders>
            <w:shd w:val="clear" w:color="auto" w:fill="auto"/>
            <w:noWrap/>
            <w:vAlign w:val="center"/>
            <w:hideMark/>
          </w:tcPr>
          <w:p w14:paraId="1AC2B631" w14:textId="77777777" w:rsidR="00C26954" w:rsidRDefault="00E108B4">
            <w:pPr>
              <w:widowControl/>
              <w:spacing w:line="240" w:lineRule="auto"/>
              <w:rPr>
                <w:rFonts w:eastAsia="游ゴシック" w:cs="Times New Roman"/>
                <w:color w:val="000000"/>
                <w:kern w:val="0"/>
                <w:sz w:val="18"/>
                <w:szCs w:val="18"/>
              </w:rPr>
            </w:pPr>
            <w:r>
              <w:rPr>
                <w:rFonts w:eastAsia="游ゴシック" w:cs="Times New Roman"/>
                <w:color w:val="000000"/>
                <w:kern w:val="0"/>
                <w:sz w:val="18"/>
                <w:szCs w:val="18"/>
              </w:rPr>
              <w:t xml:space="preserve">　</w:t>
            </w:r>
          </w:p>
        </w:tc>
        <w:tc>
          <w:tcPr>
            <w:tcW w:w="4072" w:type="pct"/>
            <w:gridSpan w:val="12"/>
            <w:tcBorders>
              <w:left w:val="nil"/>
              <w:bottom w:val="single" w:sz="4" w:space="0" w:color="auto"/>
              <w:right w:val="nil"/>
            </w:tcBorders>
            <w:shd w:val="clear" w:color="auto" w:fill="auto"/>
            <w:noWrap/>
            <w:vAlign w:val="center"/>
            <w:hideMark/>
          </w:tcPr>
          <w:p w14:paraId="1AC2B632" w14:textId="77777777" w:rsidR="00C26954" w:rsidRDefault="00C26954">
            <w:pPr>
              <w:widowControl/>
              <w:spacing w:line="240" w:lineRule="auto"/>
              <w:jc w:val="center"/>
              <w:rPr>
                <w:rFonts w:eastAsia="游ゴシック" w:cs="Times New Roman"/>
                <w:color w:val="000000"/>
                <w:kern w:val="0"/>
                <w:sz w:val="18"/>
                <w:szCs w:val="18"/>
                <w:highlight w:val="yellow"/>
              </w:rPr>
            </w:pPr>
          </w:p>
        </w:tc>
      </w:tr>
      <w:tr w:rsidR="00C26954" w14:paraId="1AC2B63C" w14:textId="77777777">
        <w:trPr>
          <w:trHeight w:val="360"/>
        </w:trPr>
        <w:tc>
          <w:tcPr>
            <w:tcW w:w="500" w:type="pct"/>
            <w:tcBorders>
              <w:top w:val="single" w:sz="4" w:space="0" w:color="auto"/>
              <w:left w:val="nil"/>
              <w:bottom w:val="nil"/>
              <w:right w:val="nil"/>
            </w:tcBorders>
            <w:shd w:val="clear" w:color="auto" w:fill="auto"/>
            <w:noWrap/>
            <w:vAlign w:val="center"/>
            <w:hideMark/>
          </w:tcPr>
          <w:p w14:paraId="1AC2B634" w14:textId="77777777" w:rsidR="00C26954" w:rsidRDefault="00E108B4">
            <w:pPr>
              <w:widowControl/>
              <w:spacing w:line="240" w:lineRule="auto"/>
              <w:rPr>
                <w:rFonts w:eastAsia="游ゴシック" w:cs="Times New Roman"/>
                <w:color w:val="000000"/>
                <w:kern w:val="0"/>
                <w:sz w:val="18"/>
                <w:szCs w:val="18"/>
                <w:highlight w:val="yellow"/>
              </w:rPr>
            </w:pPr>
            <w:r>
              <w:rPr>
                <w:rFonts w:eastAsia="游ゴシック" w:cs="Times New Roman"/>
                <w:color w:val="000000"/>
                <w:kern w:val="0"/>
                <w:sz w:val="18"/>
                <w:szCs w:val="18"/>
              </w:rPr>
              <w:t>Diagnostic year</w:t>
            </w:r>
          </w:p>
        </w:tc>
        <w:tc>
          <w:tcPr>
            <w:tcW w:w="426" w:type="pct"/>
            <w:tcBorders>
              <w:top w:val="single" w:sz="4" w:space="0" w:color="auto"/>
              <w:left w:val="nil"/>
              <w:bottom w:val="nil"/>
              <w:right w:val="nil"/>
            </w:tcBorders>
            <w:shd w:val="clear" w:color="auto" w:fill="auto"/>
            <w:noWrap/>
            <w:vAlign w:val="center"/>
            <w:hideMark/>
          </w:tcPr>
          <w:p w14:paraId="1AC2B635" w14:textId="77777777" w:rsidR="00C26954" w:rsidRDefault="00E108B4">
            <w:pPr>
              <w:widowControl/>
              <w:spacing w:line="240" w:lineRule="auto"/>
              <w:rPr>
                <w:rFonts w:eastAsia="Times New Roman" w:cs="Times New Roman"/>
                <w:kern w:val="0"/>
                <w:sz w:val="18"/>
                <w:szCs w:val="18"/>
                <w:highlight w:val="yellow"/>
              </w:rPr>
            </w:pPr>
            <w:r>
              <w:rPr>
                <w:rFonts w:cs="Times New Roman"/>
                <w:kern w:val="0"/>
                <w:sz w:val="18"/>
                <w:szCs w:val="18"/>
                <w:highlight w:val="yellow"/>
              </w:rPr>
              <w:t>Index Cancer Site</w:t>
            </w:r>
          </w:p>
        </w:tc>
        <w:tc>
          <w:tcPr>
            <w:tcW w:w="650" w:type="pct"/>
            <w:gridSpan w:val="2"/>
            <w:tcBorders>
              <w:top w:val="single" w:sz="4" w:space="0" w:color="auto"/>
              <w:left w:val="nil"/>
              <w:bottom w:val="nil"/>
              <w:right w:val="nil"/>
            </w:tcBorders>
            <w:shd w:val="clear" w:color="auto" w:fill="auto"/>
            <w:noWrap/>
            <w:vAlign w:val="center"/>
            <w:hideMark/>
          </w:tcPr>
          <w:p w14:paraId="1AC2B636"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2004–2005</w:t>
            </w:r>
          </w:p>
        </w:tc>
        <w:tc>
          <w:tcPr>
            <w:tcW w:w="699" w:type="pct"/>
            <w:gridSpan w:val="2"/>
            <w:tcBorders>
              <w:top w:val="single" w:sz="4" w:space="0" w:color="auto"/>
              <w:left w:val="nil"/>
              <w:bottom w:val="nil"/>
              <w:right w:val="nil"/>
            </w:tcBorders>
            <w:shd w:val="clear" w:color="auto" w:fill="auto"/>
            <w:noWrap/>
            <w:vAlign w:val="center"/>
            <w:hideMark/>
          </w:tcPr>
          <w:p w14:paraId="1AC2B637"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2006–2007</w:t>
            </w:r>
          </w:p>
        </w:tc>
        <w:tc>
          <w:tcPr>
            <w:tcW w:w="666" w:type="pct"/>
            <w:gridSpan w:val="2"/>
            <w:tcBorders>
              <w:top w:val="single" w:sz="4" w:space="0" w:color="auto"/>
              <w:left w:val="nil"/>
              <w:bottom w:val="nil"/>
              <w:right w:val="nil"/>
            </w:tcBorders>
            <w:shd w:val="clear" w:color="auto" w:fill="auto"/>
            <w:noWrap/>
            <w:vAlign w:val="center"/>
            <w:hideMark/>
          </w:tcPr>
          <w:p w14:paraId="1AC2B638"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2008–2009</w:t>
            </w:r>
          </w:p>
        </w:tc>
        <w:tc>
          <w:tcPr>
            <w:tcW w:w="688" w:type="pct"/>
            <w:gridSpan w:val="2"/>
            <w:tcBorders>
              <w:top w:val="single" w:sz="4" w:space="0" w:color="auto"/>
              <w:left w:val="nil"/>
              <w:bottom w:val="nil"/>
              <w:right w:val="nil"/>
            </w:tcBorders>
            <w:shd w:val="clear" w:color="auto" w:fill="auto"/>
            <w:noWrap/>
            <w:vAlign w:val="center"/>
            <w:hideMark/>
          </w:tcPr>
          <w:p w14:paraId="1AC2B639"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2010–2011</w:t>
            </w:r>
          </w:p>
        </w:tc>
        <w:tc>
          <w:tcPr>
            <w:tcW w:w="687" w:type="pct"/>
            <w:gridSpan w:val="2"/>
            <w:tcBorders>
              <w:top w:val="single" w:sz="4" w:space="0" w:color="auto"/>
              <w:left w:val="nil"/>
              <w:bottom w:val="nil"/>
              <w:right w:val="nil"/>
            </w:tcBorders>
            <w:shd w:val="clear" w:color="auto" w:fill="auto"/>
            <w:noWrap/>
            <w:vAlign w:val="center"/>
            <w:hideMark/>
          </w:tcPr>
          <w:p w14:paraId="1AC2B63A"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2012–2013</w:t>
            </w:r>
          </w:p>
        </w:tc>
        <w:tc>
          <w:tcPr>
            <w:tcW w:w="682" w:type="pct"/>
            <w:gridSpan w:val="2"/>
            <w:tcBorders>
              <w:top w:val="single" w:sz="4" w:space="0" w:color="auto"/>
              <w:left w:val="nil"/>
              <w:bottom w:val="nil"/>
              <w:right w:val="nil"/>
            </w:tcBorders>
            <w:shd w:val="clear" w:color="auto" w:fill="auto"/>
            <w:noWrap/>
            <w:vAlign w:val="center"/>
            <w:hideMark/>
          </w:tcPr>
          <w:p w14:paraId="1AC2B63B"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2014–2015</w:t>
            </w:r>
          </w:p>
        </w:tc>
      </w:tr>
      <w:tr w:rsidR="00C26954" w14:paraId="1AC2B64B" w14:textId="77777777">
        <w:trPr>
          <w:trHeight w:val="360"/>
        </w:trPr>
        <w:tc>
          <w:tcPr>
            <w:tcW w:w="500" w:type="pct"/>
            <w:tcBorders>
              <w:top w:val="nil"/>
              <w:left w:val="nil"/>
              <w:bottom w:val="single" w:sz="4" w:space="0" w:color="auto"/>
              <w:right w:val="nil"/>
            </w:tcBorders>
            <w:shd w:val="clear" w:color="auto" w:fill="auto"/>
            <w:noWrap/>
            <w:vAlign w:val="center"/>
            <w:hideMark/>
          </w:tcPr>
          <w:p w14:paraId="1AC2B63D" w14:textId="77777777" w:rsidR="00C26954" w:rsidRDefault="00E108B4">
            <w:pPr>
              <w:widowControl/>
              <w:spacing w:line="240" w:lineRule="auto"/>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　</w:t>
            </w:r>
          </w:p>
        </w:tc>
        <w:tc>
          <w:tcPr>
            <w:tcW w:w="426" w:type="pct"/>
            <w:tcBorders>
              <w:top w:val="nil"/>
              <w:left w:val="nil"/>
              <w:bottom w:val="single" w:sz="4" w:space="0" w:color="auto"/>
              <w:right w:val="nil"/>
            </w:tcBorders>
            <w:shd w:val="clear" w:color="auto" w:fill="auto"/>
            <w:noWrap/>
            <w:vAlign w:val="center"/>
            <w:hideMark/>
          </w:tcPr>
          <w:p w14:paraId="1AC2B63E" w14:textId="77777777" w:rsidR="00C26954" w:rsidRDefault="00E108B4">
            <w:pPr>
              <w:widowControl/>
              <w:spacing w:line="240" w:lineRule="auto"/>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　</w:t>
            </w:r>
          </w:p>
        </w:tc>
        <w:tc>
          <w:tcPr>
            <w:tcW w:w="200" w:type="pct"/>
            <w:tcBorders>
              <w:top w:val="nil"/>
              <w:left w:val="nil"/>
              <w:bottom w:val="single" w:sz="4" w:space="0" w:color="auto"/>
              <w:right w:val="nil"/>
            </w:tcBorders>
            <w:shd w:val="clear" w:color="auto" w:fill="auto"/>
            <w:noWrap/>
            <w:vAlign w:val="center"/>
            <w:hideMark/>
          </w:tcPr>
          <w:p w14:paraId="1AC2B63F"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w:t>
            </w:r>
          </w:p>
        </w:tc>
        <w:tc>
          <w:tcPr>
            <w:tcW w:w="450" w:type="pct"/>
            <w:tcBorders>
              <w:top w:val="nil"/>
              <w:left w:val="nil"/>
              <w:bottom w:val="single" w:sz="4" w:space="0" w:color="auto"/>
              <w:right w:val="nil"/>
            </w:tcBorders>
            <w:shd w:val="clear" w:color="auto" w:fill="auto"/>
            <w:noWrap/>
            <w:vAlign w:val="center"/>
            <w:hideMark/>
          </w:tcPr>
          <w:p w14:paraId="1AC2B640"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Expected N</w:t>
            </w:r>
          </w:p>
        </w:tc>
        <w:tc>
          <w:tcPr>
            <w:tcW w:w="286" w:type="pct"/>
            <w:tcBorders>
              <w:top w:val="nil"/>
              <w:left w:val="nil"/>
              <w:bottom w:val="single" w:sz="4" w:space="0" w:color="auto"/>
              <w:right w:val="nil"/>
            </w:tcBorders>
            <w:shd w:val="clear" w:color="auto" w:fill="auto"/>
            <w:noWrap/>
            <w:vAlign w:val="center"/>
            <w:hideMark/>
          </w:tcPr>
          <w:p w14:paraId="1AC2B641"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w:t>
            </w:r>
          </w:p>
        </w:tc>
        <w:tc>
          <w:tcPr>
            <w:tcW w:w="413" w:type="pct"/>
            <w:tcBorders>
              <w:top w:val="nil"/>
              <w:left w:val="nil"/>
              <w:bottom w:val="single" w:sz="4" w:space="0" w:color="auto"/>
              <w:right w:val="nil"/>
            </w:tcBorders>
            <w:shd w:val="clear" w:color="auto" w:fill="auto"/>
            <w:noWrap/>
            <w:vAlign w:val="center"/>
            <w:hideMark/>
          </w:tcPr>
          <w:p w14:paraId="1AC2B642"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Expected N</w:t>
            </w:r>
          </w:p>
        </w:tc>
        <w:tc>
          <w:tcPr>
            <w:tcW w:w="323" w:type="pct"/>
            <w:tcBorders>
              <w:top w:val="nil"/>
              <w:left w:val="nil"/>
              <w:bottom w:val="single" w:sz="4" w:space="0" w:color="auto"/>
              <w:right w:val="nil"/>
            </w:tcBorders>
            <w:shd w:val="clear" w:color="auto" w:fill="auto"/>
            <w:noWrap/>
            <w:vAlign w:val="center"/>
            <w:hideMark/>
          </w:tcPr>
          <w:p w14:paraId="1AC2B643"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w:t>
            </w:r>
          </w:p>
        </w:tc>
        <w:tc>
          <w:tcPr>
            <w:tcW w:w="343" w:type="pct"/>
            <w:tcBorders>
              <w:top w:val="nil"/>
              <w:left w:val="nil"/>
              <w:bottom w:val="single" w:sz="4" w:space="0" w:color="auto"/>
              <w:right w:val="nil"/>
            </w:tcBorders>
            <w:shd w:val="clear" w:color="auto" w:fill="auto"/>
            <w:noWrap/>
            <w:vAlign w:val="center"/>
            <w:hideMark/>
          </w:tcPr>
          <w:p w14:paraId="1AC2B644"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Expected N</w:t>
            </w:r>
          </w:p>
        </w:tc>
        <w:tc>
          <w:tcPr>
            <w:tcW w:w="343" w:type="pct"/>
            <w:tcBorders>
              <w:top w:val="nil"/>
              <w:left w:val="nil"/>
              <w:bottom w:val="single" w:sz="4" w:space="0" w:color="auto"/>
              <w:right w:val="nil"/>
            </w:tcBorders>
            <w:shd w:val="clear" w:color="auto" w:fill="auto"/>
            <w:noWrap/>
            <w:vAlign w:val="center"/>
            <w:hideMark/>
          </w:tcPr>
          <w:p w14:paraId="1AC2B645"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w:t>
            </w:r>
          </w:p>
        </w:tc>
        <w:tc>
          <w:tcPr>
            <w:tcW w:w="345" w:type="pct"/>
            <w:tcBorders>
              <w:top w:val="nil"/>
              <w:left w:val="nil"/>
              <w:bottom w:val="single" w:sz="4" w:space="0" w:color="auto"/>
              <w:right w:val="nil"/>
            </w:tcBorders>
            <w:shd w:val="clear" w:color="auto" w:fill="auto"/>
            <w:noWrap/>
            <w:vAlign w:val="center"/>
            <w:hideMark/>
          </w:tcPr>
          <w:p w14:paraId="1AC2B646"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Expected N</w:t>
            </w:r>
          </w:p>
        </w:tc>
        <w:tc>
          <w:tcPr>
            <w:tcW w:w="342" w:type="pct"/>
            <w:tcBorders>
              <w:top w:val="nil"/>
              <w:left w:val="nil"/>
              <w:bottom w:val="single" w:sz="4" w:space="0" w:color="auto"/>
              <w:right w:val="nil"/>
            </w:tcBorders>
            <w:shd w:val="clear" w:color="auto" w:fill="auto"/>
            <w:noWrap/>
            <w:vAlign w:val="center"/>
            <w:hideMark/>
          </w:tcPr>
          <w:p w14:paraId="1AC2B647"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w:t>
            </w:r>
          </w:p>
        </w:tc>
        <w:tc>
          <w:tcPr>
            <w:tcW w:w="345" w:type="pct"/>
            <w:tcBorders>
              <w:top w:val="nil"/>
              <w:left w:val="nil"/>
              <w:bottom w:val="single" w:sz="4" w:space="0" w:color="auto"/>
              <w:right w:val="nil"/>
            </w:tcBorders>
            <w:shd w:val="clear" w:color="auto" w:fill="auto"/>
            <w:noWrap/>
            <w:vAlign w:val="center"/>
            <w:hideMark/>
          </w:tcPr>
          <w:p w14:paraId="1AC2B648"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Expected N</w:t>
            </w:r>
          </w:p>
        </w:tc>
        <w:tc>
          <w:tcPr>
            <w:tcW w:w="342" w:type="pct"/>
            <w:tcBorders>
              <w:top w:val="nil"/>
              <w:left w:val="nil"/>
              <w:bottom w:val="single" w:sz="4" w:space="0" w:color="auto"/>
              <w:right w:val="nil"/>
            </w:tcBorders>
            <w:shd w:val="clear" w:color="auto" w:fill="auto"/>
            <w:noWrap/>
            <w:vAlign w:val="center"/>
            <w:hideMark/>
          </w:tcPr>
          <w:p w14:paraId="1AC2B649"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w:t>
            </w:r>
          </w:p>
        </w:tc>
        <w:tc>
          <w:tcPr>
            <w:tcW w:w="340" w:type="pct"/>
            <w:tcBorders>
              <w:top w:val="nil"/>
              <w:left w:val="nil"/>
              <w:bottom w:val="single" w:sz="4" w:space="0" w:color="auto"/>
              <w:right w:val="nil"/>
            </w:tcBorders>
            <w:shd w:val="clear" w:color="auto" w:fill="auto"/>
            <w:noWrap/>
            <w:vAlign w:val="center"/>
            <w:hideMark/>
          </w:tcPr>
          <w:p w14:paraId="1AC2B64A"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Expected N</w:t>
            </w:r>
          </w:p>
        </w:tc>
      </w:tr>
      <w:tr w:rsidR="00C26954" w14:paraId="1AC2B65A" w14:textId="77777777">
        <w:trPr>
          <w:trHeight w:val="360"/>
        </w:trPr>
        <w:tc>
          <w:tcPr>
            <w:tcW w:w="500" w:type="pct"/>
            <w:tcBorders>
              <w:top w:val="nil"/>
              <w:left w:val="nil"/>
              <w:bottom w:val="nil"/>
              <w:right w:val="nil"/>
            </w:tcBorders>
            <w:shd w:val="clear" w:color="auto" w:fill="auto"/>
            <w:noWrap/>
            <w:vAlign w:val="center"/>
            <w:hideMark/>
          </w:tcPr>
          <w:p w14:paraId="1AC2B64C" w14:textId="77777777" w:rsidR="00C26954" w:rsidRDefault="00E108B4">
            <w:pPr>
              <w:widowControl/>
              <w:spacing w:line="240" w:lineRule="auto"/>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Male</w:t>
            </w:r>
          </w:p>
        </w:tc>
        <w:tc>
          <w:tcPr>
            <w:tcW w:w="426" w:type="pct"/>
            <w:tcBorders>
              <w:top w:val="nil"/>
              <w:left w:val="nil"/>
              <w:bottom w:val="nil"/>
              <w:right w:val="nil"/>
            </w:tcBorders>
            <w:shd w:val="clear" w:color="auto" w:fill="auto"/>
            <w:noWrap/>
            <w:vAlign w:val="center"/>
            <w:hideMark/>
          </w:tcPr>
          <w:p w14:paraId="1AC2B64D" w14:textId="77777777" w:rsidR="00C26954" w:rsidRDefault="00E108B4">
            <w:pPr>
              <w:widowControl/>
              <w:spacing w:line="240" w:lineRule="auto"/>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Lung</w:t>
            </w:r>
          </w:p>
        </w:tc>
        <w:tc>
          <w:tcPr>
            <w:tcW w:w="200" w:type="pct"/>
            <w:tcBorders>
              <w:top w:val="nil"/>
              <w:left w:val="nil"/>
              <w:bottom w:val="nil"/>
              <w:right w:val="nil"/>
            </w:tcBorders>
            <w:shd w:val="clear" w:color="auto" w:fill="auto"/>
            <w:noWrap/>
            <w:vAlign w:val="center"/>
            <w:hideMark/>
          </w:tcPr>
          <w:p w14:paraId="1AC2B64E"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7.8</w:t>
            </w:r>
          </w:p>
        </w:tc>
        <w:tc>
          <w:tcPr>
            <w:tcW w:w="450" w:type="pct"/>
            <w:tcBorders>
              <w:top w:val="nil"/>
              <w:left w:val="nil"/>
              <w:bottom w:val="nil"/>
              <w:right w:val="nil"/>
            </w:tcBorders>
            <w:shd w:val="clear" w:color="auto" w:fill="auto"/>
            <w:noWrap/>
            <w:vAlign w:val="center"/>
            <w:hideMark/>
          </w:tcPr>
          <w:p w14:paraId="1AC2B64F"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10,704 </w:t>
            </w:r>
          </w:p>
        </w:tc>
        <w:tc>
          <w:tcPr>
            <w:tcW w:w="286" w:type="pct"/>
            <w:tcBorders>
              <w:top w:val="nil"/>
              <w:left w:val="nil"/>
              <w:bottom w:val="nil"/>
              <w:right w:val="nil"/>
            </w:tcBorders>
            <w:shd w:val="clear" w:color="auto" w:fill="auto"/>
            <w:noWrap/>
            <w:vAlign w:val="center"/>
            <w:hideMark/>
          </w:tcPr>
          <w:p w14:paraId="1AC2B650"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10.2</w:t>
            </w:r>
          </w:p>
        </w:tc>
        <w:tc>
          <w:tcPr>
            <w:tcW w:w="413" w:type="pct"/>
            <w:tcBorders>
              <w:top w:val="nil"/>
              <w:left w:val="nil"/>
              <w:bottom w:val="nil"/>
              <w:right w:val="nil"/>
            </w:tcBorders>
            <w:shd w:val="clear" w:color="auto" w:fill="auto"/>
            <w:noWrap/>
            <w:vAlign w:val="center"/>
            <w:hideMark/>
          </w:tcPr>
          <w:p w14:paraId="1AC2B651"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14,151 </w:t>
            </w:r>
          </w:p>
        </w:tc>
        <w:tc>
          <w:tcPr>
            <w:tcW w:w="323" w:type="pct"/>
            <w:tcBorders>
              <w:top w:val="nil"/>
              <w:left w:val="nil"/>
              <w:bottom w:val="nil"/>
              <w:right w:val="nil"/>
            </w:tcBorders>
            <w:shd w:val="clear" w:color="auto" w:fill="auto"/>
            <w:noWrap/>
            <w:vAlign w:val="center"/>
            <w:hideMark/>
          </w:tcPr>
          <w:p w14:paraId="1AC2B652"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9.9</w:t>
            </w:r>
          </w:p>
        </w:tc>
        <w:tc>
          <w:tcPr>
            <w:tcW w:w="343" w:type="pct"/>
            <w:tcBorders>
              <w:top w:val="nil"/>
              <w:left w:val="nil"/>
              <w:bottom w:val="nil"/>
              <w:right w:val="nil"/>
            </w:tcBorders>
            <w:shd w:val="clear" w:color="auto" w:fill="auto"/>
            <w:noWrap/>
            <w:vAlign w:val="center"/>
            <w:hideMark/>
          </w:tcPr>
          <w:p w14:paraId="1AC2B653"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13,636 </w:t>
            </w:r>
          </w:p>
        </w:tc>
        <w:tc>
          <w:tcPr>
            <w:tcW w:w="343" w:type="pct"/>
            <w:tcBorders>
              <w:top w:val="nil"/>
              <w:left w:val="nil"/>
              <w:bottom w:val="nil"/>
              <w:right w:val="nil"/>
            </w:tcBorders>
            <w:shd w:val="clear" w:color="auto" w:fill="auto"/>
            <w:noWrap/>
            <w:vAlign w:val="center"/>
            <w:hideMark/>
          </w:tcPr>
          <w:p w14:paraId="1AC2B654"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12.5</w:t>
            </w:r>
          </w:p>
        </w:tc>
        <w:tc>
          <w:tcPr>
            <w:tcW w:w="345" w:type="pct"/>
            <w:tcBorders>
              <w:top w:val="nil"/>
              <w:left w:val="nil"/>
              <w:bottom w:val="nil"/>
              <w:right w:val="nil"/>
            </w:tcBorders>
            <w:shd w:val="clear" w:color="auto" w:fill="auto"/>
            <w:noWrap/>
            <w:vAlign w:val="center"/>
            <w:hideMark/>
          </w:tcPr>
          <w:p w14:paraId="1AC2B655"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17,302 </w:t>
            </w:r>
          </w:p>
        </w:tc>
        <w:tc>
          <w:tcPr>
            <w:tcW w:w="342" w:type="pct"/>
            <w:tcBorders>
              <w:top w:val="nil"/>
              <w:left w:val="nil"/>
              <w:bottom w:val="nil"/>
              <w:right w:val="nil"/>
            </w:tcBorders>
            <w:shd w:val="clear" w:color="auto" w:fill="auto"/>
            <w:noWrap/>
            <w:vAlign w:val="center"/>
            <w:hideMark/>
          </w:tcPr>
          <w:p w14:paraId="1AC2B656"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13.6</w:t>
            </w:r>
          </w:p>
        </w:tc>
        <w:tc>
          <w:tcPr>
            <w:tcW w:w="345" w:type="pct"/>
            <w:tcBorders>
              <w:top w:val="nil"/>
              <w:left w:val="nil"/>
              <w:bottom w:val="nil"/>
              <w:right w:val="nil"/>
            </w:tcBorders>
            <w:shd w:val="clear" w:color="auto" w:fill="auto"/>
            <w:noWrap/>
            <w:vAlign w:val="center"/>
            <w:hideMark/>
          </w:tcPr>
          <w:p w14:paraId="1AC2B657"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18,751 </w:t>
            </w:r>
          </w:p>
        </w:tc>
        <w:tc>
          <w:tcPr>
            <w:tcW w:w="342" w:type="pct"/>
            <w:tcBorders>
              <w:top w:val="nil"/>
              <w:left w:val="nil"/>
              <w:bottom w:val="nil"/>
              <w:right w:val="nil"/>
            </w:tcBorders>
            <w:shd w:val="clear" w:color="auto" w:fill="auto"/>
            <w:noWrap/>
            <w:vAlign w:val="center"/>
            <w:hideMark/>
          </w:tcPr>
          <w:p w14:paraId="1AC2B658"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13.7</w:t>
            </w:r>
          </w:p>
        </w:tc>
        <w:tc>
          <w:tcPr>
            <w:tcW w:w="340" w:type="pct"/>
            <w:tcBorders>
              <w:top w:val="nil"/>
              <w:left w:val="nil"/>
              <w:bottom w:val="nil"/>
              <w:right w:val="nil"/>
            </w:tcBorders>
            <w:shd w:val="clear" w:color="auto" w:fill="auto"/>
            <w:noWrap/>
            <w:vAlign w:val="center"/>
            <w:hideMark/>
          </w:tcPr>
          <w:p w14:paraId="1AC2B659"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18,893 </w:t>
            </w:r>
          </w:p>
        </w:tc>
      </w:tr>
      <w:tr w:rsidR="00C26954" w14:paraId="1AC2B669" w14:textId="77777777">
        <w:trPr>
          <w:trHeight w:val="360"/>
        </w:trPr>
        <w:tc>
          <w:tcPr>
            <w:tcW w:w="500" w:type="pct"/>
            <w:tcBorders>
              <w:top w:val="nil"/>
              <w:left w:val="nil"/>
              <w:bottom w:val="nil"/>
              <w:right w:val="nil"/>
            </w:tcBorders>
            <w:shd w:val="clear" w:color="auto" w:fill="auto"/>
            <w:noWrap/>
            <w:vAlign w:val="center"/>
            <w:hideMark/>
          </w:tcPr>
          <w:p w14:paraId="1AC2B65B" w14:textId="77777777" w:rsidR="00C26954" w:rsidRDefault="00C26954">
            <w:pPr>
              <w:widowControl/>
              <w:spacing w:line="240" w:lineRule="auto"/>
              <w:jc w:val="center"/>
              <w:rPr>
                <w:rFonts w:eastAsia="游ゴシック" w:cs="Times New Roman"/>
                <w:color w:val="000000"/>
                <w:kern w:val="0"/>
                <w:sz w:val="18"/>
                <w:szCs w:val="18"/>
                <w:highlight w:val="yellow"/>
              </w:rPr>
            </w:pPr>
          </w:p>
        </w:tc>
        <w:tc>
          <w:tcPr>
            <w:tcW w:w="426" w:type="pct"/>
            <w:tcBorders>
              <w:top w:val="nil"/>
              <w:left w:val="nil"/>
              <w:bottom w:val="nil"/>
              <w:right w:val="nil"/>
            </w:tcBorders>
            <w:shd w:val="clear" w:color="auto" w:fill="auto"/>
            <w:noWrap/>
            <w:vAlign w:val="center"/>
            <w:hideMark/>
          </w:tcPr>
          <w:p w14:paraId="1AC2B65C" w14:textId="77777777" w:rsidR="00C26954" w:rsidRDefault="00E108B4">
            <w:pPr>
              <w:widowControl/>
              <w:spacing w:line="240" w:lineRule="auto"/>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Stomach</w:t>
            </w:r>
          </w:p>
        </w:tc>
        <w:tc>
          <w:tcPr>
            <w:tcW w:w="200" w:type="pct"/>
            <w:tcBorders>
              <w:top w:val="nil"/>
              <w:left w:val="nil"/>
              <w:bottom w:val="nil"/>
              <w:right w:val="nil"/>
            </w:tcBorders>
            <w:shd w:val="clear" w:color="auto" w:fill="auto"/>
            <w:noWrap/>
            <w:vAlign w:val="center"/>
            <w:hideMark/>
          </w:tcPr>
          <w:p w14:paraId="1AC2B65D"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7.8</w:t>
            </w:r>
          </w:p>
        </w:tc>
        <w:tc>
          <w:tcPr>
            <w:tcW w:w="450" w:type="pct"/>
            <w:tcBorders>
              <w:top w:val="nil"/>
              <w:left w:val="nil"/>
              <w:bottom w:val="nil"/>
              <w:right w:val="nil"/>
            </w:tcBorders>
            <w:shd w:val="clear" w:color="auto" w:fill="auto"/>
            <w:noWrap/>
            <w:vAlign w:val="center"/>
            <w:hideMark/>
          </w:tcPr>
          <w:p w14:paraId="1AC2B65E"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10,789 </w:t>
            </w:r>
          </w:p>
        </w:tc>
        <w:tc>
          <w:tcPr>
            <w:tcW w:w="286" w:type="pct"/>
            <w:tcBorders>
              <w:top w:val="nil"/>
              <w:left w:val="nil"/>
              <w:bottom w:val="nil"/>
              <w:right w:val="nil"/>
            </w:tcBorders>
            <w:shd w:val="clear" w:color="auto" w:fill="auto"/>
            <w:noWrap/>
            <w:vAlign w:val="center"/>
            <w:hideMark/>
          </w:tcPr>
          <w:p w14:paraId="1AC2B65F"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9.0</w:t>
            </w:r>
          </w:p>
        </w:tc>
        <w:tc>
          <w:tcPr>
            <w:tcW w:w="413" w:type="pct"/>
            <w:tcBorders>
              <w:top w:val="nil"/>
              <w:left w:val="nil"/>
              <w:bottom w:val="nil"/>
              <w:right w:val="nil"/>
            </w:tcBorders>
            <w:shd w:val="clear" w:color="auto" w:fill="auto"/>
            <w:noWrap/>
            <w:vAlign w:val="center"/>
            <w:hideMark/>
          </w:tcPr>
          <w:p w14:paraId="1AC2B660"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12,365 </w:t>
            </w:r>
          </w:p>
        </w:tc>
        <w:tc>
          <w:tcPr>
            <w:tcW w:w="323" w:type="pct"/>
            <w:tcBorders>
              <w:top w:val="nil"/>
              <w:left w:val="nil"/>
              <w:bottom w:val="nil"/>
              <w:right w:val="nil"/>
            </w:tcBorders>
            <w:shd w:val="clear" w:color="auto" w:fill="auto"/>
            <w:noWrap/>
            <w:vAlign w:val="center"/>
            <w:hideMark/>
          </w:tcPr>
          <w:p w14:paraId="1AC2B661"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9.4</w:t>
            </w:r>
          </w:p>
        </w:tc>
        <w:tc>
          <w:tcPr>
            <w:tcW w:w="343" w:type="pct"/>
            <w:tcBorders>
              <w:top w:val="nil"/>
              <w:left w:val="nil"/>
              <w:bottom w:val="nil"/>
              <w:right w:val="nil"/>
            </w:tcBorders>
            <w:shd w:val="clear" w:color="auto" w:fill="auto"/>
            <w:noWrap/>
            <w:vAlign w:val="center"/>
            <w:hideMark/>
          </w:tcPr>
          <w:p w14:paraId="1AC2B662"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12,995 </w:t>
            </w:r>
          </w:p>
        </w:tc>
        <w:tc>
          <w:tcPr>
            <w:tcW w:w="343" w:type="pct"/>
            <w:tcBorders>
              <w:top w:val="nil"/>
              <w:left w:val="nil"/>
              <w:bottom w:val="nil"/>
              <w:right w:val="nil"/>
            </w:tcBorders>
            <w:shd w:val="clear" w:color="auto" w:fill="auto"/>
            <w:noWrap/>
            <w:vAlign w:val="center"/>
            <w:hideMark/>
          </w:tcPr>
          <w:p w14:paraId="1AC2B663"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10.9</w:t>
            </w:r>
          </w:p>
        </w:tc>
        <w:tc>
          <w:tcPr>
            <w:tcW w:w="345" w:type="pct"/>
            <w:tcBorders>
              <w:top w:val="nil"/>
              <w:left w:val="nil"/>
              <w:bottom w:val="nil"/>
              <w:right w:val="nil"/>
            </w:tcBorders>
            <w:shd w:val="clear" w:color="auto" w:fill="auto"/>
            <w:noWrap/>
            <w:vAlign w:val="center"/>
            <w:hideMark/>
          </w:tcPr>
          <w:p w14:paraId="1AC2B664"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15,030 </w:t>
            </w:r>
          </w:p>
        </w:tc>
        <w:tc>
          <w:tcPr>
            <w:tcW w:w="342" w:type="pct"/>
            <w:tcBorders>
              <w:top w:val="nil"/>
              <w:left w:val="nil"/>
              <w:bottom w:val="nil"/>
              <w:right w:val="nil"/>
            </w:tcBorders>
            <w:shd w:val="clear" w:color="auto" w:fill="auto"/>
            <w:noWrap/>
            <w:vAlign w:val="center"/>
            <w:hideMark/>
          </w:tcPr>
          <w:p w14:paraId="1AC2B665"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11.7</w:t>
            </w:r>
          </w:p>
        </w:tc>
        <w:tc>
          <w:tcPr>
            <w:tcW w:w="345" w:type="pct"/>
            <w:tcBorders>
              <w:top w:val="nil"/>
              <w:left w:val="nil"/>
              <w:bottom w:val="nil"/>
              <w:right w:val="nil"/>
            </w:tcBorders>
            <w:shd w:val="clear" w:color="auto" w:fill="auto"/>
            <w:noWrap/>
            <w:vAlign w:val="center"/>
            <w:hideMark/>
          </w:tcPr>
          <w:p w14:paraId="1AC2B666"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16,195 </w:t>
            </w:r>
          </w:p>
        </w:tc>
        <w:tc>
          <w:tcPr>
            <w:tcW w:w="342" w:type="pct"/>
            <w:tcBorders>
              <w:top w:val="nil"/>
              <w:left w:val="nil"/>
              <w:bottom w:val="nil"/>
              <w:right w:val="nil"/>
            </w:tcBorders>
            <w:shd w:val="clear" w:color="auto" w:fill="auto"/>
            <w:noWrap/>
            <w:vAlign w:val="center"/>
            <w:hideMark/>
          </w:tcPr>
          <w:p w14:paraId="1AC2B667"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12.4</w:t>
            </w:r>
          </w:p>
        </w:tc>
        <w:tc>
          <w:tcPr>
            <w:tcW w:w="340" w:type="pct"/>
            <w:tcBorders>
              <w:top w:val="nil"/>
              <w:left w:val="nil"/>
              <w:bottom w:val="nil"/>
              <w:right w:val="nil"/>
            </w:tcBorders>
            <w:shd w:val="clear" w:color="auto" w:fill="auto"/>
            <w:noWrap/>
            <w:vAlign w:val="center"/>
            <w:hideMark/>
          </w:tcPr>
          <w:p w14:paraId="1AC2B668"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17,087 </w:t>
            </w:r>
          </w:p>
        </w:tc>
      </w:tr>
      <w:tr w:rsidR="00C26954" w14:paraId="1AC2B678" w14:textId="77777777">
        <w:trPr>
          <w:trHeight w:val="360"/>
        </w:trPr>
        <w:tc>
          <w:tcPr>
            <w:tcW w:w="500" w:type="pct"/>
            <w:tcBorders>
              <w:top w:val="nil"/>
              <w:left w:val="nil"/>
              <w:bottom w:val="nil"/>
              <w:right w:val="nil"/>
            </w:tcBorders>
            <w:shd w:val="clear" w:color="auto" w:fill="auto"/>
            <w:noWrap/>
            <w:vAlign w:val="center"/>
            <w:hideMark/>
          </w:tcPr>
          <w:p w14:paraId="1AC2B66A" w14:textId="77777777" w:rsidR="00C26954" w:rsidRDefault="00C26954">
            <w:pPr>
              <w:widowControl/>
              <w:spacing w:line="240" w:lineRule="auto"/>
              <w:jc w:val="center"/>
              <w:rPr>
                <w:rFonts w:eastAsia="游ゴシック" w:cs="Times New Roman"/>
                <w:color w:val="000000"/>
                <w:kern w:val="0"/>
                <w:sz w:val="18"/>
                <w:szCs w:val="18"/>
                <w:highlight w:val="yellow"/>
              </w:rPr>
            </w:pPr>
          </w:p>
        </w:tc>
        <w:tc>
          <w:tcPr>
            <w:tcW w:w="426" w:type="pct"/>
            <w:tcBorders>
              <w:top w:val="nil"/>
              <w:left w:val="nil"/>
              <w:bottom w:val="nil"/>
              <w:right w:val="nil"/>
            </w:tcBorders>
            <w:shd w:val="clear" w:color="auto" w:fill="auto"/>
            <w:noWrap/>
            <w:vAlign w:val="center"/>
            <w:hideMark/>
          </w:tcPr>
          <w:p w14:paraId="1AC2B66B" w14:textId="77777777" w:rsidR="00C26954" w:rsidRDefault="00E108B4">
            <w:pPr>
              <w:widowControl/>
              <w:spacing w:line="240" w:lineRule="auto"/>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Colorectum</w:t>
            </w:r>
          </w:p>
        </w:tc>
        <w:tc>
          <w:tcPr>
            <w:tcW w:w="200" w:type="pct"/>
            <w:tcBorders>
              <w:top w:val="nil"/>
              <w:left w:val="nil"/>
              <w:bottom w:val="nil"/>
              <w:right w:val="nil"/>
            </w:tcBorders>
            <w:shd w:val="clear" w:color="auto" w:fill="auto"/>
            <w:noWrap/>
            <w:vAlign w:val="center"/>
            <w:hideMark/>
          </w:tcPr>
          <w:p w14:paraId="1AC2B66C"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6.8</w:t>
            </w:r>
          </w:p>
        </w:tc>
        <w:tc>
          <w:tcPr>
            <w:tcW w:w="450" w:type="pct"/>
            <w:tcBorders>
              <w:top w:val="nil"/>
              <w:left w:val="nil"/>
              <w:bottom w:val="nil"/>
              <w:right w:val="nil"/>
            </w:tcBorders>
            <w:shd w:val="clear" w:color="auto" w:fill="auto"/>
            <w:noWrap/>
            <w:vAlign w:val="center"/>
            <w:hideMark/>
          </w:tcPr>
          <w:p w14:paraId="1AC2B66D"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9,445 </w:t>
            </w:r>
          </w:p>
        </w:tc>
        <w:tc>
          <w:tcPr>
            <w:tcW w:w="286" w:type="pct"/>
            <w:tcBorders>
              <w:top w:val="nil"/>
              <w:left w:val="nil"/>
              <w:bottom w:val="nil"/>
              <w:right w:val="nil"/>
            </w:tcBorders>
            <w:shd w:val="clear" w:color="auto" w:fill="auto"/>
            <w:noWrap/>
            <w:vAlign w:val="center"/>
            <w:hideMark/>
          </w:tcPr>
          <w:p w14:paraId="1AC2B66E"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8.1</w:t>
            </w:r>
          </w:p>
        </w:tc>
        <w:tc>
          <w:tcPr>
            <w:tcW w:w="413" w:type="pct"/>
            <w:tcBorders>
              <w:top w:val="nil"/>
              <w:left w:val="nil"/>
              <w:bottom w:val="nil"/>
              <w:right w:val="nil"/>
            </w:tcBorders>
            <w:shd w:val="clear" w:color="auto" w:fill="auto"/>
            <w:noWrap/>
            <w:vAlign w:val="center"/>
            <w:hideMark/>
          </w:tcPr>
          <w:p w14:paraId="1AC2B66F"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11,127 </w:t>
            </w:r>
          </w:p>
        </w:tc>
        <w:tc>
          <w:tcPr>
            <w:tcW w:w="323" w:type="pct"/>
            <w:tcBorders>
              <w:top w:val="nil"/>
              <w:left w:val="nil"/>
              <w:bottom w:val="nil"/>
              <w:right w:val="nil"/>
            </w:tcBorders>
            <w:shd w:val="clear" w:color="auto" w:fill="auto"/>
            <w:noWrap/>
            <w:vAlign w:val="center"/>
            <w:hideMark/>
          </w:tcPr>
          <w:p w14:paraId="1AC2B670"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8.4</w:t>
            </w:r>
          </w:p>
        </w:tc>
        <w:tc>
          <w:tcPr>
            <w:tcW w:w="343" w:type="pct"/>
            <w:tcBorders>
              <w:top w:val="nil"/>
              <w:left w:val="nil"/>
              <w:bottom w:val="nil"/>
              <w:right w:val="nil"/>
            </w:tcBorders>
            <w:shd w:val="clear" w:color="auto" w:fill="auto"/>
            <w:noWrap/>
            <w:vAlign w:val="center"/>
            <w:hideMark/>
          </w:tcPr>
          <w:p w14:paraId="1AC2B671"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11,618 </w:t>
            </w:r>
          </w:p>
        </w:tc>
        <w:tc>
          <w:tcPr>
            <w:tcW w:w="343" w:type="pct"/>
            <w:tcBorders>
              <w:top w:val="nil"/>
              <w:left w:val="nil"/>
              <w:bottom w:val="nil"/>
              <w:right w:val="nil"/>
            </w:tcBorders>
            <w:shd w:val="clear" w:color="auto" w:fill="auto"/>
            <w:noWrap/>
            <w:vAlign w:val="center"/>
            <w:hideMark/>
          </w:tcPr>
          <w:p w14:paraId="1AC2B672"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9.4</w:t>
            </w:r>
          </w:p>
        </w:tc>
        <w:tc>
          <w:tcPr>
            <w:tcW w:w="345" w:type="pct"/>
            <w:tcBorders>
              <w:top w:val="nil"/>
              <w:left w:val="nil"/>
              <w:bottom w:val="nil"/>
              <w:right w:val="nil"/>
            </w:tcBorders>
            <w:shd w:val="clear" w:color="auto" w:fill="auto"/>
            <w:noWrap/>
            <w:vAlign w:val="center"/>
            <w:hideMark/>
          </w:tcPr>
          <w:p w14:paraId="1AC2B673"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12,917 </w:t>
            </w:r>
          </w:p>
        </w:tc>
        <w:tc>
          <w:tcPr>
            <w:tcW w:w="342" w:type="pct"/>
            <w:tcBorders>
              <w:top w:val="nil"/>
              <w:left w:val="nil"/>
              <w:bottom w:val="nil"/>
              <w:right w:val="nil"/>
            </w:tcBorders>
            <w:shd w:val="clear" w:color="auto" w:fill="auto"/>
            <w:noWrap/>
            <w:vAlign w:val="center"/>
            <w:hideMark/>
          </w:tcPr>
          <w:p w14:paraId="1AC2B674"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9.7</w:t>
            </w:r>
          </w:p>
        </w:tc>
        <w:tc>
          <w:tcPr>
            <w:tcW w:w="345" w:type="pct"/>
            <w:tcBorders>
              <w:top w:val="nil"/>
              <w:left w:val="nil"/>
              <w:bottom w:val="nil"/>
              <w:right w:val="nil"/>
            </w:tcBorders>
            <w:shd w:val="clear" w:color="auto" w:fill="auto"/>
            <w:noWrap/>
            <w:vAlign w:val="center"/>
            <w:hideMark/>
          </w:tcPr>
          <w:p w14:paraId="1AC2B675"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13,410 </w:t>
            </w:r>
          </w:p>
        </w:tc>
        <w:tc>
          <w:tcPr>
            <w:tcW w:w="342" w:type="pct"/>
            <w:tcBorders>
              <w:top w:val="nil"/>
              <w:left w:val="nil"/>
              <w:bottom w:val="nil"/>
              <w:right w:val="nil"/>
            </w:tcBorders>
            <w:shd w:val="clear" w:color="auto" w:fill="auto"/>
            <w:noWrap/>
            <w:vAlign w:val="center"/>
            <w:hideMark/>
          </w:tcPr>
          <w:p w14:paraId="1AC2B676"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9.8</w:t>
            </w:r>
          </w:p>
        </w:tc>
        <w:tc>
          <w:tcPr>
            <w:tcW w:w="340" w:type="pct"/>
            <w:tcBorders>
              <w:top w:val="nil"/>
              <w:left w:val="nil"/>
              <w:bottom w:val="nil"/>
              <w:right w:val="nil"/>
            </w:tcBorders>
            <w:shd w:val="clear" w:color="auto" w:fill="auto"/>
            <w:noWrap/>
            <w:vAlign w:val="center"/>
            <w:hideMark/>
          </w:tcPr>
          <w:p w14:paraId="1AC2B677"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13,541 </w:t>
            </w:r>
          </w:p>
        </w:tc>
      </w:tr>
      <w:tr w:rsidR="00C26954" w14:paraId="1AC2B687" w14:textId="77777777">
        <w:trPr>
          <w:trHeight w:val="360"/>
        </w:trPr>
        <w:tc>
          <w:tcPr>
            <w:tcW w:w="500" w:type="pct"/>
            <w:tcBorders>
              <w:top w:val="nil"/>
              <w:left w:val="nil"/>
              <w:bottom w:val="nil"/>
              <w:right w:val="nil"/>
            </w:tcBorders>
            <w:shd w:val="clear" w:color="auto" w:fill="auto"/>
            <w:noWrap/>
            <w:vAlign w:val="center"/>
            <w:hideMark/>
          </w:tcPr>
          <w:p w14:paraId="1AC2B679" w14:textId="77777777" w:rsidR="00C26954" w:rsidRDefault="00C26954">
            <w:pPr>
              <w:widowControl/>
              <w:spacing w:line="240" w:lineRule="auto"/>
              <w:jc w:val="center"/>
              <w:rPr>
                <w:rFonts w:eastAsia="游ゴシック" w:cs="Times New Roman"/>
                <w:color w:val="000000"/>
                <w:kern w:val="0"/>
                <w:sz w:val="18"/>
                <w:szCs w:val="18"/>
                <w:highlight w:val="yellow"/>
              </w:rPr>
            </w:pPr>
          </w:p>
        </w:tc>
        <w:tc>
          <w:tcPr>
            <w:tcW w:w="426" w:type="pct"/>
            <w:tcBorders>
              <w:top w:val="nil"/>
              <w:left w:val="nil"/>
              <w:bottom w:val="nil"/>
              <w:right w:val="nil"/>
            </w:tcBorders>
            <w:shd w:val="clear" w:color="auto" w:fill="auto"/>
            <w:noWrap/>
            <w:vAlign w:val="center"/>
            <w:hideMark/>
          </w:tcPr>
          <w:p w14:paraId="1AC2B67A" w14:textId="77777777" w:rsidR="00C26954" w:rsidRDefault="00C26954">
            <w:pPr>
              <w:widowControl/>
              <w:spacing w:line="240" w:lineRule="auto"/>
              <w:rPr>
                <w:rFonts w:eastAsia="Times New Roman" w:cs="Times New Roman"/>
                <w:kern w:val="0"/>
                <w:sz w:val="18"/>
                <w:szCs w:val="18"/>
                <w:highlight w:val="yellow"/>
              </w:rPr>
            </w:pPr>
          </w:p>
        </w:tc>
        <w:tc>
          <w:tcPr>
            <w:tcW w:w="200" w:type="pct"/>
            <w:tcBorders>
              <w:top w:val="nil"/>
              <w:left w:val="nil"/>
              <w:bottom w:val="nil"/>
              <w:right w:val="nil"/>
            </w:tcBorders>
            <w:shd w:val="clear" w:color="auto" w:fill="auto"/>
            <w:noWrap/>
            <w:vAlign w:val="center"/>
            <w:hideMark/>
          </w:tcPr>
          <w:p w14:paraId="1AC2B67B" w14:textId="77777777" w:rsidR="00C26954" w:rsidRDefault="00C26954">
            <w:pPr>
              <w:widowControl/>
              <w:spacing w:line="240" w:lineRule="auto"/>
              <w:rPr>
                <w:rFonts w:eastAsia="Times New Roman" w:cs="Times New Roman"/>
                <w:kern w:val="0"/>
                <w:sz w:val="18"/>
                <w:szCs w:val="18"/>
                <w:highlight w:val="yellow"/>
              </w:rPr>
            </w:pPr>
          </w:p>
        </w:tc>
        <w:tc>
          <w:tcPr>
            <w:tcW w:w="450" w:type="pct"/>
            <w:tcBorders>
              <w:top w:val="nil"/>
              <w:left w:val="nil"/>
              <w:bottom w:val="nil"/>
              <w:right w:val="nil"/>
            </w:tcBorders>
            <w:shd w:val="clear" w:color="auto" w:fill="auto"/>
            <w:noWrap/>
            <w:vAlign w:val="center"/>
            <w:hideMark/>
          </w:tcPr>
          <w:p w14:paraId="1AC2B67C" w14:textId="77777777" w:rsidR="00C26954" w:rsidRDefault="00C26954">
            <w:pPr>
              <w:widowControl/>
              <w:spacing w:line="240" w:lineRule="auto"/>
              <w:jc w:val="center"/>
              <w:rPr>
                <w:rFonts w:eastAsia="Times New Roman" w:cs="Times New Roman"/>
                <w:kern w:val="0"/>
                <w:sz w:val="18"/>
                <w:szCs w:val="18"/>
                <w:highlight w:val="yellow"/>
              </w:rPr>
            </w:pPr>
          </w:p>
        </w:tc>
        <w:tc>
          <w:tcPr>
            <w:tcW w:w="286" w:type="pct"/>
            <w:tcBorders>
              <w:top w:val="nil"/>
              <w:left w:val="nil"/>
              <w:bottom w:val="nil"/>
              <w:right w:val="nil"/>
            </w:tcBorders>
            <w:shd w:val="clear" w:color="auto" w:fill="auto"/>
            <w:noWrap/>
            <w:vAlign w:val="center"/>
            <w:hideMark/>
          </w:tcPr>
          <w:p w14:paraId="1AC2B67D" w14:textId="77777777" w:rsidR="00C26954" w:rsidRDefault="00C26954">
            <w:pPr>
              <w:widowControl/>
              <w:spacing w:line="240" w:lineRule="auto"/>
              <w:jc w:val="center"/>
              <w:rPr>
                <w:rFonts w:eastAsia="Times New Roman" w:cs="Times New Roman"/>
                <w:kern w:val="0"/>
                <w:sz w:val="18"/>
                <w:szCs w:val="18"/>
                <w:highlight w:val="yellow"/>
              </w:rPr>
            </w:pPr>
          </w:p>
        </w:tc>
        <w:tc>
          <w:tcPr>
            <w:tcW w:w="413" w:type="pct"/>
            <w:tcBorders>
              <w:top w:val="nil"/>
              <w:left w:val="nil"/>
              <w:bottom w:val="nil"/>
              <w:right w:val="nil"/>
            </w:tcBorders>
            <w:shd w:val="clear" w:color="auto" w:fill="auto"/>
            <w:noWrap/>
            <w:vAlign w:val="center"/>
            <w:hideMark/>
          </w:tcPr>
          <w:p w14:paraId="1AC2B67E" w14:textId="77777777" w:rsidR="00C26954" w:rsidRDefault="00C26954">
            <w:pPr>
              <w:widowControl/>
              <w:spacing w:line="240" w:lineRule="auto"/>
              <w:jc w:val="center"/>
              <w:rPr>
                <w:rFonts w:eastAsia="Times New Roman" w:cs="Times New Roman"/>
                <w:kern w:val="0"/>
                <w:sz w:val="18"/>
                <w:szCs w:val="18"/>
                <w:highlight w:val="yellow"/>
              </w:rPr>
            </w:pPr>
          </w:p>
        </w:tc>
        <w:tc>
          <w:tcPr>
            <w:tcW w:w="323" w:type="pct"/>
            <w:tcBorders>
              <w:top w:val="nil"/>
              <w:left w:val="nil"/>
              <w:bottom w:val="nil"/>
              <w:right w:val="nil"/>
            </w:tcBorders>
            <w:shd w:val="clear" w:color="auto" w:fill="auto"/>
            <w:noWrap/>
            <w:vAlign w:val="center"/>
            <w:hideMark/>
          </w:tcPr>
          <w:p w14:paraId="1AC2B67F" w14:textId="77777777" w:rsidR="00C26954" w:rsidRDefault="00C26954">
            <w:pPr>
              <w:widowControl/>
              <w:spacing w:line="240" w:lineRule="auto"/>
              <w:jc w:val="center"/>
              <w:rPr>
                <w:rFonts w:eastAsia="Times New Roman" w:cs="Times New Roman"/>
                <w:kern w:val="0"/>
                <w:sz w:val="18"/>
                <w:szCs w:val="18"/>
                <w:highlight w:val="yellow"/>
              </w:rPr>
            </w:pPr>
          </w:p>
        </w:tc>
        <w:tc>
          <w:tcPr>
            <w:tcW w:w="343" w:type="pct"/>
            <w:tcBorders>
              <w:top w:val="nil"/>
              <w:left w:val="nil"/>
              <w:bottom w:val="nil"/>
              <w:right w:val="nil"/>
            </w:tcBorders>
            <w:shd w:val="clear" w:color="auto" w:fill="auto"/>
            <w:noWrap/>
            <w:vAlign w:val="center"/>
            <w:hideMark/>
          </w:tcPr>
          <w:p w14:paraId="1AC2B680" w14:textId="77777777" w:rsidR="00C26954" w:rsidRDefault="00C26954">
            <w:pPr>
              <w:widowControl/>
              <w:spacing w:line="240" w:lineRule="auto"/>
              <w:jc w:val="center"/>
              <w:rPr>
                <w:rFonts w:eastAsia="Times New Roman" w:cs="Times New Roman"/>
                <w:kern w:val="0"/>
                <w:sz w:val="18"/>
                <w:szCs w:val="18"/>
                <w:highlight w:val="yellow"/>
              </w:rPr>
            </w:pPr>
          </w:p>
        </w:tc>
        <w:tc>
          <w:tcPr>
            <w:tcW w:w="343" w:type="pct"/>
            <w:tcBorders>
              <w:top w:val="nil"/>
              <w:left w:val="nil"/>
              <w:bottom w:val="nil"/>
              <w:right w:val="nil"/>
            </w:tcBorders>
            <w:shd w:val="clear" w:color="auto" w:fill="auto"/>
            <w:noWrap/>
            <w:vAlign w:val="center"/>
            <w:hideMark/>
          </w:tcPr>
          <w:p w14:paraId="1AC2B681" w14:textId="77777777" w:rsidR="00C26954" w:rsidRDefault="00C26954">
            <w:pPr>
              <w:widowControl/>
              <w:spacing w:line="240" w:lineRule="auto"/>
              <w:jc w:val="center"/>
              <w:rPr>
                <w:rFonts w:eastAsia="Times New Roman" w:cs="Times New Roman"/>
                <w:kern w:val="0"/>
                <w:sz w:val="18"/>
                <w:szCs w:val="18"/>
                <w:highlight w:val="yellow"/>
              </w:rPr>
            </w:pPr>
          </w:p>
        </w:tc>
        <w:tc>
          <w:tcPr>
            <w:tcW w:w="345" w:type="pct"/>
            <w:tcBorders>
              <w:top w:val="nil"/>
              <w:left w:val="nil"/>
              <w:bottom w:val="nil"/>
              <w:right w:val="nil"/>
            </w:tcBorders>
            <w:shd w:val="clear" w:color="auto" w:fill="auto"/>
            <w:noWrap/>
            <w:vAlign w:val="center"/>
            <w:hideMark/>
          </w:tcPr>
          <w:p w14:paraId="1AC2B682" w14:textId="77777777" w:rsidR="00C26954" w:rsidRDefault="00C26954">
            <w:pPr>
              <w:widowControl/>
              <w:spacing w:line="240" w:lineRule="auto"/>
              <w:jc w:val="center"/>
              <w:rPr>
                <w:rFonts w:eastAsia="Times New Roman" w:cs="Times New Roman"/>
                <w:kern w:val="0"/>
                <w:sz w:val="18"/>
                <w:szCs w:val="18"/>
                <w:highlight w:val="yellow"/>
              </w:rPr>
            </w:pPr>
          </w:p>
        </w:tc>
        <w:tc>
          <w:tcPr>
            <w:tcW w:w="342" w:type="pct"/>
            <w:tcBorders>
              <w:top w:val="nil"/>
              <w:left w:val="nil"/>
              <w:bottom w:val="nil"/>
              <w:right w:val="nil"/>
            </w:tcBorders>
            <w:shd w:val="clear" w:color="auto" w:fill="auto"/>
            <w:noWrap/>
            <w:vAlign w:val="center"/>
            <w:hideMark/>
          </w:tcPr>
          <w:p w14:paraId="1AC2B683" w14:textId="77777777" w:rsidR="00C26954" w:rsidRDefault="00C26954">
            <w:pPr>
              <w:widowControl/>
              <w:spacing w:line="240" w:lineRule="auto"/>
              <w:jc w:val="center"/>
              <w:rPr>
                <w:rFonts w:eastAsia="Times New Roman" w:cs="Times New Roman"/>
                <w:kern w:val="0"/>
                <w:sz w:val="18"/>
                <w:szCs w:val="18"/>
                <w:highlight w:val="yellow"/>
              </w:rPr>
            </w:pPr>
          </w:p>
        </w:tc>
        <w:tc>
          <w:tcPr>
            <w:tcW w:w="345" w:type="pct"/>
            <w:tcBorders>
              <w:top w:val="nil"/>
              <w:left w:val="nil"/>
              <w:bottom w:val="nil"/>
              <w:right w:val="nil"/>
            </w:tcBorders>
            <w:shd w:val="clear" w:color="auto" w:fill="auto"/>
            <w:noWrap/>
            <w:vAlign w:val="center"/>
            <w:hideMark/>
          </w:tcPr>
          <w:p w14:paraId="1AC2B684" w14:textId="77777777" w:rsidR="00C26954" w:rsidRDefault="00C26954">
            <w:pPr>
              <w:widowControl/>
              <w:spacing w:line="240" w:lineRule="auto"/>
              <w:jc w:val="center"/>
              <w:rPr>
                <w:rFonts w:eastAsia="Times New Roman" w:cs="Times New Roman"/>
                <w:kern w:val="0"/>
                <w:sz w:val="18"/>
                <w:szCs w:val="18"/>
                <w:highlight w:val="yellow"/>
              </w:rPr>
            </w:pPr>
          </w:p>
        </w:tc>
        <w:tc>
          <w:tcPr>
            <w:tcW w:w="342" w:type="pct"/>
            <w:tcBorders>
              <w:top w:val="nil"/>
              <w:left w:val="nil"/>
              <w:bottom w:val="nil"/>
              <w:right w:val="nil"/>
            </w:tcBorders>
            <w:shd w:val="clear" w:color="auto" w:fill="auto"/>
            <w:noWrap/>
            <w:vAlign w:val="center"/>
            <w:hideMark/>
          </w:tcPr>
          <w:p w14:paraId="1AC2B685" w14:textId="77777777" w:rsidR="00C26954" w:rsidRDefault="00C26954">
            <w:pPr>
              <w:widowControl/>
              <w:spacing w:line="240" w:lineRule="auto"/>
              <w:jc w:val="center"/>
              <w:rPr>
                <w:rFonts w:eastAsia="Times New Roman" w:cs="Times New Roman"/>
                <w:kern w:val="0"/>
                <w:sz w:val="18"/>
                <w:szCs w:val="18"/>
                <w:highlight w:val="yellow"/>
              </w:rPr>
            </w:pPr>
          </w:p>
        </w:tc>
        <w:tc>
          <w:tcPr>
            <w:tcW w:w="340" w:type="pct"/>
            <w:tcBorders>
              <w:top w:val="nil"/>
              <w:left w:val="nil"/>
              <w:bottom w:val="nil"/>
              <w:right w:val="nil"/>
            </w:tcBorders>
            <w:shd w:val="clear" w:color="auto" w:fill="auto"/>
            <w:noWrap/>
            <w:vAlign w:val="center"/>
            <w:hideMark/>
          </w:tcPr>
          <w:p w14:paraId="1AC2B686" w14:textId="77777777" w:rsidR="00C26954" w:rsidRDefault="00C26954">
            <w:pPr>
              <w:widowControl/>
              <w:spacing w:line="240" w:lineRule="auto"/>
              <w:jc w:val="center"/>
              <w:rPr>
                <w:rFonts w:eastAsia="Times New Roman" w:cs="Times New Roman"/>
                <w:kern w:val="0"/>
                <w:sz w:val="18"/>
                <w:szCs w:val="18"/>
                <w:highlight w:val="yellow"/>
              </w:rPr>
            </w:pPr>
          </w:p>
        </w:tc>
      </w:tr>
      <w:tr w:rsidR="00C26954" w14:paraId="1AC2B696" w14:textId="77777777">
        <w:trPr>
          <w:trHeight w:val="360"/>
        </w:trPr>
        <w:tc>
          <w:tcPr>
            <w:tcW w:w="500" w:type="pct"/>
            <w:tcBorders>
              <w:top w:val="nil"/>
              <w:left w:val="nil"/>
              <w:bottom w:val="nil"/>
              <w:right w:val="nil"/>
            </w:tcBorders>
            <w:shd w:val="clear" w:color="auto" w:fill="auto"/>
            <w:noWrap/>
            <w:vAlign w:val="center"/>
            <w:hideMark/>
          </w:tcPr>
          <w:p w14:paraId="1AC2B688" w14:textId="77777777" w:rsidR="00C26954" w:rsidRDefault="00E108B4">
            <w:pPr>
              <w:widowControl/>
              <w:spacing w:line="240" w:lineRule="auto"/>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Female</w:t>
            </w:r>
          </w:p>
        </w:tc>
        <w:tc>
          <w:tcPr>
            <w:tcW w:w="426" w:type="pct"/>
            <w:tcBorders>
              <w:top w:val="nil"/>
              <w:left w:val="nil"/>
              <w:bottom w:val="nil"/>
              <w:right w:val="nil"/>
            </w:tcBorders>
            <w:shd w:val="clear" w:color="auto" w:fill="auto"/>
            <w:noWrap/>
            <w:vAlign w:val="center"/>
            <w:hideMark/>
          </w:tcPr>
          <w:p w14:paraId="1AC2B689" w14:textId="77777777" w:rsidR="00C26954" w:rsidRDefault="00E108B4">
            <w:pPr>
              <w:widowControl/>
              <w:spacing w:line="240" w:lineRule="auto"/>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Lung</w:t>
            </w:r>
          </w:p>
        </w:tc>
        <w:tc>
          <w:tcPr>
            <w:tcW w:w="200" w:type="pct"/>
            <w:tcBorders>
              <w:top w:val="nil"/>
              <w:left w:val="nil"/>
              <w:bottom w:val="nil"/>
              <w:right w:val="nil"/>
            </w:tcBorders>
            <w:shd w:val="clear" w:color="auto" w:fill="auto"/>
            <w:noWrap/>
            <w:vAlign w:val="center"/>
            <w:hideMark/>
          </w:tcPr>
          <w:p w14:paraId="1AC2B68A"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6.7</w:t>
            </w:r>
          </w:p>
        </w:tc>
        <w:tc>
          <w:tcPr>
            <w:tcW w:w="450" w:type="pct"/>
            <w:tcBorders>
              <w:top w:val="nil"/>
              <w:left w:val="nil"/>
              <w:bottom w:val="nil"/>
              <w:right w:val="nil"/>
            </w:tcBorders>
            <w:shd w:val="clear" w:color="auto" w:fill="auto"/>
            <w:noWrap/>
            <w:vAlign w:val="center"/>
            <w:hideMark/>
          </w:tcPr>
          <w:p w14:paraId="1AC2B68B"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9,239 </w:t>
            </w:r>
          </w:p>
        </w:tc>
        <w:tc>
          <w:tcPr>
            <w:tcW w:w="286" w:type="pct"/>
            <w:tcBorders>
              <w:top w:val="nil"/>
              <w:left w:val="nil"/>
              <w:bottom w:val="nil"/>
              <w:right w:val="nil"/>
            </w:tcBorders>
            <w:shd w:val="clear" w:color="auto" w:fill="auto"/>
            <w:noWrap/>
            <w:vAlign w:val="center"/>
            <w:hideMark/>
          </w:tcPr>
          <w:p w14:paraId="1AC2B68C"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7.9</w:t>
            </w:r>
          </w:p>
        </w:tc>
        <w:tc>
          <w:tcPr>
            <w:tcW w:w="413" w:type="pct"/>
            <w:tcBorders>
              <w:top w:val="nil"/>
              <w:left w:val="nil"/>
              <w:bottom w:val="nil"/>
              <w:right w:val="nil"/>
            </w:tcBorders>
            <w:shd w:val="clear" w:color="auto" w:fill="auto"/>
            <w:noWrap/>
            <w:vAlign w:val="center"/>
            <w:hideMark/>
          </w:tcPr>
          <w:p w14:paraId="1AC2B68D"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10,932 </w:t>
            </w:r>
          </w:p>
        </w:tc>
        <w:tc>
          <w:tcPr>
            <w:tcW w:w="323" w:type="pct"/>
            <w:tcBorders>
              <w:top w:val="nil"/>
              <w:left w:val="nil"/>
              <w:bottom w:val="nil"/>
              <w:right w:val="nil"/>
            </w:tcBorders>
            <w:shd w:val="clear" w:color="auto" w:fill="auto"/>
            <w:noWrap/>
            <w:vAlign w:val="center"/>
            <w:hideMark/>
          </w:tcPr>
          <w:p w14:paraId="1AC2B68E"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9.0</w:t>
            </w:r>
          </w:p>
        </w:tc>
        <w:tc>
          <w:tcPr>
            <w:tcW w:w="343" w:type="pct"/>
            <w:tcBorders>
              <w:top w:val="nil"/>
              <w:left w:val="nil"/>
              <w:bottom w:val="nil"/>
              <w:right w:val="nil"/>
            </w:tcBorders>
            <w:shd w:val="clear" w:color="auto" w:fill="auto"/>
            <w:noWrap/>
            <w:vAlign w:val="center"/>
            <w:hideMark/>
          </w:tcPr>
          <w:p w14:paraId="1AC2B68F"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12,415 </w:t>
            </w:r>
          </w:p>
        </w:tc>
        <w:tc>
          <w:tcPr>
            <w:tcW w:w="343" w:type="pct"/>
            <w:tcBorders>
              <w:top w:val="nil"/>
              <w:left w:val="nil"/>
              <w:bottom w:val="nil"/>
              <w:right w:val="nil"/>
            </w:tcBorders>
            <w:shd w:val="clear" w:color="auto" w:fill="auto"/>
            <w:noWrap/>
            <w:vAlign w:val="center"/>
            <w:hideMark/>
          </w:tcPr>
          <w:p w14:paraId="1AC2B690"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8.2</w:t>
            </w:r>
          </w:p>
        </w:tc>
        <w:tc>
          <w:tcPr>
            <w:tcW w:w="345" w:type="pct"/>
            <w:tcBorders>
              <w:top w:val="nil"/>
              <w:left w:val="nil"/>
              <w:bottom w:val="nil"/>
              <w:right w:val="nil"/>
            </w:tcBorders>
            <w:shd w:val="clear" w:color="auto" w:fill="auto"/>
            <w:noWrap/>
            <w:vAlign w:val="center"/>
            <w:hideMark/>
          </w:tcPr>
          <w:p w14:paraId="1AC2B691"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11,322 </w:t>
            </w:r>
          </w:p>
        </w:tc>
        <w:tc>
          <w:tcPr>
            <w:tcW w:w="342" w:type="pct"/>
            <w:tcBorders>
              <w:top w:val="nil"/>
              <w:left w:val="nil"/>
              <w:bottom w:val="nil"/>
              <w:right w:val="nil"/>
            </w:tcBorders>
            <w:shd w:val="clear" w:color="auto" w:fill="auto"/>
            <w:noWrap/>
            <w:vAlign w:val="center"/>
            <w:hideMark/>
          </w:tcPr>
          <w:p w14:paraId="1AC2B692"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9.4</w:t>
            </w:r>
          </w:p>
        </w:tc>
        <w:tc>
          <w:tcPr>
            <w:tcW w:w="345" w:type="pct"/>
            <w:tcBorders>
              <w:top w:val="nil"/>
              <w:left w:val="nil"/>
              <w:bottom w:val="nil"/>
              <w:right w:val="nil"/>
            </w:tcBorders>
            <w:shd w:val="clear" w:color="auto" w:fill="auto"/>
            <w:noWrap/>
            <w:vAlign w:val="center"/>
            <w:hideMark/>
          </w:tcPr>
          <w:p w14:paraId="1AC2B693"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12,966 </w:t>
            </w:r>
          </w:p>
        </w:tc>
        <w:tc>
          <w:tcPr>
            <w:tcW w:w="342" w:type="pct"/>
            <w:tcBorders>
              <w:top w:val="nil"/>
              <w:left w:val="nil"/>
              <w:bottom w:val="nil"/>
              <w:right w:val="nil"/>
            </w:tcBorders>
            <w:shd w:val="clear" w:color="auto" w:fill="auto"/>
            <w:noWrap/>
            <w:vAlign w:val="center"/>
            <w:hideMark/>
          </w:tcPr>
          <w:p w14:paraId="1AC2B694"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10.6</w:t>
            </w:r>
          </w:p>
        </w:tc>
        <w:tc>
          <w:tcPr>
            <w:tcW w:w="340" w:type="pct"/>
            <w:tcBorders>
              <w:top w:val="nil"/>
              <w:left w:val="nil"/>
              <w:bottom w:val="nil"/>
              <w:right w:val="nil"/>
            </w:tcBorders>
            <w:shd w:val="clear" w:color="auto" w:fill="auto"/>
            <w:noWrap/>
            <w:vAlign w:val="center"/>
            <w:hideMark/>
          </w:tcPr>
          <w:p w14:paraId="1AC2B695"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14,608 </w:t>
            </w:r>
          </w:p>
        </w:tc>
      </w:tr>
      <w:tr w:rsidR="00C26954" w14:paraId="1AC2B6A5" w14:textId="77777777">
        <w:trPr>
          <w:trHeight w:val="360"/>
        </w:trPr>
        <w:tc>
          <w:tcPr>
            <w:tcW w:w="500" w:type="pct"/>
            <w:tcBorders>
              <w:top w:val="nil"/>
              <w:left w:val="nil"/>
              <w:bottom w:val="nil"/>
              <w:right w:val="nil"/>
            </w:tcBorders>
            <w:shd w:val="clear" w:color="auto" w:fill="auto"/>
            <w:noWrap/>
            <w:vAlign w:val="center"/>
            <w:hideMark/>
          </w:tcPr>
          <w:p w14:paraId="1AC2B697" w14:textId="77777777" w:rsidR="00C26954" w:rsidRDefault="00C26954">
            <w:pPr>
              <w:widowControl/>
              <w:spacing w:line="240" w:lineRule="auto"/>
              <w:jc w:val="center"/>
              <w:rPr>
                <w:rFonts w:eastAsia="游ゴシック" w:cs="Times New Roman"/>
                <w:color w:val="000000"/>
                <w:kern w:val="0"/>
                <w:sz w:val="18"/>
                <w:szCs w:val="18"/>
                <w:highlight w:val="yellow"/>
              </w:rPr>
            </w:pPr>
          </w:p>
        </w:tc>
        <w:tc>
          <w:tcPr>
            <w:tcW w:w="426" w:type="pct"/>
            <w:tcBorders>
              <w:top w:val="nil"/>
              <w:left w:val="nil"/>
              <w:bottom w:val="nil"/>
              <w:right w:val="nil"/>
            </w:tcBorders>
            <w:shd w:val="clear" w:color="auto" w:fill="auto"/>
            <w:noWrap/>
            <w:vAlign w:val="center"/>
            <w:hideMark/>
          </w:tcPr>
          <w:p w14:paraId="1AC2B698" w14:textId="77777777" w:rsidR="00C26954" w:rsidRDefault="00E108B4">
            <w:pPr>
              <w:widowControl/>
              <w:spacing w:line="240" w:lineRule="auto"/>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Stomach</w:t>
            </w:r>
          </w:p>
        </w:tc>
        <w:tc>
          <w:tcPr>
            <w:tcW w:w="200" w:type="pct"/>
            <w:tcBorders>
              <w:top w:val="nil"/>
              <w:left w:val="nil"/>
              <w:bottom w:val="nil"/>
              <w:right w:val="nil"/>
            </w:tcBorders>
            <w:shd w:val="clear" w:color="auto" w:fill="auto"/>
            <w:noWrap/>
            <w:vAlign w:val="center"/>
            <w:hideMark/>
          </w:tcPr>
          <w:p w14:paraId="1AC2B699"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4.2</w:t>
            </w:r>
          </w:p>
        </w:tc>
        <w:tc>
          <w:tcPr>
            <w:tcW w:w="450" w:type="pct"/>
            <w:tcBorders>
              <w:top w:val="nil"/>
              <w:left w:val="nil"/>
              <w:bottom w:val="nil"/>
              <w:right w:val="nil"/>
            </w:tcBorders>
            <w:shd w:val="clear" w:color="auto" w:fill="auto"/>
            <w:noWrap/>
            <w:vAlign w:val="center"/>
            <w:hideMark/>
          </w:tcPr>
          <w:p w14:paraId="1AC2B69A"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5,732 </w:t>
            </w:r>
          </w:p>
        </w:tc>
        <w:tc>
          <w:tcPr>
            <w:tcW w:w="286" w:type="pct"/>
            <w:tcBorders>
              <w:top w:val="nil"/>
              <w:left w:val="nil"/>
              <w:bottom w:val="nil"/>
              <w:right w:val="nil"/>
            </w:tcBorders>
            <w:shd w:val="clear" w:color="auto" w:fill="auto"/>
            <w:noWrap/>
            <w:vAlign w:val="center"/>
            <w:hideMark/>
          </w:tcPr>
          <w:p w14:paraId="1AC2B69B"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5.3</w:t>
            </w:r>
          </w:p>
        </w:tc>
        <w:tc>
          <w:tcPr>
            <w:tcW w:w="413" w:type="pct"/>
            <w:tcBorders>
              <w:top w:val="nil"/>
              <w:left w:val="nil"/>
              <w:bottom w:val="nil"/>
              <w:right w:val="nil"/>
            </w:tcBorders>
            <w:shd w:val="clear" w:color="auto" w:fill="auto"/>
            <w:noWrap/>
            <w:vAlign w:val="center"/>
            <w:hideMark/>
          </w:tcPr>
          <w:p w14:paraId="1AC2B69C"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7,350 </w:t>
            </w:r>
          </w:p>
        </w:tc>
        <w:tc>
          <w:tcPr>
            <w:tcW w:w="323" w:type="pct"/>
            <w:tcBorders>
              <w:top w:val="nil"/>
              <w:left w:val="nil"/>
              <w:bottom w:val="nil"/>
              <w:right w:val="nil"/>
            </w:tcBorders>
            <w:shd w:val="clear" w:color="auto" w:fill="auto"/>
            <w:noWrap/>
            <w:vAlign w:val="center"/>
            <w:hideMark/>
          </w:tcPr>
          <w:p w14:paraId="1AC2B69D"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5.6</w:t>
            </w:r>
          </w:p>
        </w:tc>
        <w:tc>
          <w:tcPr>
            <w:tcW w:w="343" w:type="pct"/>
            <w:tcBorders>
              <w:top w:val="nil"/>
              <w:left w:val="nil"/>
              <w:bottom w:val="nil"/>
              <w:right w:val="nil"/>
            </w:tcBorders>
            <w:shd w:val="clear" w:color="auto" w:fill="auto"/>
            <w:noWrap/>
            <w:vAlign w:val="center"/>
            <w:hideMark/>
          </w:tcPr>
          <w:p w14:paraId="1AC2B69E"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7,692 </w:t>
            </w:r>
          </w:p>
        </w:tc>
        <w:tc>
          <w:tcPr>
            <w:tcW w:w="343" w:type="pct"/>
            <w:tcBorders>
              <w:top w:val="nil"/>
              <w:left w:val="nil"/>
              <w:bottom w:val="nil"/>
              <w:right w:val="nil"/>
            </w:tcBorders>
            <w:shd w:val="clear" w:color="auto" w:fill="auto"/>
            <w:noWrap/>
            <w:vAlign w:val="center"/>
            <w:hideMark/>
          </w:tcPr>
          <w:p w14:paraId="1AC2B69F"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6.5</w:t>
            </w:r>
          </w:p>
        </w:tc>
        <w:tc>
          <w:tcPr>
            <w:tcW w:w="345" w:type="pct"/>
            <w:tcBorders>
              <w:top w:val="nil"/>
              <w:left w:val="nil"/>
              <w:bottom w:val="nil"/>
              <w:right w:val="nil"/>
            </w:tcBorders>
            <w:shd w:val="clear" w:color="auto" w:fill="auto"/>
            <w:noWrap/>
            <w:vAlign w:val="center"/>
            <w:hideMark/>
          </w:tcPr>
          <w:p w14:paraId="1AC2B6A0"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8,928 </w:t>
            </w:r>
          </w:p>
        </w:tc>
        <w:tc>
          <w:tcPr>
            <w:tcW w:w="342" w:type="pct"/>
            <w:tcBorders>
              <w:top w:val="nil"/>
              <w:left w:val="nil"/>
              <w:bottom w:val="nil"/>
              <w:right w:val="nil"/>
            </w:tcBorders>
            <w:shd w:val="clear" w:color="auto" w:fill="auto"/>
            <w:noWrap/>
            <w:vAlign w:val="center"/>
            <w:hideMark/>
          </w:tcPr>
          <w:p w14:paraId="1AC2B6A1"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6.9</w:t>
            </w:r>
          </w:p>
        </w:tc>
        <w:tc>
          <w:tcPr>
            <w:tcW w:w="345" w:type="pct"/>
            <w:tcBorders>
              <w:top w:val="nil"/>
              <w:left w:val="nil"/>
              <w:bottom w:val="nil"/>
              <w:right w:val="nil"/>
            </w:tcBorders>
            <w:shd w:val="clear" w:color="auto" w:fill="auto"/>
            <w:noWrap/>
            <w:vAlign w:val="center"/>
            <w:hideMark/>
          </w:tcPr>
          <w:p w14:paraId="1AC2B6A2"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9,527 </w:t>
            </w:r>
          </w:p>
        </w:tc>
        <w:tc>
          <w:tcPr>
            <w:tcW w:w="342" w:type="pct"/>
            <w:tcBorders>
              <w:top w:val="nil"/>
              <w:left w:val="nil"/>
              <w:bottom w:val="nil"/>
              <w:right w:val="nil"/>
            </w:tcBorders>
            <w:shd w:val="clear" w:color="auto" w:fill="auto"/>
            <w:noWrap/>
            <w:vAlign w:val="center"/>
            <w:hideMark/>
          </w:tcPr>
          <w:p w14:paraId="1AC2B6A3"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6.8</w:t>
            </w:r>
          </w:p>
        </w:tc>
        <w:tc>
          <w:tcPr>
            <w:tcW w:w="340" w:type="pct"/>
            <w:tcBorders>
              <w:top w:val="nil"/>
              <w:left w:val="nil"/>
              <w:bottom w:val="nil"/>
              <w:right w:val="nil"/>
            </w:tcBorders>
            <w:shd w:val="clear" w:color="auto" w:fill="auto"/>
            <w:noWrap/>
            <w:vAlign w:val="center"/>
            <w:hideMark/>
          </w:tcPr>
          <w:p w14:paraId="1AC2B6A4"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9,381 </w:t>
            </w:r>
          </w:p>
        </w:tc>
      </w:tr>
      <w:tr w:rsidR="00C26954" w14:paraId="1AC2B6B4" w14:textId="77777777">
        <w:trPr>
          <w:trHeight w:val="360"/>
        </w:trPr>
        <w:tc>
          <w:tcPr>
            <w:tcW w:w="500" w:type="pct"/>
            <w:tcBorders>
              <w:top w:val="nil"/>
              <w:left w:val="nil"/>
              <w:bottom w:val="nil"/>
              <w:right w:val="nil"/>
            </w:tcBorders>
            <w:shd w:val="clear" w:color="auto" w:fill="auto"/>
            <w:noWrap/>
            <w:vAlign w:val="center"/>
            <w:hideMark/>
          </w:tcPr>
          <w:p w14:paraId="1AC2B6A6" w14:textId="77777777" w:rsidR="00C26954" w:rsidRDefault="00C26954">
            <w:pPr>
              <w:widowControl/>
              <w:spacing w:line="240" w:lineRule="auto"/>
              <w:jc w:val="center"/>
              <w:rPr>
                <w:rFonts w:eastAsia="游ゴシック" w:cs="Times New Roman"/>
                <w:color w:val="000000"/>
                <w:kern w:val="0"/>
                <w:sz w:val="18"/>
                <w:szCs w:val="18"/>
                <w:highlight w:val="yellow"/>
              </w:rPr>
            </w:pPr>
          </w:p>
        </w:tc>
        <w:tc>
          <w:tcPr>
            <w:tcW w:w="426" w:type="pct"/>
            <w:tcBorders>
              <w:top w:val="nil"/>
              <w:left w:val="nil"/>
              <w:bottom w:val="nil"/>
              <w:right w:val="nil"/>
            </w:tcBorders>
            <w:shd w:val="clear" w:color="auto" w:fill="auto"/>
            <w:noWrap/>
            <w:vAlign w:val="center"/>
            <w:hideMark/>
          </w:tcPr>
          <w:p w14:paraId="1AC2B6A7" w14:textId="77777777" w:rsidR="00C26954" w:rsidRDefault="00E108B4">
            <w:pPr>
              <w:widowControl/>
              <w:spacing w:line="240" w:lineRule="auto"/>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Colorectum</w:t>
            </w:r>
          </w:p>
        </w:tc>
        <w:tc>
          <w:tcPr>
            <w:tcW w:w="200" w:type="pct"/>
            <w:tcBorders>
              <w:top w:val="nil"/>
              <w:left w:val="nil"/>
              <w:bottom w:val="nil"/>
              <w:right w:val="nil"/>
            </w:tcBorders>
            <w:shd w:val="clear" w:color="auto" w:fill="auto"/>
            <w:noWrap/>
            <w:vAlign w:val="center"/>
            <w:hideMark/>
          </w:tcPr>
          <w:p w14:paraId="1AC2B6A8"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4.1</w:t>
            </w:r>
          </w:p>
        </w:tc>
        <w:tc>
          <w:tcPr>
            <w:tcW w:w="450" w:type="pct"/>
            <w:tcBorders>
              <w:top w:val="nil"/>
              <w:left w:val="nil"/>
              <w:bottom w:val="nil"/>
              <w:right w:val="nil"/>
            </w:tcBorders>
            <w:shd w:val="clear" w:color="auto" w:fill="auto"/>
            <w:noWrap/>
            <w:vAlign w:val="center"/>
            <w:hideMark/>
          </w:tcPr>
          <w:p w14:paraId="1AC2B6A9"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5,619 </w:t>
            </w:r>
          </w:p>
        </w:tc>
        <w:tc>
          <w:tcPr>
            <w:tcW w:w="286" w:type="pct"/>
            <w:tcBorders>
              <w:top w:val="nil"/>
              <w:left w:val="nil"/>
              <w:bottom w:val="nil"/>
              <w:right w:val="nil"/>
            </w:tcBorders>
            <w:shd w:val="clear" w:color="auto" w:fill="auto"/>
            <w:noWrap/>
            <w:vAlign w:val="center"/>
            <w:hideMark/>
          </w:tcPr>
          <w:p w14:paraId="1AC2B6AA"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4.8</w:t>
            </w:r>
          </w:p>
        </w:tc>
        <w:tc>
          <w:tcPr>
            <w:tcW w:w="413" w:type="pct"/>
            <w:tcBorders>
              <w:top w:val="nil"/>
              <w:left w:val="nil"/>
              <w:bottom w:val="nil"/>
              <w:right w:val="nil"/>
            </w:tcBorders>
            <w:shd w:val="clear" w:color="auto" w:fill="auto"/>
            <w:noWrap/>
            <w:vAlign w:val="center"/>
            <w:hideMark/>
          </w:tcPr>
          <w:p w14:paraId="1AC2B6AB"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6,656 </w:t>
            </w:r>
          </w:p>
        </w:tc>
        <w:tc>
          <w:tcPr>
            <w:tcW w:w="323" w:type="pct"/>
            <w:tcBorders>
              <w:top w:val="nil"/>
              <w:left w:val="nil"/>
              <w:bottom w:val="nil"/>
              <w:right w:val="nil"/>
            </w:tcBorders>
            <w:shd w:val="clear" w:color="auto" w:fill="auto"/>
            <w:noWrap/>
            <w:vAlign w:val="center"/>
            <w:hideMark/>
          </w:tcPr>
          <w:p w14:paraId="1AC2B6AC"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5.3</w:t>
            </w:r>
          </w:p>
        </w:tc>
        <w:tc>
          <w:tcPr>
            <w:tcW w:w="343" w:type="pct"/>
            <w:tcBorders>
              <w:top w:val="nil"/>
              <w:left w:val="nil"/>
              <w:bottom w:val="nil"/>
              <w:right w:val="nil"/>
            </w:tcBorders>
            <w:shd w:val="clear" w:color="auto" w:fill="auto"/>
            <w:noWrap/>
            <w:vAlign w:val="center"/>
            <w:hideMark/>
          </w:tcPr>
          <w:p w14:paraId="1AC2B6AD"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7,372 </w:t>
            </w:r>
          </w:p>
        </w:tc>
        <w:tc>
          <w:tcPr>
            <w:tcW w:w="343" w:type="pct"/>
            <w:tcBorders>
              <w:top w:val="nil"/>
              <w:left w:val="nil"/>
              <w:bottom w:val="nil"/>
              <w:right w:val="nil"/>
            </w:tcBorders>
            <w:shd w:val="clear" w:color="auto" w:fill="auto"/>
            <w:noWrap/>
            <w:vAlign w:val="center"/>
            <w:hideMark/>
          </w:tcPr>
          <w:p w14:paraId="1AC2B6AE"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5.2</w:t>
            </w:r>
          </w:p>
        </w:tc>
        <w:tc>
          <w:tcPr>
            <w:tcW w:w="345" w:type="pct"/>
            <w:tcBorders>
              <w:top w:val="nil"/>
              <w:left w:val="nil"/>
              <w:bottom w:val="nil"/>
              <w:right w:val="nil"/>
            </w:tcBorders>
            <w:shd w:val="clear" w:color="auto" w:fill="auto"/>
            <w:noWrap/>
            <w:vAlign w:val="center"/>
            <w:hideMark/>
          </w:tcPr>
          <w:p w14:paraId="1AC2B6AF"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7,209 </w:t>
            </w:r>
          </w:p>
        </w:tc>
        <w:tc>
          <w:tcPr>
            <w:tcW w:w="342" w:type="pct"/>
            <w:tcBorders>
              <w:top w:val="nil"/>
              <w:left w:val="nil"/>
              <w:bottom w:val="nil"/>
              <w:right w:val="nil"/>
            </w:tcBorders>
            <w:shd w:val="clear" w:color="auto" w:fill="auto"/>
            <w:noWrap/>
            <w:vAlign w:val="center"/>
            <w:hideMark/>
          </w:tcPr>
          <w:p w14:paraId="1AC2B6B0"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5.9</w:t>
            </w:r>
          </w:p>
        </w:tc>
        <w:tc>
          <w:tcPr>
            <w:tcW w:w="345" w:type="pct"/>
            <w:tcBorders>
              <w:top w:val="nil"/>
              <w:left w:val="nil"/>
              <w:bottom w:val="nil"/>
              <w:right w:val="nil"/>
            </w:tcBorders>
            <w:shd w:val="clear" w:color="auto" w:fill="auto"/>
            <w:noWrap/>
            <w:vAlign w:val="center"/>
            <w:hideMark/>
          </w:tcPr>
          <w:p w14:paraId="1AC2B6B1"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8,099 </w:t>
            </w:r>
          </w:p>
        </w:tc>
        <w:tc>
          <w:tcPr>
            <w:tcW w:w="342" w:type="pct"/>
            <w:tcBorders>
              <w:top w:val="nil"/>
              <w:left w:val="nil"/>
              <w:bottom w:val="nil"/>
              <w:right w:val="nil"/>
            </w:tcBorders>
            <w:shd w:val="clear" w:color="auto" w:fill="auto"/>
            <w:noWrap/>
            <w:vAlign w:val="center"/>
            <w:hideMark/>
          </w:tcPr>
          <w:p w14:paraId="1AC2B6B2"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6.2</w:t>
            </w:r>
          </w:p>
        </w:tc>
        <w:tc>
          <w:tcPr>
            <w:tcW w:w="340" w:type="pct"/>
            <w:tcBorders>
              <w:top w:val="nil"/>
              <w:left w:val="nil"/>
              <w:bottom w:val="nil"/>
              <w:right w:val="nil"/>
            </w:tcBorders>
            <w:shd w:val="clear" w:color="auto" w:fill="auto"/>
            <w:noWrap/>
            <w:vAlign w:val="center"/>
            <w:hideMark/>
          </w:tcPr>
          <w:p w14:paraId="1AC2B6B3"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8,605 </w:t>
            </w:r>
          </w:p>
        </w:tc>
      </w:tr>
      <w:tr w:rsidR="00C26954" w14:paraId="1AC2B6C3" w14:textId="77777777">
        <w:trPr>
          <w:trHeight w:val="360"/>
        </w:trPr>
        <w:tc>
          <w:tcPr>
            <w:tcW w:w="500" w:type="pct"/>
            <w:tcBorders>
              <w:top w:val="nil"/>
              <w:left w:val="nil"/>
              <w:bottom w:val="nil"/>
              <w:right w:val="nil"/>
            </w:tcBorders>
            <w:shd w:val="clear" w:color="auto" w:fill="auto"/>
            <w:noWrap/>
            <w:vAlign w:val="center"/>
            <w:hideMark/>
          </w:tcPr>
          <w:p w14:paraId="1AC2B6B5" w14:textId="77777777" w:rsidR="00C26954" w:rsidRDefault="00C26954">
            <w:pPr>
              <w:widowControl/>
              <w:spacing w:line="240" w:lineRule="auto"/>
              <w:jc w:val="center"/>
              <w:rPr>
                <w:rFonts w:eastAsia="游ゴシック" w:cs="Times New Roman"/>
                <w:color w:val="000000"/>
                <w:kern w:val="0"/>
                <w:sz w:val="18"/>
                <w:szCs w:val="18"/>
                <w:highlight w:val="yellow"/>
              </w:rPr>
            </w:pPr>
          </w:p>
        </w:tc>
        <w:tc>
          <w:tcPr>
            <w:tcW w:w="426" w:type="pct"/>
            <w:tcBorders>
              <w:top w:val="nil"/>
              <w:left w:val="nil"/>
              <w:bottom w:val="nil"/>
              <w:right w:val="nil"/>
            </w:tcBorders>
            <w:shd w:val="clear" w:color="auto" w:fill="auto"/>
            <w:noWrap/>
            <w:vAlign w:val="center"/>
            <w:hideMark/>
          </w:tcPr>
          <w:p w14:paraId="1AC2B6B6" w14:textId="77777777" w:rsidR="00C26954" w:rsidRDefault="00E108B4">
            <w:pPr>
              <w:widowControl/>
              <w:spacing w:line="240" w:lineRule="auto"/>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Breast</w:t>
            </w:r>
          </w:p>
        </w:tc>
        <w:tc>
          <w:tcPr>
            <w:tcW w:w="200" w:type="pct"/>
            <w:tcBorders>
              <w:top w:val="nil"/>
              <w:left w:val="nil"/>
              <w:bottom w:val="nil"/>
              <w:right w:val="nil"/>
            </w:tcBorders>
            <w:shd w:val="clear" w:color="auto" w:fill="auto"/>
            <w:noWrap/>
            <w:vAlign w:val="center"/>
            <w:hideMark/>
          </w:tcPr>
          <w:p w14:paraId="1AC2B6B7"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3.2</w:t>
            </w:r>
          </w:p>
        </w:tc>
        <w:tc>
          <w:tcPr>
            <w:tcW w:w="450" w:type="pct"/>
            <w:tcBorders>
              <w:top w:val="nil"/>
              <w:left w:val="nil"/>
              <w:bottom w:val="nil"/>
              <w:right w:val="nil"/>
            </w:tcBorders>
            <w:shd w:val="clear" w:color="auto" w:fill="auto"/>
            <w:noWrap/>
            <w:vAlign w:val="center"/>
            <w:hideMark/>
          </w:tcPr>
          <w:p w14:paraId="1AC2B6B8"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4,450 </w:t>
            </w:r>
          </w:p>
        </w:tc>
        <w:tc>
          <w:tcPr>
            <w:tcW w:w="286" w:type="pct"/>
            <w:tcBorders>
              <w:top w:val="nil"/>
              <w:left w:val="nil"/>
              <w:bottom w:val="nil"/>
              <w:right w:val="nil"/>
            </w:tcBorders>
            <w:shd w:val="clear" w:color="auto" w:fill="auto"/>
            <w:noWrap/>
            <w:vAlign w:val="center"/>
            <w:hideMark/>
          </w:tcPr>
          <w:p w14:paraId="1AC2B6B9"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3.9</w:t>
            </w:r>
          </w:p>
        </w:tc>
        <w:tc>
          <w:tcPr>
            <w:tcW w:w="413" w:type="pct"/>
            <w:tcBorders>
              <w:top w:val="nil"/>
              <w:left w:val="nil"/>
              <w:bottom w:val="nil"/>
              <w:right w:val="nil"/>
            </w:tcBorders>
            <w:shd w:val="clear" w:color="auto" w:fill="auto"/>
            <w:noWrap/>
            <w:vAlign w:val="center"/>
            <w:hideMark/>
          </w:tcPr>
          <w:p w14:paraId="1AC2B6BA"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5,439 </w:t>
            </w:r>
          </w:p>
        </w:tc>
        <w:tc>
          <w:tcPr>
            <w:tcW w:w="323" w:type="pct"/>
            <w:tcBorders>
              <w:top w:val="nil"/>
              <w:left w:val="nil"/>
              <w:bottom w:val="nil"/>
              <w:right w:val="nil"/>
            </w:tcBorders>
            <w:shd w:val="clear" w:color="auto" w:fill="auto"/>
            <w:noWrap/>
            <w:vAlign w:val="center"/>
            <w:hideMark/>
          </w:tcPr>
          <w:p w14:paraId="1AC2B6BB"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4.3</w:t>
            </w:r>
          </w:p>
        </w:tc>
        <w:tc>
          <w:tcPr>
            <w:tcW w:w="343" w:type="pct"/>
            <w:tcBorders>
              <w:top w:val="nil"/>
              <w:left w:val="nil"/>
              <w:bottom w:val="nil"/>
              <w:right w:val="nil"/>
            </w:tcBorders>
            <w:shd w:val="clear" w:color="auto" w:fill="auto"/>
            <w:noWrap/>
            <w:vAlign w:val="center"/>
            <w:hideMark/>
          </w:tcPr>
          <w:p w14:paraId="1AC2B6BC"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5,913 </w:t>
            </w:r>
          </w:p>
        </w:tc>
        <w:tc>
          <w:tcPr>
            <w:tcW w:w="343" w:type="pct"/>
            <w:tcBorders>
              <w:top w:val="nil"/>
              <w:left w:val="nil"/>
              <w:bottom w:val="nil"/>
              <w:right w:val="nil"/>
            </w:tcBorders>
            <w:shd w:val="clear" w:color="auto" w:fill="auto"/>
            <w:noWrap/>
            <w:vAlign w:val="center"/>
            <w:hideMark/>
          </w:tcPr>
          <w:p w14:paraId="1AC2B6BD"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3.9</w:t>
            </w:r>
          </w:p>
        </w:tc>
        <w:tc>
          <w:tcPr>
            <w:tcW w:w="345" w:type="pct"/>
            <w:tcBorders>
              <w:top w:val="nil"/>
              <w:left w:val="nil"/>
              <w:bottom w:val="nil"/>
              <w:right w:val="nil"/>
            </w:tcBorders>
            <w:shd w:val="clear" w:color="auto" w:fill="auto"/>
            <w:noWrap/>
            <w:vAlign w:val="center"/>
            <w:hideMark/>
          </w:tcPr>
          <w:p w14:paraId="1AC2B6BE"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5,342 </w:t>
            </w:r>
          </w:p>
        </w:tc>
        <w:tc>
          <w:tcPr>
            <w:tcW w:w="342" w:type="pct"/>
            <w:tcBorders>
              <w:top w:val="nil"/>
              <w:left w:val="nil"/>
              <w:bottom w:val="nil"/>
              <w:right w:val="nil"/>
            </w:tcBorders>
            <w:shd w:val="clear" w:color="auto" w:fill="auto"/>
            <w:noWrap/>
            <w:vAlign w:val="center"/>
            <w:hideMark/>
          </w:tcPr>
          <w:p w14:paraId="1AC2B6BF"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4.4</w:t>
            </w:r>
          </w:p>
        </w:tc>
        <w:tc>
          <w:tcPr>
            <w:tcW w:w="345" w:type="pct"/>
            <w:tcBorders>
              <w:top w:val="nil"/>
              <w:left w:val="nil"/>
              <w:bottom w:val="nil"/>
              <w:right w:val="nil"/>
            </w:tcBorders>
            <w:shd w:val="clear" w:color="auto" w:fill="auto"/>
            <w:noWrap/>
            <w:vAlign w:val="center"/>
            <w:hideMark/>
          </w:tcPr>
          <w:p w14:paraId="1AC2B6C0"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6,111 </w:t>
            </w:r>
          </w:p>
        </w:tc>
        <w:tc>
          <w:tcPr>
            <w:tcW w:w="342" w:type="pct"/>
            <w:tcBorders>
              <w:top w:val="nil"/>
              <w:left w:val="nil"/>
              <w:bottom w:val="nil"/>
              <w:right w:val="nil"/>
            </w:tcBorders>
            <w:shd w:val="clear" w:color="auto" w:fill="auto"/>
            <w:noWrap/>
            <w:vAlign w:val="center"/>
            <w:hideMark/>
          </w:tcPr>
          <w:p w14:paraId="1AC2B6C1"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4.6</w:t>
            </w:r>
          </w:p>
        </w:tc>
        <w:tc>
          <w:tcPr>
            <w:tcW w:w="340" w:type="pct"/>
            <w:tcBorders>
              <w:top w:val="nil"/>
              <w:left w:val="nil"/>
              <w:bottom w:val="nil"/>
              <w:right w:val="nil"/>
            </w:tcBorders>
            <w:shd w:val="clear" w:color="auto" w:fill="auto"/>
            <w:noWrap/>
            <w:vAlign w:val="center"/>
            <w:hideMark/>
          </w:tcPr>
          <w:p w14:paraId="1AC2B6C2"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6,294 </w:t>
            </w:r>
          </w:p>
        </w:tc>
      </w:tr>
      <w:tr w:rsidR="00C26954" w14:paraId="1AC2B6D2" w14:textId="77777777">
        <w:trPr>
          <w:trHeight w:val="360"/>
        </w:trPr>
        <w:tc>
          <w:tcPr>
            <w:tcW w:w="500" w:type="pct"/>
            <w:tcBorders>
              <w:top w:val="nil"/>
              <w:left w:val="nil"/>
              <w:bottom w:val="nil"/>
              <w:right w:val="nil"/>
            </w:tcBorders>
            <w:shd w:val="clear" w:color="auto" w:fill="auto"/>
            <w:noWrap/>
            <w:vAlign w:val="center"/>
            <w:hideMark/>
          </w:tcPr>
          <w:p w14:paraId="1AC2B6C4" w14:textId="77777777" w:rsidR="00C26954" w:rsidRDefault="00C26954">
            <w:pPr>
              <w:widowControl/>
              <w:spacing w:line="240" w:lineRule="auto"/>
              <w:jc w:val="center"/>
              <w:rPr>
                <w:rFonts w:eastAsia="游ゴシック" w:cs="Times New Roman"/>
                <w:color w:val="000000"/>
                <w:kern w:val="0"/>
                <w:sz w:val="18"/>
                <w:szCs w:val="18"/>
                <w:highlight w:val="yellow"/>
              </w:rPr>
            </w:pPr>
          </w:p>
        </w:tc>
        <w:tc>
          <w:tcPr>
            <w:tcW w:w="426" w:type="pct"/>
            <w:tcBorders>
              <w:top w:val="nil"/>
              <w:left w:val="nil"/>
              <w:bottom w:val="nil"/>
              <w:right w:val="nil"/>
            </w:tcBorders>
            <w:shd w:val="clear" w:color="auto" w:fill="auto"/>
            <w:noWrap/>
            <w:vAlign w:val="center"/>
            <w:hideMark/>
          </w:tcPr>
          <w:p w14:paraId="1AC2B6C5" w14:textId="77777777" w:rsidR="00C26954" w:rsidRDefault="00E108B4">
            <w:pPr>
              <w:widowControl/>
              <w:spacing w:line="240" w:lineRule="auto"/>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Cervix uteri</w:t>
            </w:r>
          </w:p>
        </w:tc>
        <w:tc>
          <w:tcPr>
            <w:tcW w:w="200" w:type="pct"/>
            <w:tcBorders>
              <w:top w:val="nil"/>
              <w:left w:val="nil"/>
              <w:bottom w:val="nil"/>
              <w:right w:val="nil"/>
            </w:tcBorders>
            <w:shd w:val="clear" w:color="auto" w:fill="auto"/>
            <w:noWrap/>
            <w:vAlign w:val="center"/>
            <w:hideMark/>
          </w:tcPr>
          <w:p w14:paraId="1AC2B6C6"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3.2</w:t>
            </w:r>
          </w:p>
        </w:tc>
        <w:tc>
          <w:tcPr>
            <w:tcW w:w="450" w:type="pct"/>
            <w:tcBorders>
              <w:top w:val="nil"/>
              <w:left w:val="nil"/>
              <w:bottom w:val="nil"/>
              <w:right w:val="nil"/>
            </w:tcBorders>
            <w:shd w:val="clear" w:color="auto" w:fill="auto"/>
            <w:noWrap/>
            <w:vAlign w:val="center"/>
            <w:hideMark/>
          </w:tcPr>
          <w:p w14:paraId="1AC2B6C7"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4,369 </w:t>
            </w:r>
          </w:p>
        </w:tc>
        <w:tc>
          <w:tcPr>
            <w:tcW w:w="286" w:type="pct"/>
            <w:tcBorders>
              <w:top w:val="nil"/>
              <w:left w:val="nil"/>
              <w:bottom w:val="nil"/>
              <w:right w:val="nil"/>
            </w:tcBorders>
            <w:shd w:val="clear" w:color="auto" w:fill="auto"/>
            <w:noWrap/>
            <w:vAlign w:val="center"/>
            <w:hideMark/>
          </w:tcPr>
          <w:p w14:paraId="1AC2B6C8"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3.6</w:t>
            </w:r>
          </w:p>
        </w:tc>
        <w:tc>
          <w:tcPr>
            <w:tcW w:w="413" w:type="pct"/>
            <w:tcBorders>
              <w:top w:val="nil"/>
              <w:left w:val="nil"/>
              <w:bottom w:val="nil"/>
              <w:right w:val="nil"/>
            </w:tcBorders>
            <w:shd w:val="clear" w:color="auto" w:fill="auto"/>
            <w:noWrap/>
            <w:vAlign w:val="center"/>
            <w:hideMark/>
          </w:tcPr>
          <w:p w14:paraId="1AC2B6C9"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4,991 </w:t>
            </w:r>
          </w:p>
        </w:tc>
        <w:tc>
          <w:tcPr>
            <w:tcW w:w="323" w:type="pct"/>
            <w:tcBorders>
              <w:top w:val="nil"/>
              <w:left w:val="nil"/>
              <w:bottom w:val="nil"/>
              <w:right w:val="nil"/>
            </w:tcBorders>
            <w:shd w:val="clear" w:color="auto" w:fill="auto"/>
            <w:noWrap/>
            <w:vAlign w:val="center"/>
            <w:hideMark/>
          </w:tcPr>
          <w:p w14:paraId="1AC2B6CA"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2.9</w:t>
            </w:r>
          </w:p>
        </w:tc>
        <w:tc>
          <w:tcPr>
            <w:tcW w:w="343" w:type="pct"/>
            <w:tcBorders>
              <w:top w:val="nil"/>
              <w:left w:val="nil"/>
              <w:bottom w:val="nil"/>
              <w:right w:val="nil"/>
            </w:tcBorders>
            <w:shd w:val="clear" w:color="auto" w:fill="auto"/>
            <w:noWrap/>
            <w:vAlign w:val="center"/>
            <w:hideMark/>
          </w:tcPr>
          <w:p w14:paraId="1AC2B6CB"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3,953 </w:t>
            </w:r>
          </w:p>
        </w:tc>
        <w:tc>
          <w:tcPr>
            <w:tcW w:w="343" w:type="pct"/>
            <w:tcBorders>
              <w:top w:val="nil"/>
              <w:left w:val="nil"/>
              <w:bottom w:val="nil"/>
              <w:right w:val="nil"/>
            </w:tcBorders>
            <w:shd w:val="clear" w:color="auto" w:fill="auto"/>
            <w:noWrap/>
            <w:vAlign w:val="center"/>
            <w:hideMark/>
          </w:tcPr>
          <w:p w14:paraId="1AC2B6CC"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4.6</w:t>
            </w:r>
          </w:p>
        </w:tc>
        <w:tc>
          <w:tcPr>
            <w:tcW w:w="345" w:type="pct"/>
            <w:tcBorders>
              <w:top w:val="nil"/>
              <w:left w:val="nil"/>
              <w:bottom w:val="nil"/>
              <w:right w:val="nil"/>
            </w:tcBorders>
            <w:shd w:val="clear" w:color="auto" w:fill="auto"/>
            <w:noWrap/>
            <w:vAlign w:val="center"/>
            <w:hideMark/>
          </w:tcPr>
          <w:p w14:paraId="1AC2B6CD"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6,379 </w:t>
            </w:r>
          </w:p>
        </w:tc>
        <w:tc>
          <w:tcPr>
            <w:tcW w:w="342" w:type="pct"/>
            <w:tcBorders>
              <w:top w:val="nil"/>
              <w:left w:val="nil"/>
              <w:bottom w:val="nil"/>
              <w:right w:val="nil"/>
            </w:tcBorders>
            <w:shd w:val="clear" w:color="auto" w:fill="auto"/>
            <w:noWrap/>
            <w:vAlign w:val="center"/>
            <w:hideMark/>
          </w:tcPr>
          <w:p w14:paraId="1AC2B6CE"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3.9</w:t>
            </w:r>
          </w:p>
        </w:tc>
        <w:tc>
          <w:tcPr>
            <w:tcW w:w="345" w:type="pct"/>
            <w:tcBorders>
              <w:top w:val="nil"/>
              <w:left w:val="nil"/>
              <w:bottom w:val="nil"/>
              <w:right w:val="nil"/>
            </w:tcBorders>
            <w:shd w:val="clear" w:color="auto" w:fill="auto"/>
            <w:noWrap/>
            <w:vAlign w:val="center"/>
            <w:hideMark/>
          </w:tcPr>
          <w:p w14:paraId="1AC2B6CF"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5,426 </w:t>
            </w:r>
          </w:p>
        </w:tc>
        <w:tc>
          <w:tcPr>
            <w:tcW w:w="342" w:type="pct"/>
            <w:tcBorders>
              <w:top w:val="nil"/>
              <w:left w:val="nil"/>
              <w:bottom w:val="nil"/>
              <w:right w:val="nil"/>
            </w:tcBorders>
            <w:shd w:val="clear" w:color="auto" w:fill="auto"/>
            <w:noWrap/>
            <w:vAlign w:val="center"/>
            <w:hideMark/>
          </w:tcPr>
          <w:p w14:paraId="1AC2B6D0"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4.7</w:t>
            </w:r>
          </w:p>
        </w:tc>
        <w:tc>
          <w:tcPr>
            <w:tcW w:w="340" w:type="pct"/>
            <w:tcBorders>
              <w:top w:val="nil"/>
              <w:left w:val="nil"/>
              <w:bottom w:val="nil"/>
              <w:right w:val="nil"/>
            </w:tcBorders>
            <w:shd w:val="clear" w:color="auto" w:fill="auto"/>
            <w:noWrap/>
            <w:vAlign w:val="center"/>
            <w:hideMark/>
          </w:tcPr>
          <w:p w14:paraId="1AC2B6D1"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6,547 </w:t>
            </w:r>
          </w:p>
        </w:tc>
      </w:tr>
      <w:tr w:rsidR="00C26954" w14:paraId="1AC2B6E1" w14:textId="77777777">
        <w:trPr>
          <w:trHeight w:val="360"/>
        </w:trPr>
        <w:tc>
          <w:tcPr>
            <w:tcW w:w="500" w:type="pct"/>
            <w:tcBorders>
              <w:top w:val="nil"/>
              <w:left w:val="nil"/>
              <w:bottom w:val="single" w:sz="4" w:space="0" w:color="auto"/>
              <w:right w:val="nil"/>
            </w:tcBorders>
            <w:shd w:val="clear" w:color="auto" w:fill="auto"/>
            <w:noWrap/>
            <w:vAlign w:val="center"/>
            <w:hideMark/>
          </w:tcPr>
          <w:p w14:paraId="1AC2B6D3" w14:textId="77777777" w:rsidR="00C26954" w:rsidRDefault="00E108B4">
            <w:pPr>
              <w:widowControl/>
              <w:spacing w:line="240" w:lineRule="auto"/>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　</w:t>
            </w:r>
          </w:p>
        </w:tc>
        <w:tc>
          <w:tcPr>
            <w:tcW w:w="426" w:type="pct"/>
            <w:tcBorders>
              <w:top w:val="nil"/>
              <w:left w:val="nil"/>
              <w:bottom w:val="single" w:sz="4" w:space="0" w:color="auto"/>
              <w:right w:val="nil"/>
            </w:tcBorders>
            <w:shd w:val="clear" w:color="auto" w:fill="auto"/>
            <w:noWrap/>
            <w:vAlign w:val="center"/>
            <w:hideMark/>
          </w:tcPr>
          <w:p w14:paraId="1AC2B6D4" w14:textId="77777777" w:rsidR="00C26954" w:rsidRDefault="00E108B4">
            <w:pPr>
              <w:widowControl/>
              <w:spacing w:line="240" w:lineRule="auto"/>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Corpus uteri</w:t>
            </w:r>
          </w:p>
        </w:tc>
        <w:tc>
          <w:tcPr>
            <w:tcW w:w="200" w:type="pct"/>
            <w:tcBorders>
              <w:top w:val="nil"/>
              <w:left w:val="nil"/>
              <w:bottom w:val="single" w:sz="4" w:space="0" w:color="auto"/>
              <w:right w:val="nil"/>
            </w:tcBorders>
            <w:shd w:val="clear" w:color="auto" w:fill="auto"/>
            <w:noWrap/>
            <w:vAlign w:val="center"/>
            <w:hideMark/>
          </w:tcPr>
          <w:p w14:paraId="1AC2B6D5"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6.5</w:t>
            </w:r>
          </w:p>
        </w:tc>
        <w:tc>
          <w:tcPr>
            <w:tcW w:w="450" w:type="pct"/>
            <w:tcBorders>
              <w:top w:val="nil"/>
              <w:left w:val="nil"/>
              <w:bottom w:val="single" w:sz="4" w:space="0" w:color="auto"/>
              <w:right w:val="nil"/>
            </w:tcBorders>
            <w:shd w:val="clear" w:color="auto" w:fill="auto"/>
            <w:noWrap/>
            <w:vAlign w:val="center"/>
            <w:hideMark/>
          </w:tcPr>
          <w:p w14:paraId="1AC2B6D6"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8,977 </w:t>
            </w:r>
          </w:p>
        </w:tc>
        <w:tc>
          <w:tcPr>
            <w:tcW w:w="286" w:type="pct"/>
            <w:tcBorders>
              <w:top w:val="nil"/>
              <w:left w:val="nil"/>
              <w:bottom w:val="single" w:sz="4" w:space="0" w:color="auto"/>
              <w:right w:val="nil"/>
            </w:tcBorders>
            <w:shd w:val="clear" w:color="auto" w:fill="auto"/>
            <w:noWrap/>
            <w:vAlign w:val="center"/>
            <w:hideMark/>
          </w:tcPr>
          <w:p w14:paraId="1AC2B6D7"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6.2</w:t>
            </w:r>
          </w:p>
        </w:tc>
        <w:tc>
          <w:tcPr>
            <w:tcW w:w="413" w:type="pct"/>
            <w:tcBorders>
              <w:top w:val="nil"/>
              <w:left w:val="nil"/>
              <w:bottom w:val="single" w:sz="4" w:space="0" w:color="auto"/>
              <w:right w:val="nil"/>
            </w:tcBorders>
            <w:shd w:val="clear" w:color="auto" w:fill="auto"/>
            <w:noWrap/>
            <w:vAlign w:val="center"/>
            <w:hideMark/>
          </w:tcPr>
          <w:p w14:paraId="1AC2B6D8"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8,583 </w:t>
            </w:r>
          </w:p>
        </w:tc>
        <w:tc>
          <w:tcPr>
            <w:tcW w:w="323" w:type="pct"/>
            <w:tcBorders>
              <w:top w:val="nil"/>
              <w:left w:val="nil"/>
              <w:bottom w:val="single" w:sz="4" w:space="0" w:color="auto"/>
              <w:right w:val="nil"/>
            </w:tcBorders>
            <w:shd w:val="clear" w:color="auto" w:fill="auto"/>
            <w:noWrap/>
            <w:vAlign w:val="center"/>
            <w:hideMark/>
          </w:tcPr>
          <w:p w14:paraId="1AC2B6D9"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6.9</w:t>
            </w:r>
          </w:p>
        </w:tc>
        <w:tc>
          <w:tcPr>
            <w:tcW w:w="343" w:type="pct"/>
            <w:tcBorders>
              <w:top w:val="nil"/>
              <w:left w:val="nil"/>
              <w:bottom w:val="single" w:sz="4" w:space="0" w:color="auto"/>
              <w:right w:val="nil"/>
            </w:tcBorders>
            <w:shd w:val="clear" w:color="auto" w:fill="auto"/>
            <w:noWrap/>
            <w:vAlign w:val="center"/>
            <w:hideMark/>
          </w:tcPr>
          <w:p w14:paraId="1AC2B6DA"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9,565 </w:t>
            </w:r>
          </w:p>
        </w:tc>
        <w:tc>
          <w:tcPr>
            <w:tcW w:w="343" w:type="pct"/>
            <w:tcBorders>
              <w:top w:val="nil"/>
              <w:left w:val="nil"/>
              <w:bottom w:val="single" w:sz="4" w:space="0" w:color="auto"/>
              <w:right w:val="nil"/>
            </w:tcBorders>
            <w:shd w:val="clear" w:color="auto" w:fill="auto"/>
            <w:noWrap/>
            <w:vAlign w:val="center"/>
            <w:hideMark/>
          </w:tcPr>
          <w:p w14:paraId="1AC2B6DB"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7.8</w:t>
            </w:r>
          </w:p>
        </w:tc>
        <w:tc>
          <w:tcPr>
            <w:tcW w:w="345" w:type="pct"/>
            <w:tcBorders>
              <w:top w:val="nil"/>
              <w:left w:val="nil"/>
              <w:bottom w:val="single" w:sz="4" w:space="0" w:color="auto"/>
              <w:right w:val="nil"/>
            </w:tcBorders>
            <w:shd w:val="clear" w:color="auto" w:fill="auto"/>
            <w:noWrap/>
            <w:vAlign w:val="center"/>
            <w:hideMark/>
          </w:tcPr>
          <w:p w14:paraId="1AC2B6DC"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10,693 </w:t>
            </w:r>
          </w:p>
        </w:tc>
        <w:tc>
          <w:tcPr>
            <w:tcW w:w="342" w:type="pct"/>
            <w:tcBorders>
              <w:top w:val="nil"/>
              <w:left w:val="nil"/>
              <w:bottom w:val="single" w:sz="4" w:space="0" w:color="auto"/>
              <w:right w:val="nil"/>
            </w:tcBorders>
            <w:shd w:val="clear" w:color="auto" w:fill="auto"/>
            <w:noWrap/>
            <w:vAlign w:val="center"/>
            <w:hideMark/>
          </w:tcPr>
          <w:p w14:paraId="1AC2B6DD"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7.4</w:t>
            </w:r>
          </w:p>
        </w:tc>
        <w:tc>
          <w:tcPr>
            <w:tcW w:w="345" w:type="pct"/>
            <w:tcBorders>
              <w:top w:val="nil"/>
              <w:left w:val="nil"/>
              <w:bottom w:val="single" w:sz="4" w:space="0" w:color="auto"/>
              <w:right w:val="nil"/>
            </w:tcBorders>
            <w:shd w:val="clear" w:color="auto" w:fill="auto"/>
            <w:noWrap/>
            <w:vAlign w:val="center"/>
            <w:hideMark/>
          </w:tcPr>
          <w:p w14:paraId="1AC2B6DE"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10,150 </w:t>
            </w:r>
          </w:p>
        </w:tc>
        <w:tc>
          <w:tcPr>
            <w:tcW w:w="342" w:type="pct"/>
            <w:tcBorders>
              <w:top w:val="nil"/>
              <w:left w:val="nil"/>
              <w:bottom w:val="single" w:sz="4" w:space="0" w:color="auto"/>
              <w:right w:val="nil"/>
            </w:tcBorders>
            <w:shd w:val="clear" w:color="auto" w:fill="auto"/>
            <w:noWrap/>
            <w:vAlign w:val="center"/>
            <w:hideMark/>
          </w:tcPr>
          <w:p w14:paraId="1AC2B6DF"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7.3</w:t>
            </w:r>
          </w:p>
        </w:tc>
        <w:tc>
          <w:tcPr>
            <w:tcW w:w="340" w:type="pct"/>
            <w:tcBorders>
              <w:top w:val="nil"/>
              <w:left w:val="nil"/>
              <w:bottom w:val="single" w:sz="4" w:space="0" w:color="auto"/>
              <w:right w:val="nil"/>
            </w:tcBorders>
            <w:shd w:val="clear" w:color="auto" w:fill="auto"/>
            <w:noWrap/>
            <w:vAlign w:val="center"/>
            <w:hideMark/>
          </w:tcPr>
          <w:p w14:paraId="1AC2B6E0" w14:textId="77777777" w:rsidR="00C26954" w:rsidRDefault="00E108B4">
            <w:pPr>
              <w:widowControl/>
              <w:spacing w:line="240" w:lineRule="auto"/>
              <w:jc w:val="center"/>
              <w:rPr>
                <w:rFonts w:eastAsia="游ゴシック" w:cs="Times New Roman"/>
                <w:color w:val="000000"/>
                <w:kern w:val="0"/>
                <w:sz w:val="18"/>
                <w:szCs w:val="18"/>
                <w:highlight w:val="yellow"/>
              </w:rPr>
            </w:pPr>
            <w:r>
              <w:rPr>
                <w:rFonts w:eastAsia="游ゴシック" w:cs="Times New Roman"/>
                <w:color w:val="000000"/>
                <w:kern w:val="0"/>
                <w:sz w:val="18"/>
                <w:szCs w:val="18"/>
                <w:highlight w:val="yellow"/>
              </w:rPr>
              <w:t xml:space="preserve">9,996 </w:t>
            </w:r>
          </w:p>
        </w:tc>
      </w:tr>
      <w:tr w:rsidR="00C26954" w14:paraId="1AC2B6E3" w14:textId="77777777">
        <w:trPr>
          <w:trHeight w:val="360"/>
        </w:trPr>
        <w:tc>
          <w:tcPr>
            <w:tcW w:w="5000" w:type="pct"/>
            <w:gridSpan w:val="14"/>
            <w:tcBorders>
              <w:top w:val="nil"/>
              <w:left w:val="nil"/>
              <w:bottom w:val="nil"/>
              <w:right w:val="nil"/>
            </w:tcBorders>
            <w:shd w:val="clear" w:color="auto" w:fill="auto"/>
            <w:noWrap/>
            <w:vAlign w:val="center"/>
            <w:hideMark/>
          </w:tcPr>
          <w:p w14:paraId="1AC2B6E2" w14:textId="77777777" w:rsidR="00C26954" w:rsidRDefault="00E108B4">
            <w:pPr>
              <w:widowControl/>
              <w:spacing w:line="240" w:lineRule="auto"/>
              <w:rPr>
                <w:rFonts w:eastAsia="游ゴシック" w:cs="Times New Roman"/>
                <w:color w:val="000000"/>
                <w:kern w:val="0"/>
                <w:sz w:val="18"/>
                <w:szCs w:val="18"/>
              </w:rPr>
            </w:pPr>
            <w:r>
              <w:rPr>
                <w:rFonts w:eastAsia="游ゴシック" w:cs="Times New Roman"/>
                <w:color w:val="000000"/>
                <w:kern w:val="0"/>
                <w:sz w:val="18"/>
                <w:szCs w:val="18"/>
                <w:highlight w:val="yellow"/>
              </w:rPr>
              <w:t>To obtain the expected number of prior cancer cases, we multiplied the age-specific prior cancer prevalence by the number of cancer patients for each age group according to sex in our subjects between 2004 and 2015 (which was set as the reference cancer population). We then totaled the expected number of prior cancer cases from all age groups.</w:t>
            </w:r>
          </w:p>
        </w:tc>
      </w:tr>
    </w:tbl>
    <w:p w14:paraId="1AC2B94C" w14:textId="77777777" w:rsidR="00C26954" w:rsidRPr="004378E0" w:rsidRDefault="00C26954">
      <w:pPr>
        <w:rPr>
          <w:szCs w:val="21"/>
        </w:rPr>
      </w:pPr>
    </w:p>
    <w:sectPr w:rsidR="00C26954" w:rsidRPr="004378E0">
      <w:footerReference w:type="default" r:id="rId8"/>
      <w:pgSz w:w="16838" w:h="11906" w:orient="landscape"/>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C2B94F" w14:textId="77777777" w:rsidR="00C26954" w:rsidRDefault="00E108B4">
      <w:r>
        <w:separator/>
      </w:r>
    </w:p>
  </w:endnote>
  <w:endnote w:type="continuationSeparator" w:id="0">
    <w:p w14:paraId="1AC2B950" w14:textId="77777777" w:rsidR="00C26954" w:rsidRDefault="00E108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C2B951" w14:textId="77777777" w:rsidR="00C26954" w:rsidRDefault="00617CB5">
    <w:pPr>
      <w:pStyle w:val="a5"/>
      <w:jc w:val="center"/>
    </w:pPr>
    <w:sdt>
      <w:sdtPr>
        <w:id w:val="-1142025816"/>
        <w:docPartObj>
          <w:docPartGallery w:val="Page Numbers (Bottom of Page)"/>
          <w:docPartUnique/>
        </w:docPartObj>
      </w:sdtPr>
      <w:sdtEndPr/>
      <w:sdtContent>
        <w:r w:rsidR="00E108B4">
          <w:t>S</w:t>
        </w:r>
        <w:r w:rsidR="00E108B4">
          <w:fldChar w:fldCharType="begin"/>
        </w:r>
        <w:r w:rsidR="00E108B4">
          <w:instrText>PAGE   \* MERGEFORMAT</w:instrText>
        </w:r>
        <w:r w:rsidR="00E108B4">
          <w:fldChar w:fldCharType="separate"/>
        </w:r>
        <w:r w:rsidR="00E108B4">
          <w:rPr>
            <w:noProof/>
            <w:lang w:val="ja-JP"/>
          </w:rPr>
          <w:t>23</w:t>
        </w:r>
        <w:r w:rsidR="00E108B4">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C2B94D" w14:textId="77777777" w:rsidR="00C26954" w:rsidRDefault="00E108B4">
      <w:r>
        <w:separator/>
      </w:r>
    </w:p>
  </w:footnote>
  <w:footnote w:type="continuationSeparator" w:id="0">
    <w:p w14:paraId="1AC2B94E" w14:textId="77777777" w:rsidR="00C26954" w:rsidRDefault="00E108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E37C0"/>
    <w:multiLevelType w:val="hybridMultilevel"/>
    <w:tmpl w:val="AE7687F0"/>
    <w:lvl w:ilvl="0" w:tplc="D1F2E0C0">
      <w:start w:val="1"/>
      <w:numFmt w:val="decimalFullWidth"/>
      <w:lvlText w:val="%1）"/>
      <w:lvlJc w:val="left"/>
      <w:pPr>
        <w:ind w:left="440" w:hanging="4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0BA6CBC"/>
    <w:multiLevelType w:val="hybridMultilevel"/>
    <w:tmpl w:val="5B0EA8D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39738C1"/>
    <w:multiLevelType w:val="hybridMultilevel"/>
    <w:tmpl w:val="2612FC9E"/>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8007CA3"/>
    <w:multiLevelType w:val="hybridMultilevel"/>
    <w:tmpl w:val="B76C4FB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8F514DC"/>
    <w:multiLevelType w:val="hybridMultilevel"/>
    <w:tmpl w:val="B1126F04"/>
    <w:lvl w:ilvl="0" w:tplc="7862B134">
      <w:start w:val="3"/>
      <w:numFmt w:val="bullet"/>
      <w:lvlText w:val=""/>
      <w:lvlJc w:val="left"/>
      <w:pPr>
        <w:ind w:left="360" w:hanging="360"/>
      </w:pPr>
      <w:rPr>
        <w:rFonts w:ascii="Wingdings" w:eastAsiaTheme="minorEastAsia" w:hAnsi="Wingdings"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95A1B10"/>
    <w:multiLevelType w:val="hybridMultilevel"/>
    <w:tmpl w:val="E0CC6D20"/>
    <w:lvl w:ilvl="0" w:tplc="FB208C0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31B6160"/>
    <w:multiLevelType w:val="hybridMultilevel"/>
    <w:tmpl w:val="0DB2AF22"/>
    <w:lvl w:ilvl="0" w:tplc="0C545180">
      <w:start w:val="3"/>
      <w:numFmt w:val="bullet"/>
      <w:lvlText w:val=""/>
      <w:lvlJc w:val="left"/>
      <w:pPr>
        <w:ind w:left="360" w:hanging="360"/>
      </w:pPr>
      <w:rPr>
        <w:rFonts w:ascii="Wingdings" w:eastAsiaTheme="minorEastAsia" w:hAnsi="Wingdings"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34CB7B99"/>
    <w:multiLevelType w:val="hybridMultilevel"/>
    <w:tmpl w:val="DF2C2E4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9006748"/>
    <w:multiLevelType w:val="hybridMultilevel"/>
    <w:tmpl w:val="E2E8874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9CA29FF"/>
    <w:multiLevelType w:val="hybridMultilevel"/>
    <w:tmpl w:val="2A4CFDAC"/>
    <w:lvl w:ilvl="0" w:tplc="0414D3A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EBF7489"/>
    <w:multiLevelType w:val="hybridMultilevel"/>
    <w:tmpl w:val="13ECC6F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6726679C"/>
    <w:multiLevelType w:val="hybridMultilevel"/>
    <w:tmpl w:val="0F34AAE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7F077EEA"/>
    <w:multiLevelType w:val="multilevel"/>
    <w:tmpl w:val="B62C4C5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5"/>
  </w:num>
  <w:num w:numId="2">
    <w:abstractNumId w:val="9"/>
  </w:num>
  <w:num w:numId="3">
    <w:abstractNumId w:val="10"/>
  </w:num>
  <w:num w:numId="4">
    <w:abstractNumId w:val="1"/>
  </w:num>
  <w:num w:numId="5">
    <w:abstractNumId w:val="3"/>
  </w:num>
  <w:num w:numId="6">
    <w:abstractNumId w:val="11"/>
  </w:num>
  <w:num w:numId="7">
    <w:abstractNumId w:val="8"/>
  </w:num>
  <w:num w:numId="8">
    <w:abstractNumId w:val="7"/>
  </w:num>
  <w:num w:numId="9">
    <w:abstractNumId w:val="2"/>
  </w:num>
  <w:num w:numId="10">
    <w:abstractNumId w:val="0"/>
  </w:num>
  <w:num w:numId="11">
    <w:abstractNumId w:val="12"/>
  </w:num>
  <w:num w:numId="12">
    <w:abstractNumId w:val="6"/>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2"/>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en-US" w:vendorID="64" w:dllVersion="4096" w:nlCheck="1" w:checkStyle="0"/>
  <w:activeWritingStyle w:appName="MSWord" w:lang="ja-JP" w:vendorID="64" w:dllVersion="0" w:nlCheck="1" w:checkStyle="1"/>
  <w:activeWritingStyle w:appName="MSWord" w:lang="en-US" w:vendorID="64" w:dllVersion="0" w:nlCheck="1" w:checkStyle="0"/>
  <w:activeWritingStyle w:appName="MSWord" w:lang="fr-FR" w:vendorID="64" w:dllVersion="0" w:nlCheck="1" w:checkStyle="0"/>
  <w:proofState w:grammar="clean"/>
  <w:defaultTabStop w:val="525"/>
  <w:hyphenationZone w:val="425"/>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E0NTUyNDEyNzC2NDFQ0lEKTi0uzszPAykwrgUAsQlbVSwAAAA="/>
    <w:docVar w:name="EN.InstantFormat" w:val="&lt;ENInstantFormat&gt;&lt;Enabled&gt;0&lt;/Enabled&gt;&lt;ScanUnformatted&gt;1&lt;/ScanUnformatted&gt;&lt;ScanChanges&gt;1&lt;/ScanChanges&gt;&lt;Suspended&gt;0&lt;/Suspended&gt;&lt;/ENInstantFormat&gt;"/>
    <w:docVar w:name="EN.Layout" w:val="&lt;ENLayout&gt;&lt;Style&gt;JAMA&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esrvdz2za02toedzxkxaaecsva5zazzweat&quot;&gt;My EndNote Library&lt;record-ids&gt;&lt;item&gt;37&lt;/item&gt;&lt;item&gt;38&lt;/item&gt;&lt;item&gt;40&lt;/item&gt;&lt;item&gt;41&lt;/item&gt;&lt;item&gt;42&lt;/item&gt;&lt;item&gt;43&lt;/item&gt;&lt;item&gt;45&lt;/item&gt;&lt;item&gt;51&lt;/item&gt;&lt;item&gt;54&lt;/item&gt;&lt;item&gt;77&lt;/item&gt;&lt;item&gt;79&lt;/item&gt;&lt;item&gt;83&lt;/item&gt;&lt;item&gt;155&lt;/item&gt;&lt;item&gt;158&lt;/item&gt;&lt;item&gt;161&lt;/item&gt;&lt;item&gt;162&lt;/item&gt;&lt;item&gt;173&lt;/item&gt;&lt;item&gt;234&lt;/item&gt;&lt;item&gt;236&lt;/item&gt;&lt;item&gt;237&lt;/item&gt;&lt;item&gt;238&lt;/item&gt;&lt;item&gt;240&lt;/item&gt;&lt;item&gt;248&lt;/item&gt;&lt;item&gt;254&lt;/item&gt;&lt;item&gt;256&lt;/item&gt;&lt;item&gt;306&lt;/item&gt;&lt;item&gt;308&lt;/item&gt;&lt;item&gt;348&lt;/item&gt;&lt;item&gt;351&lt;/item&gt;&lt;item&gt;352&lt;/item&gt;&lt;item&gt;353&lt;/item&gt;&lt;item&gt;354&lt;/item&gt;&lt;item&gt;689&lt;/item&gt;&lt;item&gt;691&lt;/item&gt;&lt;item&gt;692&lt;/item&gt;&lt;item&gt;693&lt;/item&gt;&lt;item&gt;706&lt;/item&gt;&lt;item&gt;707&lt;/item&gt;&lt;item&gt;713&lt;/item&gt;&lt;item&gt;750&lt;/item&gt;&lt;item&gt;751&lt;/item&gt;&lt;item&gt;752&lt;/item&gt;&lt;item&gt;753&lt;/item&gt;&lt;item&gt;755&lt;/item&gt;&lt;/record-ids&gt;&lt;/item&gt;&lt;/Libraries&gt;"/>
  </w:docVars>
  <w:rsids>
    <w:rsidRoot w:val="00C26954"/>
    <w:rsid w:val="004378E0"/>
    <w:rsid w:val="005B4D08"/>
    <w:rsid w:val="00617CB5"/>
    <w:rsid w:val="00C26954"/>
    <w:rsid w:val="00E108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4:docId w14:val="1AC2B62E"/>
  <w15:docId w15:val="{5C45F4ED-2824-4501-842D-0978FFBC8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480" w:lineRule="auto"/>
    </w:pPr>
    <w:rPr>
      <w:rFonts w:ascii="Times New Roman" w:hAnsi="Times New Roman"/>
    </w:rPr>
  </w:style>
  <w:style w:type="paragraph" w:styleId="1">
    <w:name w:val="heading 1"/>
    <w:basedOn w:val="a"/>
    <w:next w:val="a"/>
    <w:link w:val="10"/>
    <w:uiPriority w:val="9"/>
    <w:qFormat/>
    <w:pPr>
      <w:keepNext/>
      <w:outlineLvl w:val="0"/>
    </w:pPr>
    <w:rPr>
      <w:rFonts w:eastAsia="Times New Roman" w:cs="Times New Roman"/>
      <w:b/>
      <w:sz w:val="24"/>
      <w:szCs w:val="24"/>
    </w:rPr>
  </w:style>
  <w:style w:type="paragraph" w:styleId="2">
    <w:name w:val="heading 2"/>
    <w:basedOn w:val="a"/>
    <w:next w:val="a"/>
    <w:link w:val="20"/>
    <w:uiPriority w:val="9"/>
    <w:unhideWhenUsed/>
    <w:qFormat/>
    <w:pPr>
      <w:keepNext/>
      <w:outlineLvl w:val="1"/>
    </w:pPr>
    <w:rPr>
      <w:rFonts w:eastAsia="Times New Roman" w:cs="Times New Roman"/>
      <w:b/>
      <w:sz w:val="24"/>
      <w:szCs w:val="24"/>
    </w:rPr>
  </w:style>
  <w:style w:type="paragraph" w:styleId="3">
    <w:name w:val="heading 3"/>
    <w:basedOn w:val="a"/>
    <w:next w:val="a"/>
    <w:link w:val="30"/>
    <w:uiPriority w:val="9"/>
    <w:semiHidden/>
    <w:unhideWhenUsed/>
    <w:qFormat/>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Pr>
      <w:rFonts w:ascii="Times New Roman" w:eastAsia="Times New Roman" w:hAnsi="Times New Roman" w:cs="Times New Roman"/>
      <w:b/>
      <w:sz w:val="24"/>
      <w:szCs w:val="24"/>
    </w:rPr>
  </w:style>
  <w:style w:type="character" w:customStyle="1" w:styleId="20">
    <w:name w:val="見出し 2 (文字)"/>
    <w:basedOn w:val="a0"/>
    <w:link w:val="2"/>
    <w:uiPriority w:val="9"/>
    <w:rPr>
      <w:rFonts w:ascii="Times New Roman" w:eastAsia="Times New Roman" w:hAnsi="Times New Roman" w:cs="Times New Roman"/>
      <w:b/>
      <w:sz w:val="24"/>
      <w:szCs w:val="24"/>
    </w:rPr>
  </w:style>
  <w:style w:type="paragraph" w:styleId="a3">
    <w:name w:val="header"/>
    <w:basedOn w:val="a"/>
    <w:link w:val="a4"/>
    <w:uiPriority w:val="99"/>
    <w:unhideWhenUsed/>
    <w:pPr>
      <w:tabs>
        <w:tab w:val="center" w:pos="4252"/>
        <w:tab w:val="right" w:pos="8504"/>
      </w:tabs>
      <w:snapToGrid w:val="0"/>
    </w:pPr>
  </w:style>
  <w:style w:type="character" w:customStyle="1" w:styleId="a4">
    <w:name w:val="ヘッダー (文字)"/>
    <w:basedOn w:val="a0"/>
    <w:link w:val="a3"/>
    <w:uiPriority w:val="99"/>
  </w:style>
  <w:style w:type="paragraph" w:styleId="a5">
    <w:name w:val="footer"/>
    <w:basedOn w:val="a"/>
    <w:link w:val="a6"/>
    <w:uiPriority w:val="99"/>
    <w:unhideWhenUsed/>
    <w:pPr>
      <w:tabs>
        <w:tab w:val="center" w:pos="4252"/>
        <w:tab w:val="right" w:pos="8504"/>
      </w:tabs>
      <w:snapToGrid w:val="0"/>
    </w:pPr>
  </w:style>
  <w:style w:type="character" w:customStyle="1" w:styleId="a6">
    <w:name w:val="フッター (文字)"/>
    <w:basedOn w:val="a0"/>
    <w:link w:val="a5"/>
    <w:uiPriority w:val="99"/>
  </w:style>
  <w:style w:type="character" w:styleId="a7">
    <w:name w:val="Hyperlink"/>
    <w:basedOn w:val="a0"/>
    <w:uiPriority w:val="99"/>
    <w:unhideWhenUsed/>
    <w:rPr>
      <w:color w:val="0563C1" w:themeColor="hyperlink"/>
      <w:u w:val="single"/>
    </w:rPr>
  </w:style>
  <w:style w:type="table" w:styleId="a8">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Pr>
      <w:rFonts w:asciiTheme="majorHAnsi" w:eastAsiaTheme="majorEastAsia" w:hAnsiTheme="majorHAnsi" w:cstheme="majorBidi"/>
      <w:sz w:val="18"/>
      <w:szCs w:val="18"/>
    </w:rPr>
  </w:style>
  <w:style w:type="paragraph" w:styleId="ab">
    <w:name w:val="List Paragraph"/>
    <w:basedOn w:val="a"/>
    <w:link w:val="ac"/>
    <w:uiPriority w:val="34"/>
    <w:qFormat/>
    <w:pPr>
      <w:ind w:leftChars="400" w:left="840"/>
    </w:pPr>
  </w:style>
  <w:style w:type="character" w:customStyle="1" w:styleId="ac">
    <w:name w:val="リスト段落 (文字)"/>
    <w:basedOn w:val="a0"/>
    <w:link w:val="ab"/>
    <w:uiPriority w:val="34"/>
  </w:style>
  <w:style w:type="character" w:styleId="ad">
    <w:name w:val="annotation reference"/>
    <w:basedOn w:val="a0"/>
    <w:uiPriority w:val="99"/>
    <w:semiHidden/>
    <w:unhideWhenUsed/>
    <w:rPr>
      <w:sz w:val="18"/>
      <w:szCs w:val="18"/>
    </w:rPr>
  </w:style>
  <w:style w:type="paragraph" w:styleId="ae">
    <w:name w:val="annotation text"/>
    <w:basedOn w:val="a"/>
    <w:link w:val="af"/>
    <w:uiPriority w:val="99"/>
    <w:unhideWhenUsed/>
  </w:style>
  <w:style w:type="character" w:customStyle="1" w:styleId="af">
    <w:name w:val="コメント文字列 (文字)"/>
    <w:basedOn w:val="a0"/>
    <w:link w:val="ae"/>
    <w:uiPriority w:val="99"/>
  </w:style>
  <w:style w:type="paragraph" w:styleId="af0">
    <w:name w:val="annotation subject"/>
    <w:basedOn w:val="ae"/>
    <w:next w:val="ae"/>
    <w:link w:val="af1"/>
    <w:uiPriority w:val="99"/>
    <w:semiHidden/>
    <w:unhideWhenUsed/>
    <w:rPr>
      <w:b/>
      <w:bCs/>
    </w:rPr>
  </w:style>
  <w:style w:type="character" w:customStyle="1" w:styleId="af1">
    <w:name w:val="コメント内容 (文字)"/>
    <w:basedOn w:val="af"/>
    <w:link w:val="af0"/>
    <w:uiPriority w:val="99"/>
    <w:semiHidden/>
    <w:rPr>
      <w:b/>
      <w:bCs/>
    </w:rPr>
  </w:style>
  <w:style w:type="character" w:styleId="af2">
    <w:name w:val="line number"/>
    <w:basedOn w:val="a0"/>
    <w:uiPriority w:val="99"/>
    <w:semiHidden/>
    <w:unhideWhenUsed/>
  </w:style>
  <w:style w:type="paragraph" w:styleId="af3">
    <w:name w:val="Revision"/>
    <w:hidden/>
    <w:uiPriority w:val="99"/>
    <w:semiHidden/>
  </w:style>
  <w:style w:type="paragraph" w:styleId="Web">
    <w:name w:val="Normal (Web)"/>
    <w:basedOn w:val="a"/>
    <w:uiPriority w:val="99"/>
    <w:unhideWhenUsed/>
    <w:pPr>
      <w:widowControl/>
      <w:spacing w:before="100" w:beforeAutospacing="1" w:after="100" w:afterAutospacing="1"/>
    </w:pPr>
    <w:rPr>
      <w:rFonts w:ascii="ＭＳ Ｐゴシック" w:eastAsia="ＭＳ Ｐゴシック" w:hAnsi="ＭＳ Ｐゴシック" w:cs="ＭＳ Ｐゴシック"/>
      <w:kern w:val="0"/>
      <w:sz w:val="24"/>
      <w:szCs w:val="24"/>
    </w:rPr>
  </w:style>
  <w:style w:type="paragraph" w:customStyle="1" w:styleId="EndNoteBibliographyTitle">
    <w:name w:val="EndNote Bibliography Title"/>
    <w:basedOn w:val="a"/>
    <w:link w:val="EndNoteBibliographyTitle0"/>
    <w:pPr>
      <w:jc w:val="center"/>
    </w:pPr>
    <w:rPr>
      <w:rFonts w:cs="Times New Roman"/>
      <w:noProof/>
      <w:sz w:val="20"/>
    </w:rPr>
  </w:style>
  <w:style w:type="character" w:customStyle="1" w:styleId="EndNoteBibliographyTitle0">
    <w:name w:val="EndNote Bibliography Title (文字)"/>
    <w:basedOn w:val="ac"/>
    <w:link w:val="EndNoteBibliographyTitle"/>
    <w:rPr>
      <w:rFonts w:ascii="Times New Roman" w:hAnsi="Times New Roman" w:cs="Times New Roman"/>
      <w:noProof/>
      <w:sz w:val="20"/>
    </w:rPr>
  </w:style>
  <w:style w:type="paragraph" w:customStyle="1" w:styleId="EndNoteBibliography">
    <w:name w:val="EndNote Bibliography"/>
    <w:basedOn w:val="a"/>
    <w:link w:val="EndNoteBibliography0"/>
    <w:pPr>
      <w:spacing w:line="240" w:lineRule="auto"/>
    </w:pPr>
    <w:rPr>
      <w:rFonts w:cs="Times New Roman"/>
      <w:noProof/>
      <w:sz w:val="20"/>
    </w:rPr>
  </w:style>
  <w:style w:type="character" w:customStyle="1" w:styleId="EndNoteBibliography0">
    <w:name w:val="EndNote Bibliography (文字)"/>
    <w:basedOn w:val="ac"/>
    <w:link w:val="EndNoteBibliography"/>
    <w:rPr>
      <w:rFonts w:ascii="Times New Roman" w:hAnsi="Times New Roman" w:cs="Times New Roman"/>
      <w:noProof/>
      <w:sz w:val="20"/>
    </w:rPr>
  </w:style>
  <w:style w:type="paragraph" w:styleId="af4">
    <w:name w:val="Date"/>
    <w:basedOn w:val="a"/>
    <w:next w:val="a"/>
    <w:link w:val="af5"/>
    <w:uiPriority w:val="99"/>
    <w:semiHidden/>
    <w:unhideWhenUsed/>
  </w:style>
  <w:style w:type="character" w:customStyle="1" w:styleId="af5">
    <w:name w:val="日付 (文字)"/>
    <w:basedOn w:val="a0"/>
    <w:link w:val="af4"/>
    <w:uiPriority w:val="99"/>
    <w:semiHidden/>
  </w:style>
  <w:style w:type="paragraph" w:styleId="af6">
    <w:name w:val="caption"/>
    <w:basedOn w:val="a"/>
    <w:next w:val="a"/>
    <w:uiPriority w:val="35"/>
    <w:unhideWhenUsed/>
    <w:qFormat/>
    <w:rPr>
      <w:b/>
      <w:bCs/>
      <w:szCs w:val="21"/>
    </w:rPr>
  </w:style>
  <w:style w:type="character" w:customStyle="1" w:styleId="30">
    <w:name w:val="見出し 3 (文字)"/>
    <w:basedOn w:val="a0"/>
    <w:link w:val="3"/>
    <w:uiPriority w:val="9"/>
    <w:semiHidden/>
    <w:rPr>
      <w:rFonts w:asciiTheme="majorHAnsi" w:eastAsiaTheme="majorEastAsia" w:hAnsiTheme="majorHAnsi" w:cstheme="majorBidi"/>
    </w:rPr>
  </w:style>
  <w:style w:type="character" w:customStyle="1" w:styleId="11">
    <w:name w:val="未解決のメンション1"/>
    <w:basedOn w:val="a0"/>
    <w:uiPriority w:val="99"/>
    <w:semiHidden/>
    <w:unhideWhenUsed/>
    <w:rPr>
      <w:color w:val="605E5C"/>
      <w:shd w:val="clear" w:color="auto" w:fill="E1DFDD"/>
    </w:rPr>
  </w:style>
  <w:style w:type="character" w:styleId="af7">
    <w:name w:val="Strong"/>
    <w:basedOn w:val="a0"/>
    <w:uiPriority w:val="22"/>
    <w:qFormat/>
    <w:rPr>
      <w:b/>
      <w:bCs/>
    </w:rPr>
  </w:style>
  <w:style w:type="character" w:styleId="af8">
    <w:name w:val="Unresolved Mention"/>
    <w:basedOn w:val="a0"/>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062938">
      <w:bodyDiv w:val="1"/>
      <w:marLeft w:val="0"/>
      <w:marRight w:val="0"/>
      <w:marTop w:val="0"/>
      <w:marBottom w:val="0"/>
      <w:divBdr>
        <w:top w:val="none" w:sz="0" w:space="0" w:color="auto"/>
        <w:left w:val="none" w:sz="0" w:space="0" w:color="auto"/>
        <w:bottom w:val="none" w:sz="0" w:space="0" w:color="auto"/>
        <w:right w:val="none" w:sz="0" w:space="0" w:color="auto"/>
      </w:divBdr>
    </w:div>
    <w:div w:id="61567577">
      <w:bodyDiv w:val="1"/>
      <w:marLeft w:val="0"/>
      <w:marRight w:val="0"/>
      <w:marTop w:val="0"/>
      <w:marBottom w:val="0"/>
      <w:divBdr>
        <w:top w:val="none" w:sz="0" w:space="0" w:color="auto"/>
        <w:left w:val="none" w:sz="0" w:space="0" w:color="auto"/>
        <w:bottom w:val="none" w:sz="0" w:space="0" w:color="auto"/>
        <w:right w:val="none" w:sz="0" w:space="0" w:color="auto"/>
      </w:divBdr>
    </w:div>
    <w:div w:id="63839967">
      <w:bodyDiv w:val="1"/>
      <w:marLeft w:val="0"/>
      <w:marRight w:val="0"/>
      <w:marTop w:val="0"/>
      <w:marBottom w:val="0"/>
      <w:divBdr>
        <w:top w:val="none" w:sz="0" w:space="0" w:color="auto"/>
        <w:left w:val="none" w:sz="0" w:space="0" w:color="auto"/>
        <w:bottom w:val="none" w:sz="0" w:space="0" w:color="auto"/>
        <w:right w:val="none" w:sz="0" w:space="0" w:color="auto"/>
      </w:divBdr>
    </w:div>
    <w:div w:id="70082619">
      <w:bodyDiv w:val="1"/>
      <w:marLeft w:val="0"/>
      <w:marRight w:val="0"/>
      <w:marTop w:val="0"/>
      <w:marBottom w:val="0"/>
      <w:divBdr>
        <w:top w:val="none" w:sz="0" w:space="0" w:color="auto"/>
        <w:left w:val="none" w:sz="0" w:space="0" w:color="auto"/>
        <w:bottom w:val="none" w:sz="0" w:space="0" w:color="auto"/>
        <w:right w:val="none" w:sz="0" w:space="0" w:color="auto"/>
      </w:divBdr>
    </w:div>
    <w:div w:id="84155833">
      <w:bodyDiv w:val="1"/>
      <w:marLeft w:val="0"/>
      <w:marRight w:val="0"/>
      <w:marTop w:val="0"/>
      <w:marBottom w:val="0"/>
      <w:divBdr>
        <w:top w:val="none" w:sz="0" w:space="0" w:color="auto"/>
        <w:left w:val="none" w:sz="0" w:space="0" w:color="auto"/>
        <w:bottom w:val="none" w:sz="0" w:space="0" w:color="auto"/>
        <w:right w:val="none" w:sz="0" w:space="0" w:color="auto"/>
      </w:divBdr>
    </w:div>
    <w:div w:id="155462918">
      <w:bodyDiv w:val="1"/>
      <w:marLeft w:val="0"/>
      <w:marRight w:val="0"/>
      <w:marTop w:val="0"/>
      <w:marBottom w:val="0"/>
      <w:divBdr>
        <w:top w:val="none" w:sz="0" w:space="0" w:color="auto"/>
        <w:left w:val="none" w:sz="0" w:space="0" w:color="auto"/>
        <w:bottom w:val="none" w:sz="0" w:space="0" w:color="auto"/>
        <w:right w:val="none" w:sz="0" w:space="0" w:color="auto"/>
      </w:divBdr>
    </w:div>
    <w:div w:id="208034285">
      <w:bodyDiv w:val="1"/>
      <w:marLeft w:val="0"/>
      <w:marRight w:val="0"/>
      <w:marTop w:val="0"/>
      <w:marBottom w:val="0"/>
      <w:divBdr>
        <w:top w:val="none" w:sz="0" w:space="0" w:color="auto"/>
        <w:left w:val="none" w:sz="0" w:space="0" w:color="auto"/>
        <w:bottom w:val="none" w:sz="0" w:space="0" w:color="auto"/>
        <w:right w:val="none" w:sz="0" w:space="0" w:color="auto"/>
      </w:divBdr>
    </w:div>
    <w:div w:id="224224154">
      <w:bodyDiv w:val="1"/>
      <w:marLeft w:val="0"/>
      <w:marRight w:val="0"/>
      <w:marTop w:val="0"/>
      <w:marBottom w:val="0"/>
      <w:divBdr>
        <w:top w:val="none" w:sz="0" w:space="0" w:color="auto"/>
        <w:left w:val="none" w:sz="0" w:space="0" w:color="auto"/>
        <w:bottom w:val="none" w:sz="0" w:space="0" w:color="auto"/>
        <w:right w:val="none" w:sz="0" w:space="0" w:color="auto"/>
      </w:divBdr>
    </w:div>
    <w:div w:id="249973665">
      <w:bodyDiv w:val="1"/>
      <w:marLeft w:val="0"/>
      <w:marRight w:val="0"/>
      <w:marTop w:val="0"/>
      <w:marBottom w:val="0"/>
      <w:divBdr>
        <w:top w:val="none" w:sz="0" w:space="0" w:color="auto"/>
        <w:left w:val="none" w:sz="0" w:space="0" w:color="auto"/>
        <w:bottom w:val="none" w:sz="0" w:space="0" w:color="auto"/>
        <w:right w:val="none" w:sz="0" w:space="0" w:color="auto"/>
      </w:divBdr>
    </w:div>
    <w:div w:id="264970378">
      <w:bodyDiv w:val="1"/>
      <w:marLeft w:val="0"/>
      <w:marRight w:val="0"/>
      <w:marTop w:val="0"/>
      <w:marBottom w:val="0"/>
      <w:divBdr>
        <w:top w:val="none" w:sz="0" w:space="0" w:color="auto"/>
        <w:left w:val="none" w:sz="0" w:space="0" w:color="auto"/>
        <w:bottom w:val="none" w:sz="0" w:space="0" w:color="auto"/>
        <w:right w:val="none" w:sz="0" w:space="0" w:color="auto"/>
      </w:divBdr>
    </w:div>
    <w:div w:id="312174395">
      <w:bodyDiv w:val="1"/>
      <w:marLeft w:val="0"/>
      <w:marRight w:val="0"/>
      <w:marTop w:val="0"/>
      <w:marBottom w:val="0"/>
      <w:divBdr>
        <w:top w:val="none" w:sz="0" w:space="0" w:color="auto"/>
        <w:left w:val="none" w:sz="0" w:space="0" w:color="auto"/>
        <w:bottom w:val="none" w:sz="0" w:space="0" w:color="auto"/>
        <w:right w:val="none" w:sz="0" w:space="0" w:color="auto"/>
      </w:divBdr>
    </w:div>
    <w:div w:id="337467197">
      <w:bodyDiv w:val="1"/>
      <w:marLeft w:val="0"/>
      <w:marRight w:val="0"/>
      <w:marTop w:val="0"/>
      <w:marBottom w:val="0"/>
      <w:divBdr>
        <w:top w:val="none" w:sz="0" w:space="0" w:color="auto"/>
        <w:left w:val="none" w:sz="0" w:space="0" w:color="auto"/>
        <w:bottom w:val="none" w:sz="0" w:space="0" w:color="auto"/>
        <w:right w:val="none" w:sz="0" w:space="0" w:color="auto"/>
      </w:divBdr>
    </w:div>
    <w:div w:id="430668569">
      <w:bodyDiv w:val="1"/>
      <w:marLeft w:val="0"/>
      <w:marRight w:val="0"/>
      <w:marTop w:val="0"/>
      <w:marBottom w:val="0"/>
      <w:divBdr>
        <w:top w:val="none" w:sz="0" w:space="0" w:color="auto"/>
        <w:left w:val="none" w:sz="0" w:space="0" w:color="auto"/>
        <w:bottom w:val="none" w:sz="0" w:space="0" w:color="auto"/>
        <w:right w:val="none" w:sz="0" w:space="0" w:color="auto"/>
      </w:divBdr>
    </w:div>
    <w:div w:id="442766771">
      <w:bodyDiv w:val="1"/>
      <w:marLeft w:val="0"/>
      <w:marRight w:val="0"/>
      <w:marTop w:val="0"/>
      <w:marBottom w:val="0"/>
      <w:divBdr>
        <w:top w:val="none" w:sz="0" w:space="0" w:color="auto"/>
        <w:left w:val="none" w:sz="0" w:space="0" w:color="auto"/>
        <w:bottom w:val="none" w:sz="0" w:space="0" w:color="auto"/>
        <w:right w:val="none" w:sz="0" w:space="0" w:color="auto"/>
      </w:divBdr>
    </w:div>
    <w:div w:id="794829595">
      <w:bodyDiv w:val="1"/>
      <w:marLeft w:val="0"/>
      <w:marRight w:val="0"/>
      <w:marTop w:val="0"/>
      <w:marBottom w:val="0"/>
      <w:divBdr>
        <w:top w:val="none" w:sz="0" w:space="0" w:color="auto"/>
        <w:left w:val="none" w:sz="0" w:space="0" w:color="auto"/>
        <w:bottom w:val="none" w:sz="0" w:space="0" w:color="auto"/>
        <w:right w:val="none" w:sz="0" w:space="0" w:color="auto"/>
      </w:divBdr>
    </w:div>
    <w:div w:id="802693047">
      <w:bodyDiv w:val="1"/>
      <w:marLeft w:val="0"/>
      <w:marRight w:val="0"/>
      <w:marTop w:val="0"/>
      <w:marBottom w:val="0"/>
      <w:divBdr>
        <w:top w:val="none" w:sz="0" w:space="0" w:color="auto"/>
        <w:left w:val="none" w:sz="0" w:space="0" w:color="auto"/>
        <w:bottom w:val="none" w:sz="0" w:space="0" w:color="auto"/>
        <w:right w:val="none" w:sz="0" w:space="0" w:color="auto"/>
      </w:divBdr>
    </w:div>
    <w:div w:id="805390054">
      <w:bodyDiv w:val="1"/>
      <w:marLeft w:val="0"/>
      <w:marRight w:val="0"/>
      <w:marTop w:val="0"/>
      <w:marBottom w:val="0"/>
      <w:divBdr>
        <w:top w:val="none" w:sz="0" w:space="0" w:color="auto"/>
        <w:left w:val="none" w:sz="0" w:space="0" w:color="auto"/>
        <w:bottom w:val="none" w:sz="0" w:space="0" w:color="auto"/>
        <w:right w:val="none" w:sz="0" w:space="0" w:color="auto"/>
      </w:divBdr>
    </w:div>
    <w:div w:id="892890904">
      <w:bodyDiv w:val="1"/>
      <w:marLeft w:val="0"/>
      <w:marRight w:val="0"/>
      <w:marTop w:val="0"/>
      <w:marBottom w:val="0"/>
      <w:divBdr>
        <w:top w:val="none" w:sz="0" w:space="0" w:color="auto"/>
        <w:left w:val="none" w:sz="0" w:space="0" w:color="auto"/>
        <w:bottom w:val="none" w:sz="0" w:space="0" w:color="auto"/>
        <w:right w:val="none" w:sz="0" w:space="0" w:color="auto"/>
      </w:divBdr>
    </w:div>
    <w:div w:id="935287991">
      <w:bodyDiv w:val="1"/>
      <w:marLeft w:val="0"/>
      <w:marRight w:val="0"/>
      <w:marTop w:val="0"/>
      <w:marBottom w:val="0"/>
      <w:divBdr>
        <w:top w:val="none" w:sz="0" w:space="0" w:color="auto"/>
        <w:left w:val="none" w:sz="0" w:space="0" w:color="auto"/>
        <w:bottom w:val="none" w:sz="0" w:space="0" w:color="auto"/>
        <w:right w:val="none" w:sz="0" w:space="0" w:color="auto"/>
      </w:divBdr>
    </w:div>
    <w:div w:id="953441359">
      <w:bodyDiv w:val="1"/>
      <w:marLeft w:val="0"/>
      <w:marRight w:val="0"/>
      <w:marTop w:val="0"/>
      <w:marBottom w:val="0"/>
      <w:divBdr>
        <w:top w:val="none" w:sz="0" w:space="0" w:color="auto"/>
        <w:left w:val="none" w:sz="0" w:space="0" w:color="auto"/>
        <w:bottom w:val="none" w:sz="0" w:space="0" w:color="auto"/>
        <w:right w:val="none" w:sz="0" w:space="0" w:color="auto"/>
      </w:divBdr>
    </w:div>
    <w:div w:id="1016464380">
      <w:bodyDiv w:val="1"/>
      <w:marLeft w:val="0"/>
      <w:marRight w:val="0"/>
      <w:marTop w:val="0"/>
      <w:marBottom w:val="0"/>
      <w:divBdr>
        <w:top w:val="none" w:sz="0" w:space="0" w:color="auto"/>
        <w:left w:val="none" w:sz="0" w:space="0" w:color="auto"/>
        <w:bottom w:val="none" w:sz="0" w:space="0" w:color="auto"/>
        <w:right w:val="none" w:sz="0" w:space="0" w:color="auto"/>
      </w:divBdr>
    </w:div>
    <w:div w:id="1097139182">
      <w:bodyDiv w:val="1"/>
      <w:marLeft w:val="0"/>
      <w:marRight w:val="0"/>
      <w:marTop w:val="0"/>
      <w:marBottom w:val="0"/>
      <w:divBdr>
        <w:top w:val="none" w:sz="0" w:space="0" w:color="auto"/>
        <w:left w:val="none" w:sz="0" w:space="0" w:color="auto"/>
        <w:bottom w:val="none" w:sz="0" w:space="0" w:color="auto"/>
        <w:right w:val="none" w:sz="0" w:space="0" w:color="auto"/>
      </w:divBdr>
    </w:div>
    <w:div w:id="1130782543">
      <w:bodyDiv w:val="1"/>
      <w:marLeft w:val="0"/>
      <w:marRight w:val="0"/>
      <w:marTop w:val="0"/>
      <w:marBottom w:val="0"/>
      <w:divBdr>
        <w:top w:val="none" w:sz="0" w:space="0" w:color="auto"/>
        <w:left w:val="none" w:sz="0" w:space="0" w:color="auto"/>
        <w:bottom w:val="none" w:sz="0" w:space="0" w:color="auto"/>
        <w:right w:val="none" w:sz="0" w:space="0" w:color="auto"/>
      </w:divBdr>
    </w:div>
    <w:div w:id="1136023479">
      <w:bodyDiv w:val="1"/>
      <w:marLeft w:val="0"/>
      <w:marRight w:val="0"/>
      <w:marTop w:val="0"/>
      <w:marBottom w:val="0"/>
      <w:divBdr>
        <w:top w:val="none" w:sz="0" w:space="0" w:color="auto"/>
        <w:left w:val="none" w:sz="0" w:space="0" w:color="auto"/>
        <w:bottom w:val="none" w:sz="0" w:space="0" w:color="auto"/>
        <w:right w:val="none" w:sz="0" w:space="0" w:color="auto"/>
      </w:divBdr>
    </w:div>
    <w:div w:id="1202747199">
      <w:bodyDiv w:val="1"/>
      <w:marLeft w:val="0"/>
      <w:marRight w:val="0"/>
      <w:marTop w:val="0"/>
      <w:marBottom w:val="0"/>
      <w:divBdr>
        <w:top w:val="none" w:sz="0" w:space="0" w:color="auto"/>
        <w:left w:val="none" w:sz="0" w:space="0" w:color="auto"/>
        <w:bottom w:val="none" w:sz="0" w:space="0" w:color="auto"/>
        <w:right w:val="none" w:sz="0" w:space="0" w:color="auto"/>
      </w:divBdr>
    </w:div>
    <w:div w:id="1203056613">
      <w:bodyDiv w:val="1"/>
      <w:marLeft w:val="0"/>
      <w:marRight w:val="0"/>
      <w:marTop w:val="0"/>
      <w:marBottom w:val="0"/>
      <w:divBdr>
        <w:top w:val="none" w:sz="0" w:space="0" w:color="auto"/>
        <w:left w:val="none" w:sz="0" w:space="0" w:color="auto"/>
        <w:bottom w:val="none" w:sz="0" w:space="0" w:color="auto"/>
        <w:right w:val="none" w:sz="0" w:space="0" w:color="auto"/>
      </w:divBdr>
    </w:div>
    <w:div w:id="1279263696">
      <w:bodyDiv w:val="1"/>
      <w:marLeft w:val="0"/>
      <w:marRight w:val="0"/>
      <w:marTop w:val="0"/>
      <w:marBottom w:val="0"/>
      <w:divBdr>
        <w:top w:val="none" w:sz="0" w:space="0" w:color="auto"/>
        <w:left w:val="none" w:sz="0" w:space="0" w:color="auto"/>
        <w:bottom w:val="none" w:sz="0" w:space="0" w:color="auto"/>
        <w:right w:val="none" w:sz="0" w:space="0" w:color="auto"/>
      </w:divBdr>
    </w:div>
    <w:div w:id="1400446883">
      <w:bodyDiv w:val="1"/>
      <w:marLeft w:val="0"/>
      <w:marRight w:val="0"/>
      <w:marTop w:val="0"/>
      <w:marBottom w:val="0"/>
      <w:divBdr>
        <w:top w:val="none" w:sz="0" w:space="0" w:color="auto"/>
        <w:left w:val="none" w:sz="0" w:space="0" w:color="auto"/>
        <w:bottom w:val="none" w:sz="0" w:space="0" w:color="auto"/>
        <w:right w:val="none" w:sz="0" w:space="0" w:color="auto"/>
      </w:divBdr>
    </w:div>
    <w:div w:id="1488327233">
      <w:bodyDiv w:val="1"/>
      <w:marLeft w:val="0"/>
      <w:marRight w:val="0"/>
      <w:marTop w:val="0"/>
      <w:marBottom w:val="0"/>
      <w:divBdr>
        <w:top w:val="none" w:sz="0" w:space="0" w:color="auto"/>
        <w:left w:val="none" w:sz="0" w:space="0" w:color="auto"/>
        <w:bottom w:val="none" w:sz="0" w:space="0" w:color="auto"/>
        <w:right w:val="none" w:sz="0" w:space="0" w:color="auto"/>
      </w:divBdr>
    </w:div>
    <w:div w:id="1537547194">
      <w:bodyDiv w:val="1"/>
      <w:marLeft w:val="0"/>
      <w:marRight w:val="0"/>
      <w:marTop w:val="0"/>
      <w:marBottom w:val="0"/>
      <w:divBdr>
        <w:top w:val="none" w:sz="0" w:space="0" w:color="auto"/>
        <w:left w:val="none" w:sz="0" w:space="0" w:color="auto"/>
        <w:bottom w:val="none" w:sz="0" w:space="0" w:color="auto"/>
        <w:right w:val="none" w:sz="0" w:space="0" w:color="auto"/>
      </w:divBdr>
    </w:div>
    <w:div w:id="1641303653">
      <w:bodyDiv w:val="1"/>
      <w:marLeft w:val="0"/>
      <w:marRight w:val="0"/>
      <w:marTop w:val="0"/>
      <w:marBottom w:val="0"/>
      <w:divBdr>
        <w:top w:val="none" w:sz="0" w:space="0" w:color="auto"/>
        <w:left w:val="none" w:sz="0" w:space="0" w:color="auto"/>
        <w:bottom w:val="none" w:sz="0" w:space="0" w:color="auto"/>
        <w:right w:val="none" w:sz="0" w:space="0" w:color="auto"/>
      </w:divBdr>
    </w:div>
    <w:div w:id="1673293263">
      <w:bodyDiv w:val="1"/>
      <w:marLeft w:val="0"/>
      <w:marRight w:val="0"/>
      <w:marTop w:val="0"/>
      <w:marBottom w:val="0"/>
      <w:divBdr>
        <w:top w:val="none" w:sz="0" w:space="0" w:color="auto"/>
        <w:left w:val="none" w:sz="0" w:space="0" w:color="auto"/>
        <w:bottom w:val="none" w:sz="0" w:space="0" w:color="auto"/>
        <w:right w:val="none" w:sz="0" w:space="0" w:color="auto"/>
      </w:divBdr>
    </w:div>
    <w:div w:id="1677226040">
      <w:bodyDiv w:val="1"/>
      <w:marLeft w:val="0"/>
      <w:marRight w:val="0"/>
      <w:marTop w:val="0"/>
      <w:marBottom w:val="0"/>
      <w:divBdr>
        <w:top w:val="none" w:sz="0" w:space="0" w:color="auto"/>
        <w:left w:val="none" w:sz="0" w:space="0" w:color="auto"/>
        <w:bottom w:val="none" w:sz="0" w:space="0" w:color="auto"/>
        <w:right w:val="none" w:sz="0" w:space="0" w:color="auto"/>
      </w:divBdr>
    </w:div>
    <w:div w:id="1817188070">
      <w:bodyDiv w:val="1"/>
      <w:marLeft w:val="0"/>
      <w:marRight w:val="0"/>
      <w:marTop w:val="0"/>
      <w:marBottom w:val="0"/>
      <w:divBdr>
        <w:top w:val="none" w:sz="0" w:space="0" w:color="auto"/>
        <w:left w:val="none" w:sz="0" w:space="0" w:color="auto"/>
        <w:bottom w:val="none" w:sz="0" w:space="0" w:color="auto"/>
        <w:right w:val="none" w:sz="0" w:space="0" w:color="auto"/>
      </w:divBdr>
    </w:div>
    <w:div w:id="1865055399">
      <w:bodyDiv w:val="1"/>
      <w:marLeft w:val="0"/>
      <w:marRight w:val="0"/>
      <w:marTop w:val="0"/>
      <w:marBottom w:val="0"/>
      <w:divBdr>
        <w:top w:val="none" w:sz="0" w:space="0" w:color="auto"/>
        <w:left w:val="none" w:sz="0" w:space="0" w:color="auto"/>
        <w:bottom w:val="none" w:sz="0" w:space="0" w:color="auto"/>
        <w:right w:val="none" w:sz="0" w:space="0" w:color="auto"/>
      </w:divBdr>
    </w:div>
    <w:div w:id="1915504220">
      <w:bodyDiv w:val="1"/>
      <w:marLeft w:val="0"/>
      <w:marRight w:val="0"/>
      <w:marTop w:val="0"/>
      <w:marBottom w:val="0"/>
      <w:divBdr>
        <w:top w:val="none" w:sz="0" w:space="0" w:color="auto"/>
        <w:left w:val="none" w:sz="0" w:space="0" w:color="auto"/>
        <w:bottom w:val="none" w:sz="0" w:space="0" w:color="auto"/>
        <w:right w:val="none" w:sz="0" w:space="0" w:color="auto"/>
      </w:divBdr>
    </w:div>
    <w:div w:id="1980568243">
      <w:bodyDiv w:val="1"/>
      <w:marLeft w:val="0"/>
      <w:marRight w:val="0"/>
      <w:marTop w:val="0"/>
      <w:marBottom w:val="0"/>
      <w:divBdr>
        <w:top w:val="none" w:sz="0" w:space="0" w:color="auto"/>
        <w:left w:val="none" w:sz="0" w:space="0" w:color="auto"/>
        <w:bottom w:val="none" w:sz="0" w:space="0" w:color="auto"/>
        <w:right w:val="none" w:sz="0" w:space="0" w:color="auto"/>
      </w:divBdr>
    </w:div>
    <w:div w:id="2061392510">
      <w:bodyDiv w:val="1"/>
      <w:marLeft w:val="0"/>
      <w:marRight w:val="0"/>
      <w:marTop w:val="0"/>
      <w:marBottom w:val="0"/>
      <w:divBdr>
        <w:top w:val="none" w:sz="0" w:space="0" w:color="auto"/>
        <w:left w:val="none" w:sz="0" w:space="0" w:color="auto"/>
        <w:bottom w:val="none" w:sz="0" w:space="0" w:color="auto"/>
        <w:right w:val="none" w:sz="0" w:space="0" w:color="auto"/>
      </w:divBdr>
    </w:div>
    <w:div w:id="2112967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noFill/>
        <a:ln w="9525" cap="flat" cmpd="sng" algn="ctr">
          <a:solidFill>
            <a:sysClr val="windowText" lastClr="000000"/>
          </a:solidFill>
          <a:prstDash val="solid"/>
          <a:miter lim="800000"/>
          <a:tailEnd type="triangle"/>
        </a:ln>
        <a:effec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0557A5-0285-46F3-9772-64F71EFE25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238</Words>
  <Characters>1212</Characters>
  <Application>Microsoft Office Word</Application>
  <DocSecurity>0</DocSecurity>
  <Lines>10</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佐藤 亮</dc:creator>
  <cp:keywords/>
  <dc:description/>
  <cp:lastModifiedBy>佐藤 亮</cp:lastModifiedBy>
  <cp:revision>4</cp:revision>
  <cp:lastPrinted>2020-02-08T11:54:00Z</cp:lastPrinted>
  <dcterms:created xsi:type="dcterms:W3CDTF">2020-12-16T17:19:00Z</dcterms:created>
  <dcterms:modified xsi:type="dcterms:W3CDTF">2020-12-16T17:24:00Z</dcterms:modified>
</cp:coreProperties>
</file>