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Supplementary Information </w:t>
      </w:r>
    </w:p>
    <w:p>
      <w:pPr>
        <w:spacing w:line="360" w:lineRule="auto"/>
        <w:jc w:val="left"/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Additional file 1:</w:t>
      </w:r>
      <w:bookmarkStart w:id="0" w:name="OLE_LINK7"/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 </w:t>
      </w:r>
      <w:bookmarkStart w:id="1" w:name="OLE_LINK10"/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Supplementary Figure 1</w:t>
      </w:r>
      <w:bookmarkEnd w:id="0"/>
      <w:bookmarkEnd w:id="1"/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Full-length Western blot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Shown in Fig.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1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(A)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measuring immunopositivity against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HuR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AML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healthy normal control.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(B)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GAPDH was used as loading control. </w:t>
      </w:r>
    </w:p>
    <w:p>
      <w:pPr>
        <w:spacing w:line="360" w:lineRule="auto"/>
        <w:jc w:val="left"/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Additional file 2: </w:t>
      </w:r>
      <w:bookmarkStart w:id="2" w:name="OLE_LINK21"/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Supplementary Figure 2</w:t>
      </w:r>
      <w:bookmarkEnd w:id="2"/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Full-length Western blot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Shown in Fig.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2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(A)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measuring immunopositivity against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HuR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K562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after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miR-29b-3p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overexpression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(B)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GAPDH was used as loading control.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(C)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measuring immunopositivity against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HuR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U937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after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miR-29b-3p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overexpression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(D)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GAPDH was used as loading control.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(E)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measuring immunopositivity against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HuR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K562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after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miR-29b-3p was inhibited.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(F)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GAPDH was used as loading control.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(G)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measuring immunopositivity against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HuR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U937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after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miR-29b-3p was inhibited.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(H)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GAPDH was used as loading control.</w:t>
      </w:r>
    </w:p>
    <w:p>
      <w:pPr>
        <w:spacing w:line="360" w:lineRule="auto"/>
        <w:jc w:val="left"/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Additional file 3:</w:t>
      </w:r>
      <w:bookmarkStart w:id="3" w:name="OLE_LINK17"/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 Supplementary Figure 3</w:t>
      </w:r>
      <w:bookmarkEnd w:id="3"/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Full-length Western blot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Shown in Fig.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4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(A-B)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measuring immunopositivity against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Bcl-2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K562 and U937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after </w:t>
      </w:r>
      <w:bookmarkStart w:id="4" w:name="OLE_LINK20"/>
      <w:r>
        <w:rPr>
          <w:rFonts w:hint="default" w:ascii="Times New Roman" w:hAnsi="Times New Roman" w:cs="Times New Roman"/>
          <w:sz w:val="24"/>
          <w:szCs w:val="24"/>
          <w:highlight w:val="none"/>
        </w:rPr>
        <w:t>miR-29b-3p was inhibited</w:t>
      </w:r>
      <w:bookmarkEnd w:id="4"/>
      <w:r>
        <w:rPr>
          <w:rFonts w:hint="default" w:ascii="Times New Roman" w:hAnsi="Times New Roman" w:cs="Times New Roman"/>
          <w:sz w:val="24"/>
          <w:szCs w:val="24"/>
          <w:highlight w:val="none"/>
        </w:rPr>
        <w:t>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(C-D)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measuring immunopositivity against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Bax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K562 and U937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after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miR-29b-3p was inhibited.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(E-F)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GAPDH was used as loading control. </w:t>
      </w:r>
    </w:p>
    <w:p>
      <w:pPr>
        <w:spacing w:line="360" w:lineRule="auto"/>
        <w:jc w:val="left"/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Additional file 4: </w:t>
      </w:r>
      <w:bookmarkStart w:id="5" w:name="OLE_LINK18"/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Supplementary Figure 4</w:t>
      </w:r>
      <w:bookmarkEnd w:id="5"/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Full-length Western blot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Shown in Fig.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6-7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(A-B)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measuring immunopositivity against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Nucleus p65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K562 and U937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after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miR-29b-3p was inhibited.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(C-D)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measuring immunopositivity against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Cytoplasm p65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K562 and U937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after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miR-29b-3p was inhibited.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(</w:t>
      </w:r>
      <w:bookmarkStart w:id="7" w:name="_GoBack"/>
      <w:bookmarkEnd w:id="7"/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E-F)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measuring immunopositivity against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total p65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K562 and U937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after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miR-29b-3p was inhibited.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(G-H) PCNA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was used as loading control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for Nucleus p65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.</w:t>
      </w:r>
      <w:bookmarkStart w:id="6" w:name="OLE_LINK19"/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(I-J)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GAPDH was used as loading control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for Cytoplasm p65 and total P65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. </w:t>
      </w:r>
      <w:bookmarkEnd w:id="6"/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(K-L)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Full length image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measuring immunopositivity against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p-STAT1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in 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K562 and U937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cells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after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miR-29b-3p was inhibited.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17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vivian</cp:lastModifiedBy>
  <dcterms:modified xsi:type="dcterms:W3CDTF">2021-04-28T11:12:41Z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