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3E779" w14:textId="77777777" w:rsidR="00EA2B44" w:rsidRPr="00311405" w:rsidRDefault="00EA2B44" w:rsidP="00EA2B44">
      <w:pPr>
        <w:keepNext/>
        <w:spacing w:line="480" w:lineRule="auto"/>
        <w:jc w:val="both"/>
        <w:rPr>
          <w:rFonts w:ascii="Times New Roman" w:eastAsia="Georgia" w:hAnsi="Times New Roman" w:cs="Times New Roman"/>
          <w:b/>
          <w:bCs/>
          <w:sz w:val="24"/>
          <w:szCs w:val="24"/>
        </w:rPr>
      </w:pPr>
      <w:r w:rsidRPr="00311405">
        <w:rPr>
          <w:rFonts w:ascii="Times New Roman" w:eastAsia="Georgia" w:hAnsi="Times New Roman" w:cs="Times New Roman"/>
          <w:b/>
          <w:sz w:val="24"/>
          <w:szCs w:val="24"/>
        </w:rPr>
        <w:t>Title:</w:t>
      </w:r>
      <w:r w:rsidRPr="00311405">
        <w:rPr>
          <w:rFonts w:ascii="Times New Roman" w:hAnsi="Times New Roman" w:cs="Times New Roman"/>
          <w:b/>
          <w:bCs/>
          <w:sz w:val="24"/>
          <w:szCs w:val="24"/>
        </w:rPr>
        <w:t xml:space="preserve"> Thermal exposure risk in different life stages of Chinook salmon in the Nechako River system, British Columbia</w:t>
      </w:r>
    </w:p>
    <w:p w14:paraId="5E0E1897" w14:textId="7D90B1B6" w:rsidR="00030784" w:rsidRPr="008A5078" w:rsidRDefault="00745740">
      <w:pPr>
        <w:rPr>
          <w:rFonts w:ascii="Times New Roman" w:hAnsi="Times New Roman" w:cs="Times New Roman"/>
          <w:b/>
          <w:bCs/>
          <w:sz w:val="24"/>
          <w:szCs w:val="24"/>
          <w:lang w:val="en-GB"/>
        </w:rPr>
      </w:pPr>
      <w:r w:rsidRPr="008A5078">
        <w:rPr>
          <w:rFonts w:ascii="Times New Roman" w:hAnsi="Times New Roman" w:cs="Times New Roman"/>
          <w:b/>
          <w:bCs/>
          <w:sz w:val="24"/>
          <w:szCs w:val="24"/>
          <w:lang w:val="en-GB"/>
        </w:rPr>
        <w:t>Supplementary Information</w:t>
      </w:r>
    </w:p>
    <w:p w14:paraId="32FE9D36" w14:textId="6CE1F176" w:rsidR="00157913" w:rsidRPr="008A5078" w:rsidRDefault="00157913">
      <w:pPr>
        <w:rPr>
          <w:rFonts w:ascii="Times New Roman" w:hAnsi="Times New Roman" w:cs="Times New Roman"/>
          <w:b/>
          <w:bCs/>
          <w:sz w:val="24"/>
          <w:szCs w:val="24"/>
          <w:lang w:val="en-GB"/>
        </w:rPr>
      </w:pPr>
    </w:p>
    <w:p w14:paraId="31969B45" w14:textId="25C3BB73" w:rsidR="00157913" w:rsidRPr="008A5078" w:rsidRDefault="00157913" w:rsidP="00157913">
      <w:pPr>
        <w:pStyle w:val="Heading2"/>
        <w:spacing w:line="480" w:lineRule="auto"/>
        <w:jc w:val="both"/>
        <w:rPr>
          <w:rFonts w:ascii="Times New Roman" w:hAnsi="Times New Roman"/>
          <w:b/>
          <w:color w:val="auto"/>
          <w:sz w:val="24"/>
          <w:szCs w:val="24"/>
        </w:rPr>
      </w:pPr>
      <w:r w:rsidRPr="008A5078">
        <w:rPr>
          <w:rFonts w:ascii="Times New Roman" w:hAnsi="Times New Roman"/>
          <w:b/>
          <w:color w:val="auto"/>
          <w:sz w:val="24"/>
          <w:szCs w:val="24"/>
        </w:rPr>
        <w:t>CEQUEAU model: Modelling Nechako River water temperature</w:t>
      </w:r>
    </w:p>
    <w:p w14:paraId="79CF683A" w14:textId="25758204" w:rsidR="00157913" w:rsidRPr="008A5078" w:rsidRDefault="00157913" w:rsidP="00157913">
      <w:pPr>
        <w:spacing w:line="480" w:lineRule="auto"/>
        <w:jc w:val="both"/>
        <w:rPr>
          <w:rFonts w:ascii="Times New Roman" w:hAnsi="Times New Roman"/>
          <w:sz w:val="24"/>
          <w:szCs w:val="24"/>
          <w:lang w:val="en-GB"/>
        </w:rPr>
      </w:pPr>
      <w:r w:rsidRPr="008A5078">
        <w:rPr>
          <w:rFonts w:ascii="Times New Roman" w:hAnsi="Times New Roman"/>
          <w:sz w:val="24"/>
          <w:szCs w:val="24"/>
          <w:lang w:val="en-GB"/>
        </w:rPr>
        <w:t xml:space="preserve">CEQUEAU is a hydrological and water temperature model that is semi-distributed </w:t>
      </w:r>
      <w:r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{"citationID":"ti1ThckQ","properties":{"formattedCitation":"(Khorsandi et al., 2022; Morin &amp; Couillard, 1990; St-Hilaire et al., 2015)","plainCitation":"(Khorsandi et al., 2022; Morin &amp; Couillard, 1990; St-Hilaire et al., 2015)","noteIndex":0},"citationItems":[{"id":63,"uris":["http://zotero.org/users/11320370/items/EC2J9SZ7"],"itemData":{"id":63,"type":"article-journal","container-title":"Hydrological Sciences Journal","ISSN":"0262-6667","issue":"14","journalAbbreviation":"Hydrological Sciences Journal","note":"publisher: Taylor &amp; Francis","page":"2147-2174","title":"Multisite calibration of a semi-distributed hydrologic and thermal model in a large Canadian watershed","volume":"67","author":[{"family":"Khorsandi","given":"Mostafa"},{"family":"St-Hilaire","given":"Andre"},{"family":"Arsenault","given":"Richard"}],"issued":{"date-parts":[["2022"]]}}},{"id":64,"uris":["http://zotero.org/users/11320370/items/97J9HDGF"],"itemData":{"id":64,"type":"article-journal","container-title":"Encyclopedia of fluid mechanic, surface and groundwater flow phenomena","journalAbbreviation":"Encyclopedia of fluid mechanic, surface and groundwater flow phenomena","note":"publisher: Gulf Publishing Company Houston, Texas","page":"171-209","title":"Predicting river temperatures with a hydrological model","volume":"10","author":[{"family":"Morin","given":"Guy"},{"family":"Couillard","given":"Denis"}],"issued":{"date-parts":[["1990"]]}}},{"id":62,"uris":["http://zotero.org/users/11320370/items/P4Y9EIEB"],"itemData":{"id":62,"type":"paper-conference","event-title":"Proceedings of the 22nd Canadian Hydrotechnical Conference","title":"Breathing a new life to an older model: The CEQUEAU tool for flow and water temperature simulations and forecasting","author":[{"family":"St-Hilaire","given":"André"},{"family":"Boucher","given":"Marie-Amélie"},{"family":"Chebana","given":"Fateh"},{"family":"Ouellet-Proulx","given":"Sébastien"},{"family":"Zhou","given":"Qing Xiao"},{"family":"Larabi","given":"Samah"},{"family":"Dugdale","given":"Stephen"},{"family":"Latraverse","given":"Marco"}],"issued":{"date-parts":[["2015"]]}}}],"schema":"https://github.com/citation-style-language/schema/raw/master/csl-citation.json"} </w:instrText>
      </w:r>
      <w:r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(Khorsandi et al., 2022; Morin &amp; Couillard, 1990; St-Hilaire et al., 2015)</w:t>
      </w:r>
      <w:r w:rsidRPr="008A5078">
        <w:rPr>
          <w:rFonts w:ascii="Times New Roman" w:hAnsi="Times New Roman"/>
          <w:sz w:val="24"/>
          <w:szCs w:val="24"/>
          <w:lang w:val="en-GB"/>
        </w:rPr>
        <w:fldChar w:fldCharType="end"/>
      </w:r>
      <w:r w:rsidRPr="008A5078">
        <w:rPr>
          <w:rFonts w:ascii="Times New Roman" w:hAnsi="Times New Roman"/>
          <w:sz w:val="24"/>
          <w:szCs w:val="24"/>
          <w:lang w:val="en-GB"/>
        </w:rPr>
        <w:t xml:space="preserve"> (Fig 1B). The </w:t>
      </w:r>
      <w:bookmarkStart w:id="0" w:name="_Hlk158020377"/>
      <w:r w:rsidRPr="008A5078">
        <w:rPr>
          <w:rFonts w:ascii="Times New Roman" w:hAnsi="Times New Roman"/>
          <w:sz w:val="24"/>
          <w:szCs w:val="24"/>
          <w:lang w:val="en-GB"/>
        </w:rPr>
        <w:t>hydrological module of CEQUEAU includes snowmelt and evapotranspiration formulations as well as conceptual water storage in two soil horizons, while the thermal module calculates the surface heat budget within each model grid cell</w:t>
      </w:r>
      <w:bookmarkEnd w:id="0"/>
      <w:r w:rsidRPr="008A5078">
        <w:rPr>
          <w:rFonts w:ascii="Times New Roman" w:hAnsi="Times New Roman"/>
          <w:sz w:val="24"/>
          <w:szCs w:val="24"/>
          <w:lang w:val="en-GB"/>
        </w:rPr>
        <w:t xml:space="preserve">. Land cover and topography are required as input physiographic data. The 10-meter resolution land cover data provided by ESRI, and the European Space Agency (ESA) </w:t>
      </w:r>
      <w:r w:rsidR="00350EDE"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{"citationID":"W0RW51Ce","properties":{"formattedCitation":"(Karra et al., 2021; Zanaga et al., 2022)","plainCitation":"(Karra et al., 2021; Zanaga et al., 2022)","noteIndex":0},"citationItems":[{"id":455,"uris":["http://zotero.org/users/11320370/items/C28QTWU5"],"itemData":{"id":455,"type":"paper-conference","event-title":"2021 IEEE international geoscience and remote sensing symposium IGARSS","ISBN":"1-66540-369-1","page":"4704-4707","publisher":"IEEE","title":"Global land use/land cover with Sentinel 2 and deep learning","author":[{"family":"Karra","given":"Krishna"},{"family":"Kontgis","given":"Caitlin"},{"family":"Statman-Weil","given":"Zoe"},{"family":"Mazzariello","given":"Joseph C"},{"family":"Mathis","given":"Mark"},{"family":"Brumby","given":"Steven P"}],"issued":{"date-parts":[["2021"]]}}},{"id":456,"uris":["http://zotero.org/users/11320370/items/K8HWEU6K"],"itemData":{"id":456,"type":"article-journal","title":"ESA WorldCover 10 m 2021 v200","author":[{"family":"Zanaga","given":"Daniele"},{"family":"Van De Kerchove","given":"Ruben"},{"family":"Daems","given":"Dirk"},{"family":"De Keersmaecker","given":"Wanda"},{"family":"Brockmann","given":"Carsten"},{"family":"Kirches","given":"Grit"},{"family":"Wevers","given":"Jan"},{"family":"Cartus","given":"Oliver"},{"family":"Santoro","given":"Maurizio"},{"family":"Fritz","given":"Steffen"}],"issued":{"date-parts":[["2022"]]}}}],"schema":"https://github.com/citation-style-language/schema/raw/master/csl-citation.json"} </w:instrText>
      </w:r>
      <w:r w:rsidR="00350EDE"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(Karra et al., 2021; Zanaga et al., 2022)</w:t>
      </w:r>
      <w:r w:rsidR="00350EDE" w:rsidRPr="008A5078">
        <w:rPr>
          <w:rFonts w:ascii="Times New Roman" w:hAnsi="Times New Roman"/>
          <w:sz w:val="24"/>
          <w:szCs w:val="24"/>
          <w:lang w:val="en-GB"/>
        </w:rPr>
        <w:fldChar w:fldCharType="end"/>
      </w:r>
      <w:r w:rsidR="00350EDE" w:rsidRPr="008A5078">
        <w:rPr>
          <w:rFonts w:ascii="Times New Roman" w:hAnsi="Times New Roman"/>
          <w:sz w:val="24"/>
          <w:szCs w:val="24"/>
          <w:lang w:val="en-GB"/>
        </w:rPr>
        <w:t xml:space="preserve"> </w:t>
      </w:r>
      <w:r w:rsidRPr="008A5078">
        <w:rPr>
          <w:rFonts w:ascii="Times New Roman" w:hAnsi="Times New Roman"/>
          <w:sz w:val="24"/>
          <w:szCs w:val="24"/>
          <w:lang w:val="en-GB"/>
        </w:rPr>
        <w:t xml:space="preserve">is used in this study, </w:t>
      </w:r>
      <w:r w:rsidR="00762BC3">
        <w:rPr>
          <w:rFonts w:ascii="Times New Roman" w:hAnsi="Times New Roman"/>
          <w:sz w:val="24"/>
          <w:szCs w:val="24"/>
          <w:lang w:val="en-GB"/>
        </w:rPr>
        <w:t>t</w:t>
      </w:r>
      <w:r w:rsidRPr="008A5078">
        <w:rPr>
          <w:rFonts w:ascii="Times New Roman" w:hAnsi="Times New Roman"/>
          <w:sz w:val="24"/>
          <w:szCs w:val="24"/>
          <w:lang w:val="en-GB"/>
        </w:rPr>
        <w:t xml:space="preserve">he NASA SRTM Digital Elevation Model (DEM) with a 30-meter resolution </w:t>
      </w:r>
      <w:r w:rsidR="00350EDE"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{"citationID":"wS4fAOYi","properties":{"formattedCitation":"(Farr et al., 2007)","plainCitation":"(Farr et al., 2007)","noteIndex":0},"citationItems":[{"id":457,"uris":["http://zotero.org/users/11320370/items/DB2UETWH"],"itemData":{"id":457,"type":"article-journal","container-title":"Reviews of geophysics","ISSN":"8755-1209","issue":"2","journalAbbreviation":"Reviews of geophysics","note":"publisher: Wiley Online Library","title":"The shuttle radar topography mission","volume":"45","author":[{"family":"Farr","given":"Tom G"},{"family":"Rosen","given":"Paul A"},{"family":"Caro","given":"Edward"},{"family":"Crippen","given":"Robert"},{"family":"Duren","given":"Riley"},{"family":"Hensley","given":"Scott"},{"family":"Kobrick","given":"Michael"},{"family":"Paller","given":"Mimi"},{"family":"Rodriguez","given":"Ernesto"},{"family":"Roth","given":"Ladislav"}],"issued":{"date-parts":[["2007"]]}}}],"schema":"https://github.com/citation-style-language/schema/raw/master/csl-citation.json"} </w:instrText>
      </w:r>
      <w:r w:rsidR="00350EDE"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(Farr et al., 2007)</w:t>
      </w:r>
      <w:r w:rsidR="00350EDE" w:rsidRPr="008A5078">
        <w:rPr>
          <w:rFonts w:ascii="Times New Roman" w:hAnsi="Times New Roman"/>
          <w:sz w:val="24"/>
          <w:szCs w:val="24"/>
          <w:lang w:val="en-GB"/>
        </w:rPr>
        <w:fldChar w:fldCharType="end"/>
      </w:r>
      <w:r w:rsidRPr="008A5078">
        <w:rPr>
          <w:rFonts w:ascii="Times New Roman" w:hAnsi="Times New Roman"/>
          <w:sz w:val="24"/>
          <w:szCs w:val="24"/>
          <w:lang w:val="en-GB"/>
        </w:rPr>
        <w:t xml:space="preserve"> is used for topography. Aside from physiographic data, meteorological data are also needed for the model, including daily solid and liquid precipitation and maximum and minimum daily air temperature. </w:t>
      </w:r>
    </w:p>
    <w:p w14:paraId="24DE61D2" w14:textId="77777777" w:rsidR="00157913" w:rsidRPr="008A5078" w:rsidRDefault="00157913" w:rsidP="00157913">
      <w:pPr>
        <w:spacing w:line="480" w:lineRule="auto"/>
        <w:jc w:val="both"/>
        <w:rPr>
          <w:rFonts w:ascii="Times New Roman" w:hAnsi="Times New Roman"/>
          <w:sz w:val="24"/>
          <w:szCs w:val="24"/>
          <w:lang w:val="en-GB"/>
        </w:rPr>
      </w:pPr>
      <w:r w:rsidRPr="008A5078">
        <w:rPr>
          <w:rFonts w:ascii="Times New Roman" w:hAnsi="Times New Roman"/>
          <w:sz w:val="24"/>
          <w:szCs w:val="24"/>
          <w:lang w:val="en-GB"/>
        </w:rPr>
        <w:t>To compute surface heat fluxes (incoming shortwave radiation, net longwave radiation, latent heat, and sensible heat), additional meteorological input variables such as solar radiation, wind velocity, vapour pressure, and cloud cover are used to calculate the heat budget. At each time step, the model also accounts for heat adverted from upstream, local runoff and interflow, as well as groundwater.</w:t>
      </w:r>
    </w:p>
    <w:p w14:paraId="025B8CBC" w14:textId="77777777" w:rsidR="00157913" w:rsidRPr="008A5078" w:rsidRDefault="00157913" w:rsidP="00157913">
      <w:pPr>
        <w:spacing w:line="480" w:lineRule="auto"/>
        <w:jc w:val="both"/>
        <w:rPr>
          <w:rFonts w:ascii="Times New Roman" w:hAnsi="Times New Roman"/>
          <w:sz w:val="24"/>
          <w:szCs w:val="24"/>
          <w:lang w:val="en-GB"/>
        </w:rPr>
      </w:pPr>
      <w:r w:rsidRPr="008A5078">
        <w:rPr>
          <w:rFonts w:ascii="Times New Roman" w:hAnsi="Times New Roman"/>
          <w:sz w:val="24"/>
          <w:szCs w:val="24"/>
          <w:lang w:val="en-GB"/>
        </w:rPr>
        <w:t xml:space="preserve">The physical characteristics of the watershed are accounted for by the model through decomposition into Elementary Representative Areas (ERA) of equal surface, referred to </w:t>
      </w:r>
      <w:r w:rsidRPr="008A5078">
        <w:rPr>
          <w:rFonts w:ascii="Times New Roman" w:hAnsi="Times New Roman"/>
          <w:sz w:val="24"/>
          <w:szCs w:val="24"/>
          <w:lang w:val="en-GB"/>
        </w:rPr>
        <w:lastRenderedPageBreak/>
        <w:t>as “whole squares”. The ERA characteristics include altitude, forest cover percentage, and the percentage of lakes and wetlands coverage. To define water routing, the ERAs are further subdivided into a maximum of four “partial squares”, based on altitude, slopes, and water divides. At each time step (daily), a hydrological budget is calculated for each partial square, and water availability for runoff is apportioned proportionally to the partial square areas while identifying the downstream receiving partial square. In CEQUEAU, the hydrological module output is utilised as input for the thermal module. The thermal module computes various heat fluxes, such as direct shortwave radiation, latent heat, longwave radiation, convection, advection from upstream, local runoff, interflow, and groundwater inflows. The surface heat budget is calculated using Equation 1.:</w:t>
      </w:r>
    </w:p>
    <w:tbl>
      <w:tblPr>
        <w:tblW w:w="9090" w:type="dxa"/>
        <w:tblLook w:val="04A0" w:firstRow="1" w:lastRow="0" w:firstColumn="1" w:lastColumn="0" w:noHBand="0" w:noVBand="1"/>
      </w:tblPr>
      <w:tblGrid>
        <w:gridCol w:w="7532"/>
        <w:gridCol w:w="1558"/>
      </w:tblGrid>
      <w:tr w:rsidR="00157913" w:rsidRPr="008A5078" w14:paraId="0471DFC1" w14:textId="77777777" w:rsidTr="00194639">
        <w:tc>
          <w:tcPr>
            <w:tcW w:w="7532" w:type="dxa"/>
            <w:shd w:val="clear" w:color="auto" w:fill="auto"/>
            <w:hideMark/>
          </w:tcPr>
          <w:p w14:paraId="0D32BACD" w14:textId="77777777" w:rsidR="00157913" w:rsidRPr="008A5078" w:rsidRDefault="00157913" w:rsidP="00194639">
            <w:pPr>
              <w:tabs>
                <w:tab w:val="center" w:pos="4253"/>
                <w:tab w:val="right" w:pos="8222"/>
              </w:tabs>
              <w:spacing w:before="240" w:after="240" w:line="360" w:lineRule="auto"/>
              <w:ind w:right="-838"/>
              <w:jc w:val="both"/>
              <w:rPr>
                <w:rFonts w:ascii="Times New Roman" w:eastAsia="Times New Roman" w:hAnsi="Times New Roman"/>
                <w:sz w:val="24"/>
                <w:szCs w:val="24"/>
                <w:lang w:val="en-GB" w:eastAsia="en-CA" w:bidi="fa-IR"/>
              </w:rPr>
            </w:pPr>
            <m:oMathPara>
              <m:oMathParaPr>
                <m:jc m:val="left"/>
              </m:oMathParaPr>
              <m:oMath>
                <m:r>
                  <w:rPr>
                    <w:rFonts w:ascii="Cambria Math" w:eastAsia="Times New Roman" w:hAnsi="Cambria Math"/>
                    <w:sz w:val="24"/>
                    <w:szCs w:val="24"/>
                    <w:lang w:val="en-GB" w:eastAsia="en-CA" w:bidi="fa-IR"/>
                  </w:rPr>
                  <m:t>∆H=</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short</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long</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ET</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sens</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ups</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downs</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local</m:t>
                    </m:r>
                  </m:sub>
                </m:sSub>
                <m:r>
                  <w:rPr>
                    <w:rFonts w:ascii="Cambria Math" w:eastAsia="Times New Roman" w:hAnsi="Cambria Math"/>
                    <w:sz w:val="24"/>
                    <w:szCs w:val="24"/>
                    <w:lang w:val="en-GB" w:eastAsia="en-CA" w:bidi="fa-IR"/>
                  </w:rPr>
                  <m:t>+</m:t>
                </m:r>
                <m:sSub>
                  <m:sSubPr>
                    <m:ctrlPr>
                      <w:rPr>
                        <w:rFonts w:ascii="Cambria Math" w:eastAsia="Times New Roman" w:hAnsi="Cambria Math"/>
                        <w:i/>
                        <w:sz w:val="24"/>
                        <w:szCs w:val="24"/>
                        <w:lang w:val="en-GB" w:eastAsia="en-GB" w:bidi="fa-IR"/>
                      </w:rPr>
                    </m:ctrlPr>
                  </m:sSubPr>
                  <m:e>
                    <m:r>
                      <w:rPr>
                        <w:rFonts w:ascii="Cambria Math" w:eastAsia="Times New Roman" w:hAnsi="Cambria Math"/>
                        <w:sz w:val="24"/>
                        <w:szCs w:val="24"/>
                        <w:lang w:val="en-GB" w:eastAsia="en-CA" w:bidi="fa-IR"/>
                      </w:rPr>
                      <m:t>H</m:t>
                    </m:r>
                  </m:e>
                  <m:sub>
                    <m:r>
                      <w:rPr>
                        <w:rFonts w:ascii="Cambria Math" w:eastAsia="Times New Roman" w:hAnsi="Cambria Math"/>
                        <w:sz w:val="24"/>
                        <w:szCs w:val="24"/>
                        <w:lang w:val="en-GB" w:eastAsia="en-CA" w:bidi="fa-IR"/>
                      </w:rPr>
                      <m:t>ground</m:t>
                    </m:r>
                  </m:sub>
                </m:sSub>
              </m:oMath>
            </m:oMathPara>
          </w:p>
        </w:tc>
        <w:tc>
          <w:tcPr>
            <w:tcW w:w="1558" w:type="dxa"/>
            <w:shd w:val="clear" w:color="auto" w:fill="auto"/>
            <w:hideMark/>
          </w:tcPr>
          <w:p w14:paraId="6E350E48" w14:textId="77777777" w:rsidR="00157913" w:rsidRPr="008A5078" w:rsidRDefault="00157913" w:rsidP="00194639">
            <w:pPr>
              <w:tabs>
                <w:tab w:val="center" w:pos="4253"/>
                <w:tab w:val="right" w:pos="8222"/>
              </w:tabs>
              <w:spacing w:before="240" w:after="240" w:line="360" w:lineRule="auto"/>
              <w:ind w:left="1040" w:firstLine="4"/>
              <w:jc w:val="both"/>
              <w:rPr>
                <w:rFonts w:ascii="Times New Roman" w:eastAsia="Times New Roman" w:hAnsi="Times New Roman"/>
                <w:sz w:val="24"/>
                <w:szCs w:val="24"/>
                <w:lang w:val="en-GB" w:eastAsia="en-CA" w:bidi="fa-IR"/>
              </w:rPr>
            </w:pPr>
            <w:r w:rsidRPr="008A5078">
              <w:rPr>
                <w:rFonts w:ascii="Times New Roman" w:eastAsia="Times New Roman" w:hAnsi="Times New Roman"/>
                <w:sz w:val="24"/>
                <w:szCs w:val="24"/>
                <w:lang w:val="en-GB" w:eastAsia="en-CA" w:bidi="fa-IR"/>
              </w:rPr>
              <w:t>(</w:t>
            </w:r>
            <w:r w:rsidRPr="008A5078">
              <w:rPr>
                <w:rFonts w:ascii="Times New Roman" w:eastAsia="Times New Roman" w:hAnsi="Times New Roman"/>
                <w:sz w:val="24"/>
                <w:szCs w:val="24"/>
                <w:lang w:val="en-GB" w:eastAsia="en-GB"/>
              </w:rPr>
              <w:fldChar w:fldCharType="begin"/>
            </w:r>
            <w:r w:rsidRPr="008A5078">
              <w:rPr>
                <w:rFonts w:ascii="Times New Roman" w:eastAsia="Times New Roman" w:hAnsi="Times New Roman"/>
                <w:sz w:val="24"/>
                <w:szCs w:val="24"/>
                <w:lang w:val="en-GB" w:eastAsia="en-GB"/>
              </w:rPr>
              <w:instrText xml:space="preserve"> SEQ Equation \* ARABIC </w:instrText>
            </w:r>
            <w:r w:rsidRPr="008A5078">
              <w:rPr>
                <w:rFonts w:ascii="Times New Roman" w:eastAsia="Times New Roman" w:hAnsi="Times New Roman"/>
                <w:sz w:val="24"/>
                <w:szCs w:val="24"/>
                <w:lang w:val="en-GB" w:eastAsia="en-GB"/>
              </w:rPr>
              <w:fldChar w:fldCharType="separate"/>
            </w:r>
            <w:r w:rsidRPr="008A5078">
              <w:rPr>
                <w:rFonts w:ascii="Times New Roman" w:eastAsia="Times New Roman" w:hAnsi="Times New Roman"/>
                <w:noProof/>
                <w:sz w:val="24"/>
                <w:szCs w:val="24"/>
                <w:lang w:val="en-GB" w:eastAsia="en-GB"/>
              </w:rPr>
              <w:t>1</w:t>
            </w:r>
            <w:r w:rsidRPr="008A5078">
              <w:rPr>
                <w:rFonts w:ascii="Times New Roman" w:eastAsia="Times New Roman" w:hAnsi="Times New Roman"/>
                <w:sz w:val="24"/>
                <w:szCs w:val="24"/>
                <w:lang w:val="en-GB" w:eastAsia="en-GB"/>
              </w:rPr>
              <w:fldChar w:fldCharType="end"/>
            </w:r>
            <w:r w:rsidRPr="008A5078">
              <w:rPr>
                <w:rFonts w:ascii="Times New Roman" w:eastAsia="Times New Roman" w:hAnsi="Times New Roman"/>
                <w:sz w:val="24"/>
                <w:szCs w:val="24"/>
                <w:lang w:val="en-GB" w:eastAsia="en-CA" w:bidi="fa-IR"/>
              </w:rPr>
              <w:t>)</w:t>
            </w:r>
          </w:p>
        </w:tc>
      </w:tr>
    </w:tbl>
    <w:p w14:paraId="168B50AB" w14:textId="77777777" w:rsidR="00157913" w:rsidRPr="008A5078" w:rsidRDefault="00157913" w:rsidP="00157913">
      <w:pPr>
        <w:spacing w:line="360" w:lineRule="auto"/>
        <w:jc w:val="both"/>
        <w:rPr>
          <w:rFonts w:ascii="Times New Roman" w:hAnsi="Times New Roman"/>
          <w:sz w:val="24"/>
          <w:szCs w:val="24"/>
          <w:lang w:val="en-GB" w:eastAsia="en-CA" w:bidi="fa-IR"/>
        </w:rPr>
      </w:pPr>
      <w:r w:rsidRPr="008A5078">
        <w:rPr>
          <w:rFonts w:ascii="Times New Roman" w:hAnsi="Times New Roman"/>
          <w:sz w:val="24"/>
          <w:szCs w:val="24"/>
          <w:lang w:val="en-GB"/>
        </w:rPr>
        <w:t>Where</w:t>
      </w:r>
      <m:oMath>
        <m:r>
          <w:rPr>
            <w:rFonts w:ascii="Cambria Math" w:eastAsia="Times New Roman" w:hAnsi="Cambria Math"/>
            <w:sz w:val="24"/>
            <w:szCs w:val="24"/>
            <w:lang w:val="en-GB" w:eastAsia="en-CA" w:bidi="fa-IR"/>
          </w:rPr>
          <m:t>∆H</m:t>
        </m:r>
      </m:oMath>
      <w:r w:rsidRPr="008A5078">
        <w:rPr>
          <w:rFonts w:ascii="Times New Roman" w:hAnsi="Times New Roman"/>
          <w:sz w:val="24"/>
          <w:szCs w:val="24"/>
          <w:lang w:val="en-GB"/>
        </w:rPr>
        <w:t xml:space="preserve"> is the change in overall heat for a CP (MJ);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short</m:t>
            </m:r>
          </m:sub>
        </m:sSub>
      </m:oMath>
      <w:r w:rsidRPr="008A5078">
        <w:rPr>
          <w:rFonts w:ascii="Times New Roman" w:hAnsi="Times New Roman"/>
          <w:sz w:val="24"/>
          <w:szCs w:val="24"/>
          <w:lang w:val="en-GB" w:eastAsia="en-CA" w:bidi="fa-IR"/>
        </w:rPr>
        <w:t xml:space="preserve"> is incoming shortwave radiation;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long</m:t>
            </m:r>
          </m:sub>
        </m:sSub>
      </m:oMath>
      <w:r w:rsidRPr="008A5078">
        <w:rPr>
          <w:rFonts w:ascii="Times New Roman" w:hAnsi="Times New Roman"/>
          <w:sz w:val="24"/>
          <w:szCs w:val="24"/>
          <w:lang w:val="en-GB" w:eastAsia="en-CA" w:bidi="fa-IR"/>
        </w:rPr>
        <w:t xml:space="preserve"> is heat gain/loss by longwave radiation;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ET</m:t>
            </m:r>
          </m:sub>
        </m:sSub>
      </m:oMath>
      <w:r w:rsidRPr="008A5078">
        <w:rPr>
          <w:rFonts w:ascii="Times New Roman" w:hAnsi="Times New Roman"/>
          <w:sz w:val="24"/>
          <w:szCs w:val="24"/>
          <w:lang w:val="en-GB" w:eastAsia="en-CA" w:bidi="fa-IR"/>
        </w:rPr>
        <w:t xml:space="preserve"> is the latent heat loss (evaporation);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sens</m:t>
            </m:r>
          </m:sub>
        </m:sSub>
      </m:oMath>
      <w:r w:rsidRPr="008A5078">
        <w:rPr>
          <w:rFonts w:ascii="Times New Roman" w:hAnsi="Times New Roman"/>
          <w:sz w:val="24"/>
          <w:szCs w:val="24"/>
          <w:lang w:val="en-GB" w:eastAsia="en-CA" w:bidi="fa-IR"/>
        </w:rPr>
        <w:t xml:space="preserve"> is the sensible heat gain/loss by convection;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ups</m:t>
            </m:r>
          </m:sub>
        </m:sSub>
      </m:oMath>
      <w:r w:rsidRPr="008A5078">
        <w:rPr>
          <w:rFonts w:ascii="Times New Roman" w:hAnsi="Times New Roman"/>
          <w:sz w:val="24"/>
          <w:szCs w:val="24"/>
          <w:lang w:val="en-GB" w:eastAsia="en-CA" w:bidi="fa-IR"/>
        </w:rPr>
        <w:t xml:space="preserve"> and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downs</m:t>
            </m:r>
          </m:sub>
        </m:sSub>
      </m:oMath>
      <w:r w:rsidRPr="008A5078">
        <w:rPr>
          <w:rFonts w:ascii="Times New Roman" w:hAnsi="Times New Roman"/>
          <w:sz w:val="24"/>
          <w:szCs w:val="24"/>
          <w:lang w:val="en-GB" w:eastAsia="en-CA" w:bidi="fa-IR"/>
        </w:rPr>
        <w:t xml:space="preserve"> are respectively the heat gain from upstream and heat loss to the downstream;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local</m:t>
            </m:r>
          </m:sub>
        </m:sSub>
      </m:oMath>
      <w:r w:rsidRPr="008A5078">
        <w:rPr>
          <w:rFonts w:ascii="Times New Roman" w:hAnsi="Times New Roman"/>
          <w:sz w:val="24"/>
          <w:szCs w:val="24"/>
          <w:lang w:val="en-GB" w:eastAsia="en-CA" w:bidi="fa-IR"/>
        </w:rPr>
        <w:t xml:space="preserve"> is the heat from local runoff and interflow; and </w:t>
      </w:r>
      <m:oMath>
        <m:sSub>
          <m:sSubPr>
            <m:ctrlPr>
              <w:rPr>
                <w:rFonts w:ascii="Cambria Math" w:hAnsi="Cambria Math"/>
                <w:i/>
                <w:sz w:val="24"/>
                <w:szCs w:val="24"/>
                <w:lang w:val="en-GB" w:bidi="fa-IR"/>
              </w:rPr>
            </m:ctrlPr>
          </m:sSubPr>
          <m:e>
            <m:r>
              <w:rPr>
                <w:rFonts w:ascii="Cambria Math" w:hAnsi="Cambria Math"/>
                <w:sz w:val="24"/>
                <w:szCs w:val="24"/>
                <w:lang w:val="en-GB" w:eastAsia="en-CA" w:bidi="fa-IR"/>
              </w:rPr>
              <m:t>H</m:t>
            </m:r>
          </m:e>
          <m:sub>
            <m:r>
              <w:rPr>
                <w:rFonts w:ascii="Cambria Math" w:hAnsi="Cambria Math"/>
                <w:sz w:val="24"/>
                <w:szCs w:val="24"/>
                <w:lang w:val="en-GB" w:eastAsia="en-CA" w:bidi="fa-IR"/>
              </w:rPr>
              <m:t>ground</m:t>
            </m:r>
          </m:sub>
        </m:sSub>
      </m:oMath>
      <w:r w:rsidRPr="008A5078">
        <w:rPr>
          <w:rFonts w:ascii="Times New Roman" w:hAnsi="Times New Roman"/>
          <w:sz w:val="24"/>
          <w:szCs w:val="24"/>
          <w:lang w:val="en-GB" w:eastAsia="en-CA" w:bidi="fa-IR"/>
        </w:rPr>
        <w:t xml:space="preserve"> is the heat term related to groundwater. Finally, the thermal module calculates water temperature change using the following equation:</w:t>
      </w:r>
    </w:p>
    <w:tbl>
      <w:tblPr>
        <w:tblW w:w="9000" w:type="dxa"/>
        <w:tblLook w:val="04A0" w:firstRow="1" w:lastRow="0" w:firstColumn="1" w:lastColumn="0" w:noHBand="0" w:noVBand="1"/>
      </w:tblPr>
      <w:tblGrid>
        <w:gridCol w:w="4336"/>
        <w:gridCol w:w="4664"/>
      </w:tblGrid>
      <w:tr w:rsidR="00157913" w:rsidRPr="008A5078" w14:paraId="6DF9E12A" w14:textId="77777777" w:rsidTr="00194639">
        <w:tc>
          <w:tcPr>
            <w:tcW w:w="4336" w:type="dxa"/>
            <w:shd w:val="clear" w:color="auto" w:fill="auto"/>
            <w:hideMark/>
          </w:tcPr>
          <w:p w14:paraId="79A273EE" w14:textId="77777777" w:rsidR="00157913" w:rsidRPr="008A5078" w:rsidRDefault="00157913" w:rsidP="00194639">
            <w:pPr>
              <w:tabs>
                <w:tab w:val="center" w:pos="4253"/>
                <w:tab w:val="right" w:pos="8222"/>
              </w:tabs>
              <w:spacing w:before="240" w:after="240" w:line="360" w:lineRule="auto"/>
              <w:jc w:val="both"/>
              <w:rPr>
                <w:rFonts w:ascii="Times New Roman" w:eastAsia="Times New Roman" w:hAnsi="Times New Roman"/>
                <w:sz w:val="24"/>
                <w:szCs w:val="24"/>
                <w:lang w:val="en-GB" w:eastAsia="en-CA" w:bidi="fa-IR"/>
              </w:rPr>
            </w:pPr>
            <m:oMathPara>
              <m:oMathParaPr>
                <m:jc m:val="left"/>
              </m:oMathParaPr>
              <m:oMath>
                <m:r>
                  <w:rPr>
                    <w:rFonts w:ascii="Cambria Math" w:eastAsia="Times New Roman" w:hAnsi="Cambria Math"/>
                    <w:sz w:val="24"/>
                    <w:szCs w:val="24"/>
                    <w:lang w:val="en-GB" w:eastAsia="en-CA" w:bidi="fa-IR"/>
                  </w:rPr>
                  <m:t>∆T</m:t>
                </m:r>
                <m:r>
                  <m:rPr>
                    <m:sty m:val="p"/>
                  </m:rPr>
                  <w:rPr>
                    <w:rFonts w:ascii="Cambria Math" w:eastAsia="Times New Roman" w:hAnsi="Cambria Math"/>
                    <w:sz w:val="24"/>
                    <w:szCs w:val="24"/>
                    <w:lang w:val="en-GB" w:eastAsia="en-CA" w:bidi="fa-IR"/>
                  </w:rPr>
                  <m:t>=</m:t>
                </m:r>
                <m:f>
                  <m:fPr>
                    <m:ctrlPr>
                      <w:rPr>
                        <w:rFonts w:ascii="Cambria Math" w:eastAsia="Times New Roman" w:hAnsi="Cambria Math"/>
                        <w:sz w:val="24"/>
                        <w:szCs w:val="24"/>
                        <w:lang w:val="en-GB" w:eastAsia="en-GB" w:bidi="fa-IR"/>
                      </w:rPr>
                    </m:ctrlPr>
                  </m:fPr>
                  <m:num>
                    <m:r>
                      <m:rPr>
                        <m:sty m:val="p"/>
                      </m:rPr>
                      <w:rPr>
                        <w:rFonts w:ascii="Cambria Math" w:eastAsia="Times New Roman" w:hAnsi="Cambria Math"/>
                        <w:sz w:val="24"/>
                        <w:szCs w:val="24"/>
                        <w:lang w:val="en-GB" w:eastAsia="en-CA" w:bidi="fa-IR"/>
                      </w:rPr>
                      <m:t>∆</m:t>
                    </m:r>
                    <m:r>
                      <w:rPr>
                        <w:rFonts w:ascii="Cambria Math" w:eastAsia="Times New Roman" w:hAnsi="Cambria Math"/>
                        <w:sz w:val="24"/>
                        <w:szCs w:val="24"/>
                        <w:lang w:val="en-GB" w:eastAsia="en-CA" w:bidi="fa-IR"/>
                      </w:rPr>
                      <m:t>H</m:t>
                    </m:r>
                  </m:num>
                  <m:den>
                    <m:r>
                      <w:rPr>
                        <w:rFonts w:ascii="Cambria Math" w:eastAsia="Times New Roman" w:hAnsi="Cambria Math"/>
                        <w:sz w:val="24"/>
                        <w:szCs w:val="24"/>
                        <w:lang w:val="en-GB" w:eastAsia="en-CA" w:bidi="fa-IR"/>
                      </w:rPr>
                      <m:t>V.θ</m:t>
                    </m:r>
                  </m:den>
                </m:f>
              </m:oMath>
            </m:oMathPara>
          </w:p>
        </w:tc>
        <w:tc>
          <w:tcPr>
            <w:tcW w:w="4664" w:type="dxa"/>
            <w:shd w:val="clear" w:color="auto" w:fill="auto"/>
            <w:hideMark/>
          </w:tcPr>
          <w:p w14:paraId="68465A0F" w14:textId="77777777" w:rsidR="00157913" w:rsidRPr="008A5078" w:rsidRDefault="00157913" w:rsidP="00194639">
            <w:pPr>
              <w:tabs>
                <w:tab w:val="center" w:pos="4253"/>
                <w:tab w:val="right" w:pos="8222"/>
              </w:tabs>
              <w:spacing w:before="240" w:after="240" w:line="360" w:lineRule="auto"/>
              <w:jc w:val="both"/>
              <w:rPr>
                <w:rFonts w:ascii="Times New Roman" w:eastAsia="Times New Roman" w:hAnsi="Times New Roman"/>
                <w:sz w:val="24"/>
                <w:szCs w:val="24"/>
                <w:lang w:val="en-GB" w:eastAsia="en-CA" w:bidi="fa-IR"/>
              </w:rPr>
            </w:pPr>
            <w:r w:rsidRPr="008A5078">
              <w:rPr>
                <w:rFonts w:ascii="Times New Roman" w:eastAsia="Times New Roman" w:hAnsi="Times New Roman"/>
                <w:sz w:val="24"/>
                <w:szCs w:val="24"/>
                <w:lang w:val="en-GB" w:eastAsia="en-CA" w:bidi="fa-IR"/>
              </w:rPr>
              <w:t xml:space="preserve">                                                                    (</w:t>
            </w:r>
            <w:r w:rsidRPr="008A5078">
              <w:rPr>
                <w:rFonts w:ascii="Times New Roman" w:eastAsia="Times New Roman" w:hAnsi="Times New Roman"/>
                <w:sz w:val="24"/>
                <w:szCs w:val="24"/>
                <w:lang w:val="en-GB" w:eastAsia="en-GB"/>
              </w:rPr>
              <w:fldChar w:fldCharType="begin"/>
            </w:r>
            <w:r w:rsidRPr="008A5078">
              <w:rPr>
                <w:rFonts w:ascii="Times New Roman" w:eastAsia="Times New Roman" w:hAnsi="Times New Roman"/>
                <w:sz w:val="24"/>
                <w:szCs w:val="24"/>
                <w:lang w:val="en-GB" w:eastAsia="en-GB"/>
              </w:rPr>
              <w:instrText xml:space="preserve"> SEQ Equation \* ARABIC </w:instrText>
            </w:r>
            <w:r w:rsidRPr="008A5078">
              <w:rPr>
                <w:rFonts w:ascii="Times New Roman" w:eastAsia="Times New Roman" w:hAnsi="Times New Roman"/>
                <w:sz w:val="24"/>
                <w:szCs w:val="24"/>
                <w:lang w:val="en-GB" w:eastAsia="en-GB"/>
              </w:rPr>
              <w:fldChar w:fldCharType="separate"/>
            </w:r>
            <w:r w:rsidRPr="008A5078">
              <w:rPr>
                <w:rFonts w:ascii="Times New Roman" w:eastAsia="Times New Roman" w:hAnsi="Times New Roman"/>
                <w:noProof/>
                <w:sz w:val="24"/>
                <w:szCs w:val="24"/>
                <w:lang w:val="en-GB" w:eastAsia="en-GB"/>
              </w:rPr>
              <w:t>2</w:t>
            </w:r>
            <w:r w:rsidRPr="008A5078">
              <w:rPr>
                <w:rFonts w:ascii="Times New Roman" w:eastAsia="Times New Roman" w:hAnsi="Times New Roman"/>
                <w:sz w:val="24"/>
                <w:szCs w:val="24"/>
                <w:lang w:val="en-GB" w:eastAsia="en-GB"/>
              </w:rPr>
              <w:fldChar w:fldCharType="end"/>
            </w:r>
            <w:r w:rsidRPr="008A5078">
              <w:rPr>
                <w:rFonts w:ascii="Times New Roman" w:eastAsia="Times New Roman" w:hAnsi="Times New Roman"/>
                <w:sz w:val="24"/>
                <w:szCs w:val="24"/>
                <w:lang w:val="en-GB" w:eastAsia="en-CA" w:bidi="fa-IR"/>
              </w:rPr>
              <w:t>)</w:t>
            </w:r>
          </w:p>
        </w:tc>
      </w:tr>
    </w:tbl>
    <w:p w14:paraId="00919434" w14:textId="43B09DF7" w:rsidR="00157913" w:rsidRPr="00533371" w:rsidRDefault="00157913" w:rsidP="00533371">
      <w:pPr>
        <w:spacing w:line="360" w:lineRule="auto"/>
        <w:jc w:val="both"/>
        <w:rPr>
          <w:rFonts w:ascii="Times New Roman" w:hAnsi="Times New Roman"/>
          <w:sz w:val="24"/>
          <w:szCs w:val="24"/>
          <w:lang w:val="en-GB"/>
        </w:rPr>
      </w:pPr>
      <w:r w:rsidRPr="008A5078">
        <w:rPr>
          <w:rFonts w:ascii="Times New Roman" w:hAnsi="Times New Roman"/>
          <w:sz w:val="24"/>
          <w:szCs w:val="24"/>
          <w:lang w:val="en-GB"/>
        </w:rPr>
        <w:t xml:space="preserve">where </w:t>
      </w:r>
      <m:oMath>
        <m:r>
          <w:rPr>
            <w:rFonts w:ascii="Cambria Math" w:hAnsi="Cambria Math"/>
            <w:sz w:val="24"/>
            <w:szCs w:val="24"/>
            <w:lang w:val="en-GB" w:eastAsia="en-CA" w:bidi="fa-IR"/>
          </w:rPr>
          <m:t>∆T</m:t>
        </m:r>
      </m:oMath>
      <w:r w:rsidRPr="008A5078">
        <w:rPr>
          <w:rFonts w:ascii="Times New Roman" w:hAnsi="Times New Roman"/>
          <w:sz w:val="24"/>
          <w:szCs w:val="24"/>
          <w:lang w:val="en-GB" w:eastAsia="en-CA" w:bidi="fa-IR"/>
        </w:rPr>
        <w:t xml:space="preserve"> is the change in the water temperature (ᵒC); </w:t>
      </w:r>
      <m:oMath>
        <m:r>
          <w:rPr>
            <w:rFonts w:ascii="Cambria Math" w:hAnsi="Cambria Math"/>
            <w:sz w:val="24"/>
            <w:szCs w:val="24"/>
            <w:lang w:val="en-GB" w:eastAsia="en-CA" w:bidi="fa-IR"/>
          </w:rPr>
          <m:t>V</m:t>
        </m:r>
      </m:oMath>
      <w:r w:rsidRPr="008A5078">
        <w:rPr>
          <w:rFonts w:ascii="Times New Roman" w:hAnsi="Times New Roman"/>
          <w:sz w:val="24"/>
          <w:szCs w:val="24"/>
          <w:lang w:val="en-GB" w:eastAsia="en-CA" w:bidi="fa-IR"/>
        </w:rPr>
        <w:t xml:space="preserve"> is the estimated water volume by the hydrological module (</w:t>
      </w:r>
      <m:oMath>
        <m:sSup>
          <m:sSupPr>
            <m:ctrlPr>
              <w:rPr>
                <w:rFonts w:ascii="Cambria Math" w:hAnsi="Cambria Math"/>
                <w:sz w:val="24"/>
                <w:szCs w:val="24"/>
                <w:lang w:val="en-GB" w:bidi="fa-IR"/>
              </w:rPr>
            </m:ctrlPr>
          </m:sSupPr>
          <m:e>
            <m:r>
              <w:rPr>
                <w:rFonts w:ascii="Cambria Math" w:hAnsi="Cambria Math"/>
                <w:sz w:val="24"/>
                <w:szCs w:val="24"/>
                <w:lang w:val="en-GB" w:eastAsia="en-CA" w:bidi="fa-IR"/>
              </w:rPr>
              <m:t>m</m:t>
            </m:r>
          </m:e>
          <m:sup>
            <m:r>
              <w:rPr>
                <w:rFonts w:ascii="Cambria Math" w:hAnsi="Cambria Math"/>
                <w:sz w:val="24"/>
                <w:szCs w:val="24"/>
                <w:lang w:val="en-GB" w:eastAsia="en-CA" w:bidi="fa-IR"/>
              </w:rPr>
              <m:t>3</m:t>
            </m:r>
          </m:sup>
        </m:sSup>
      </m:oMath>
      <w:r w:rsidRPr="008A5078">
        <w:rPr>
          <w:rFonts w:ascii="Times New Roman" w:hAnsi="Times New Roman"/>
          <w:sz w:val="24"/>
          <w:szCs w:val="24"/>
          <w:lang w:val="en-GB" w:eastAsia="en-CA" w:bidi="fa-IR"/>
        </w:rPr>
        <w:t xml:space="preserve">), and </w:t>
      </w:r>
      <m:oMath>
        <m:r>
          <w:rPr>
            <w:rFonts w:ascii="Cambria Math" w:hAnsi="Cambria Math"/>
            <w:sz w:val="24"/>
            <w:szCs w:val="24"/>
            <w:lang w:val="en-GB" w:eastAsia="en-CA" w:bidi="fa-IR"/>
          </w:rPr>
          <m:t>θ</m:t>
        </m:r>
      </m:oMath>
      <w:r w:rsidRPr="008A5078">
        <w:rPr>
          <w:rFonts w:ascii="Times New Roman" w:hAnsi="Times New Roman"/>
          <w:sz w:val="24"/>
          <w:szCs w:val="24"/>
          <w:lang w:val="en-GB" w:eastAsia="en-CA" w:bidi="fa-IR"/>
        </w:rPr>
        <w:t xml:space="preserve"> is the heat capacity of water (4.187</w:t>
      </w:r>
      <m:oMath>
        <m:f>
          <m:fPr>
            <m:ctrlPr>
              <w:rPr>
                <w:rFonts w:ascii="Cambria Math" w:hAnsi="Cambria Math"/>
                <w:i/>
                <w:sz w:val="24"/>
                <w:szCs w:val="24"/>
                <w:lang w:val="en-GB" w:bidi="fa-IR"/>
              </w:rPr>
            </m:ctrlPr>
          </m:fPr>
          <m:num>
            <m:r>
              <w:rPr>
                <w:rFonts w:ascii="Cambria Math" w:hAnsi="Cambria Math"/>
                <w:sz w:val="24"/>
                <w:szCs w:val="24"/>
                <w:lang w:val="en-GB" w:eastAsia="en-CA" w:bidi="fa-IR"/>
              </w:rPr>
              <m:t>MJ</m:t>
            </m:r>
          </m:num>
          <m:den>
            <m:sSup>
              <m:sSupPr>
                <m:ctrlPr>
                  <w:rPr>
                    <w:rFonts w:ascii="Cambria Math" w:hAnsi="Cambria Math"/>
                    <w:i/>
                    <w:sz w:val="24"/>
                    <w:szCs w:val="24"/>
                    <w:lang w:val="en-GB" w:bidi="fa-IR"/>
                  </w:rPr>
                </m:ctrlPr>
              </m:sSupPr>
              <m:e>
                <m:r>
                  <w:rPr>
                    <w:rFonts w:ascii="Cambria Math" w:hAnsi="Cambria Math"/>
                    <w:sz w:val="24"/>
                    <w:szCs w:val="24"/>
                    <w:lang w:val="en-GB" w:eastAsia="en-CA" w:bidi="fa-IR"/>
                  </w:rPr>
                  <m:t>m</m:t>
                </m:r>
              </m:e>
              <m:sup>
                <m:r>
                  <w:rPr>
                    <w:rFonts w:ascii="Cambria Math" w:hAnsi="Cambria Math"/>
                    <w:sz w:val="24"/>
                    <w:szCs w:val="24"/>
                    <w:lang w:val="en-GB" w:eastAsia="en-CA" w:bidi="fa-IR"/>
                  </w:rPr>
                  <m:t>3</m:t>
                </m:r>
              </m:sup>
            </m:sSup>
            <m:r>
              <w:rPr>
                <w:rFonts w:ascii="Cambria Math" w:hAnsi="Cambria Math"/>
                <w:sz w:val="24"/>
                <w:szCs w:val="24"/>
                <w:lang w:val="en-GB" w:eastAsia="en-CA" w:bidi="fa-IR"/>
              </w:rPr>
              <m:t>.°C</m:t>
            </m:r>
          </m:den>
        </m:f>
      </m:oMath>
      <w:r w:rsidRPr="008A5078">
        <w:rPr>
          <w:rFonts w:ascii="Times New Roman" w:hAnsi="Times New Roman"/>
          <w:sz w:val="24"/>
          <w:szCs w:val="24"/>
          <w:lang w:val="en-GB" w:eastAsia="en-CA" w:bidi="fa-IR"/>
        </w:rPr>
        <w:t xml:space="preserve">) </w:t>
      </w:r>
      <w:r w:rsidRPr="008A5078">
        <w:rPr>
          <w:rFonts w:ascii="Times New Roman" w:hAnsi="Times New Roman"/>
          <w:sz w:val="24"/>
          <w:szCs w:val="24"/>
          <w:lang w:val="en-GB" w:eastAsia="en-CA" w:bidi="fa-IR"/>
        </w:rPr>
        <w:fldChar w:fldCharType="begin"/>
      </w:r>
      <w:r w:rsidRPr="008A5078">
        <w:rPr>
          <w:rFonts w:ascii="Times New Roman" w:hAnsi="Times New Roman"/>
          <w:sz w:val="24"/>
          <w:szCs w:val="24"/>
          <w:lang w:val="en-GB" w:eastAsia="en-CA" w:bidi="fa-IR"/>
        </w:rPr>
        <w:instrText xml:space="preserve"> ADDIN EN.CITE &lt;EndNote&gt;&lt;Cite&gt;&lt;Author&gt;Morin&lt;/Author&gt;&lt;Year&gt;2007&lt;/Year&gt;&lt;RecNum&gt;149&lt;/RecNum&gt;&lt;DisplayText&gt;(Guy Morin &amp;amp; Paquet, 2007)&lt;/DisplayText&gt;&lt;record&gt;&lt;rec-number&gt;149&lt;/rec-number&gt;&lt;foreign-keys&gt;&lt;key app="EN" db-id="aaa0rwt24z2f20e5zsdx5et7dex5xwepvtez" timestamp="1599228361"&gt;149&lt;/key&gt;&lt;/foreign-keys&gt;&lt;ref-type name="Book"&gt;6&lt;/ref-type&gt;&lt;contributors&gt;&lt;authors&gt;&lt;author&gt;Morin, Guy&lt;/author&gt;&lt;author&gt;Paquet, Pierre&lt;/author&gt;&lt;/authors&gt;&lt;/contributors&gt;&lt;titles&gt;&lt;title&gt;Modèle hydrologique CEQUEAU&lt;/title&gt;&lt;/titles&gt;&lt;number&gt;R926&lt;/number&gt;&lt;dates&gt;&lt;year&gt;2007&lt;/year&gt;&lt;/dates&gt;&lt;publisher&gt;INRS, Centre Eau, Terre et Environnement&lt;/publisher&gt;&lt;urls&gt;&lt;/urls&gt;&lt;/record&gt;&lt;/Cite&gt;&lt;/EndNote&gt;</w:instrText>
      </w:r>
      <w:r w:rsidRPr="008A5078">
        <w:rPr>
          <w:rFonts w:ascii="Times New Roman" w:hAnsi="Times New Roman"/>
          <w:sz w:val="24"/>
          <w:szCs w:val="24"/>
          <w:lang w:val="en-GB" w:eastAsia="en-CA" w:bidi="fa-IR"/>
        </w:rPr>
        <w:fldChar w:fldCharType="separate"/>
      </w:r>
      <w:r w:rsidRPr="008A5078">
        <w:rPr>
          <w:rFonts w:ascii="Times New Roman" w:hAnsi="Times New Roman"/>
          <w:noProof/>
          <w:sz w:val="24"/>
          <w:szCs w:val="24"/>
          <w:lang w:val="en-GB" w:eastAsia="en-CA" w:bidi="fa-IR"/>
        </w:rPr>
        <w:t>(Guy Morin &amp; Paquet, 2007)</w:t>
      </w:r>
      <w:r w:rsidRPr="008A5078">
        <w:rPr>
          <w:rFonts w:ascii="Times New Roman" w:hAnsi="Times New Roman"/>
          <w:sz w:val="24"/>
          <w:szCs w:val="24"/>
          <w:lang w:val="en-GB" w:eastAsia="en-CA" w:bidi="fa-IR"/>
        </w:rPr>
        <w:fldChar w:fldCharType="end"/>
      </w:r>
      <w:r w:rsidRPr="008A5078">
        <w:rPr>
          <w:rFonts w:ascii="Times New Roman" w:hAnsi="Times New Roman"/>
          <w:sz w:val="24"/>
          <w:szCs w:val="24"/>
          <w:lang w:val="en-GB" w:eastAsia="en-CA" w:bidi="fa-IR"/>
        </w:rPr>
        <w:t>.</w:t>
      </w:r>
      <w:r w:rsidRPr="008A5078">
        <w:rPr>
          <w:rFonts w:ascii="Times New Roman" w:hAnsi="Times New Roman"/>
          <w:sz w:val="24"/>
          <w:szCs w:val="24"/>
          <w:lang w:val="en-GB"/>
        </w:rPr>
        <w:t xml:space="preserve">. </w:t>
      </w:r>
    </w:p>
    <w:p w14:paraId="6BEF3EFE" w14:textId="68C82692" w:rsidR="00157913" w:rsidRPr="008A5078" w:rsidRDefault="00157913" w:rsidP="00157913">
      <w:pPr>
        <w:pStyle w:val="Heading2"/>
        <w:spacing w:after="240"/>
        <w:jc w:val="both"/>
        <w:rPr>
          <w:rFonts w:ascii="Times New Roman" w:hAnsi="Times New Roman"/>
          <w:sz w:val="24"/>
          <w:szCs w:val="24"/>
        </w:rPr>
      </w:pPr>
      <w:r w:rsidRPr="008A5078">
        <w:rPr>
          <w:rFonts w:ascii="Times New Roman" w:hAnsi="Times New Roman"/>
          <w:b/>
          <w:color w:val="auto"/>
          <w:sz w:val="24"/>
          <w:szCs w:val="24"/>
        </w:rPr>
        <w:lastRenderedPageBreak/>
        <w:t xml:space="preserve"> CEQUEAU model: modelling historical temperature and future climate change scenarios.</w:t>
      </w:r>
    </w:p>
    <w:p w14:paraId="545087A4" w14:textId="554E31CA" w:rsidR="00157913" w:rsidRPr="008A5078" w:rsidRDefault="00157913" w:rsidP="00157913">
      <w:pPr>
        <w:spacing w:after="240" w:line="480" w:lineRule="auto"/>
        <w:jc w:val="both"/>
        <w:rPr>
          <w:rFonts w:ascii="Times New Roman" w:hAnsi="Times New Roman"/>
          <w:sz w:val="24"/>
          <w:szCs w:val="24"/>
          <w:lang w:val="en-GB"/>
        </w:rPr>
      </w:pPr>
      <w:r w:rsidRPr="008A5078">
        <w:rPr>
          <w:rFonts w:ascii="Times New Roman" w:hAnsi="Times New Roman"/>
          <w:sz w:val="24"/>
          <w:szCs w:val="24"/>
          <w:lang w:val="en-GB"/>
        </w:rPr>
        <w:t xml:space="preserve">To begin implementing CEQUEAU, the model's parameters must first be calibrated. The hydrological module is calibrated using observed streamflow data from hydrometric stations along the Nechako River. The thermal module is then calibrated using water temperature gauges located between the dam and Vanderhoof. The parameters are manually calibrated before applying an automatic calibration algorithm called the Covariance Matrix Adaptation Evolution Strategy (CMA-ES) </w:t>
      </w:r>
      <w:r w:rsidR="00350EDE"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{"citationID":"s5TNqBdG","properties":{"formattedCitation":"(Hansen, 2006)","plainCitation":"(Hansen, 2006)","noteIndex":0},"citationItems":[{"id":458,"uris":["http://zotero.org/users/11320370/items/FK8ZT7CS"],"itemData":{"id":458,"type":"article-journal","container-title":"Towards a new evolutionary computation: Advances in the estimation of distribution algorithms","journalAbbreviation":"Towards a new evolutionary computation: Advances in the estimation of distribution algorithms","note":"publisher: Springer","page":"75-102","title":"The CMA evolution strategy: a comparing review","author":[{"family":"Hansen","given":"Nikolaus"}],"issued":{"date-parts":[["2006"]]}}}],"schema":"https://github.com/citation-style-language/schema/raw/master/csl-citation.json"} </w:instrText>
      </w:r>
      <w:r w:rsidR="00350EDE"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(Hansen, 2006)</w:t>
      </w:r>
      <w:r w:rsidR="00350EDE" w:rsidRPr="008A5078">
        <w:rPr>
          <w:rFonts w:ascii="Times New Roman" w:hAnsi="Times New Roman"/>
          <w:sz w:val="24"/>
          <w:szCs w:val="24"/>
          <w:lang w:val="en-GB"/>
        </w:rPr>
        <w:fldChar w:fldCharType="end"/>
      </w:r>
      <w:r w:rsidRPr="008A5078">
        <w:rPr>
          <w:rFonts w:ascii="Times New Roman" w:hAnsi="Times New Roman"/>
          <w:sz w:val="24"/>
          <w:szCs w:val="24"/>
          <w:lang w:val="en-GB"/>
        </w:rPr>
        <w:t xml:space="preserve">. Additionally, the multi-site temperature calibration method of Khorsandi et al. (2022) is used to adjust the parameters of the water temperature module. </w:t>
      </w:r>
    </w:p>
    <w:p w14:paraId="30707D37" w14:textId="39533EF5" w:rsidR="00157913" w:rsidRPr="008A5078" w:rsidRDefault="00157913" w:rsidP="00157913">
      <w:pPr>
        <w:spacing w:line="480" w:lineRule="auto"/>
        <w:jc w:val="both"/>
        <w:rPr>
          <w:rFonts w:ascii="Times New Roman" w:hAnsi="Times New Roman"/>
          <w:sz w:val="24"/>
          <w:szCs w:val="24"/>
          <w:lang w:val="en-GB"/>
        </w:rPr>
      </w:pPr>
      <w:r w:rsidRPr="008A5078">
        <w:rPr>
          <w:rFonts w:ascii="Times New Roman" w:hAnsi="Times New Roman"/>
          <w:sz w:val="24"/>
          <w:szCs w:val="24"/>
          <w:lang w:val="en-GB"/>
        </w:rPr>
        <w:t>To project future changes in the Nechako River water temperature and water flow, and to account for variability in CEQUEAU model output, data from eight General Circulation Models (GCMs), part of the Coupled Model Intercomparison Project Phase 6 (CMIP6)</w:t>
      </w:r>
      <w:r w:rsidR="00350EDE" w:rsidRPr="008A5078">
        <w:rPr>
          <w:rFonts w:ascii="Times New Roman" w:hAnsi="Times New Roman"/>
          <w:sz w:val="24"/>
          <w:szCs w:val="24"/>
          <w:lang w:val="en-GB"/>
        </w:rPr>
        <w:t xml:space="preserve"> </w:t>
      </w:r>
      <w:r w:rsidR="00350EDE"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{"citationID":"EqcTSddS","properties":{"formattedCitation":"(Eyring et al., 2016)","plainCitation":"(Eyring et al., 2016)","noteIndex":0},"citationItems":[{"id":30,"uris":["http://zotero.org/users/11320370/items/SQ3SR8EJ"],"itemData":{"id":30,"type":"article-journal","container-title":"Geoscientific Model Development","ISSN":"1991-959X","issue":"5","journalAbbreviation":"Geoscientific Model Development","note":"publisher: Copernicus GmbH","page":"1937-1958","title":"Overview of the Coupled Model Intercomparison Project Phase 6 (CMIP6) experimental design and organization","volume":"9","author":[{"family":"Eyring","given":"Veronika"},{"family":"Bony","given":"Sandrine"},{"family":"Meehl","given":"Gerald A"},{"family":"Senior","given":"Catherine A"},{"family":"Stevens","given":"Bjorn"},{"family":"Stouffer","given":"Ronald J"},{"family":"Taylor","given":"Karl E"}],"issued":{"date-parts":[["2016"]]}}}],"schema":"https://github.com/citation-style-language/schema/raw/master/csl-citation.json"} </w:instrText>
      </w:r>
      <w:r w:rsidR="00350EDE"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(Eyring et al., 2016)</w:t>
      </w:r>
      <w:r w:rsidR="00350EDE" w:rsidRPr="008A5078">
        <w:rPr>
          <w:rFonts w:ascii="Times New Roman" w:hAnsi="Times New Roman"/>
          <w:sz w:val="24"/>
          <w:szCs w:val="24"/>
          <w:lang w:val="en-GB"/>
        </w:rPr>
        <w:fldChar w:fldCharType="end"/>
      </w:r>
      <w:r w:rsidRPr="008A5078">
        <w:rPr>
          <w:rFonts w:ascii="Times New Roman" w:hAnsi="Times New Roman"/>
          <w:sz w:val="24"/>
          <w:szCs w:val="24"/>
          <w:lang w:val="en-GB"/>
        </w:rPr>
        <w:t>, were used (Table 1). This ensemble approach is to quantify and capture uncertainty that may arise due to each model</w:t>
      </w:r>
      <w:r w:rsidR="00EA2B44">
        <w:rPr>
          <w:rFonts w:ascii="Times New Roman" w:hAnsi="Times New Roman"/>
          <w:sz w:val="24"/>
          <w:szCs w:val="24"/>
          <w:lang w:val="en-GB"/>
        </w:rPr>
        <w:t>'s</w:t>
      </w:r>
      <w:r w:rsidRPr="008A5078">
        <w:rPr>
          <w:rFonts w:ascii="Times New Roman" w:hAnsi="Times New Roman"/>
          <w:sz w:val="24"/>
          <w:szCs w:val="24"/>
          <w:lang w:val="en-GB"/>
        </w:rPr>
        <w:t xml:space="preserve"> assumptions and approximations. For this study, we examined two Shared Socio-economic Pathways (SSP) scenarios. These scenarios include SSP2-4.5 (the intermediate scenario), which describes a “middle of the road” scenario where the world follows historical, social, and economic trends </w:t>
      </w:r>
      <w:r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{"citationID":"IeMZKkPR","properties":{"formattedCitation":"(O\\uc0\\u8217{}Neill et al., 2017)","plainCitation":"(O’Neill et al., 2017)","noteIndex":0},"citationItems":[{"id":25,"uris":["http://zotero.org/users/11320370/items/DFPU8N55"],"itemData":{"id":25,"type":"article-journal","container-title":"Global environmental change","ISSN":"0959-3780","journalAbbreviation":"Global environmental change","note":"publisher: Elsevier","page":"169-180","title":"The roads ahead: Narratives for shared socioeconomic pathways describing world futures in the 21st century","volume":"42","author":[{"family":"O’Neill","given":"Brian C"},{"family":"Kriegler","given":"Elmar"},{"family":"Ebi","given":"Kristie L"},{"family":"Kemp-Benedict","given":"Eric"},{"family":"Riahi","given":"Keywan"},{"family":"Rothman","given":"Dale S"},{"family":"Van Ruijven","given":"Bas J"},{"family":"Van Vuuren","given":"Detlef P"},{"family":"Birkmann","given":"Joern"},{"family":"Kok","given":"Kasper"}],"issued":{"date-parts":[["2017"]]}}}],"schema":"https://github.com/citation-style-language/schema/raw/master/csl-citation.json"} </w:instrText>
      </w:r>
      <w:r w:rsidRPr="008A5078">
        <w:rPr>
          <w:rFonts w:ascii="Times New Roman" w:hAnsi="Times New Roman"/>
          <w:sz w:val="24"/>
          <w:szCs w:val="24"/>
          <w:lang w:val="en-GB"/>
        </w:rPr>
        <w:fldChar w:fldCharType="separate"/>
      </w:r>
      <w:r w:rsidR="00350EDE" w:rsidRPr="008A5078">
        <w:rPr>
          <w:rFonts w:ascii="Times New Roman" w:hAnsi="Times New Roman" w:cs="Times New Roman"/>
          <w:sz w:val="24"/>
          <w:szCs w:val="24"/>
          <w:lang w:val="en-GB"/>
        </w:rPr>
        <w:t>(O’Neill et al., 2017)</w:t>
      </w:r>
      <w:r w:rsidRPr="008A5078">
        <w:rPr>
          <w:rFonts w:ascii="Times New Roman" w:hAnsi="Times New Roman"/>
          <w:sz w:val="24"/>
          <w:szCs w:val="24"/>
          <w:lang w:val="en-GB"/>
        </w:rPr>
        <w:fldChar w:fldCharType="end"/>
      </w:r>
      <w:r w:rsidRPr="008A5078">
        <w:rPr>
          <w:rFonts w:ascii="Times New Roman" w:hAnsi="Times New Roman"/>
          <w:sz w:val="24"/>
          <w:szCs w:val="24"/>
          <w:lang w:val="en-GB"/>
        </w:rPr>
        <w:t>; also, the radiative forcing level stabilizes at 4.5 W/m</w:t>
      </w:r>
      <w:r w:rsidRPr="008A5078">
        <w:rPr>
          <w:rFonts w:ascii="Times New Roman" w:hAnsi="Times New Roman"/>
          <w:sz w:val="24"/>
          <w:szCs w:val="24"/>
          <w:vertAlign w:val="superscript"/>
          <w:lang w:val="en-GB"/>
        </w:rPr>
        <w:t>2</w:t>
      </w:r>
      <w:r w:rsidRPr="008A5078">
        <w:rPr>
          <w:rFonts w:ascii="Times New Roman" w:hAnsi="Times New Roman"/>
          <w:sz w:val="24"/>
          <w:szCs w:val="24"/>
          <w:lang w:val="en-GB"/>
        </w:rPr>
        <w:t xml:space="preserve"> before 2100. The second scenario is SSP5-8.5 (the high emission scenario), which describes a world with rapid economic growth and faith in competitive markets, innovation, and participatory societies (O'Neill et al., 2017), and the radiative forcing level increased at 8.5 W/m</w:t>
      </w:r>
      <w:r w:rsidRPr="008A5078">
        <w:rPr>
          <w:rFonts w:ascii="Times New Roman" w:hAnsi="Times New Roman"/>
          <w:sz w:val="24"/>
          <w:szCs w:val="24"/>
          <w:vertAlign w:val="superscript"/>
          <w:lang w:val="en-GB"/>
        </w:rPr>
        <w:t>2</w:t>
      </w:r>
      <w:r w:rsidRPr="008A5078">
        <w:rPr>
          <w:rFonts w:ascii="Times New Roman" w:hAnsi="Times New Roman"/>
          <w:sz w:val="24"/>
          <w:szCs w:val="24"/>
          <w:lang w:val="en-GB"/>
        </w:rPr>
        <w:t xml:space="preserve"> by 2100 with no mitigation.</w:t>
      </w:r>
    </w:p>
    <w:p w14:paraId="66806A44" w14:textId="533BC21A" w:rsidR="00157913" w:rsidRPr="008A5078" w:rsidRDefault="00157913" w:rsidP="00157913">
      <w:pPr>
        <w:spacing w:line="480" w:lineRule="auto"/>
        <w:jc w:val="both"/>
        <w:rPr>
          <w:rFonts w:ascii="Times New Roman" w:hAnsi="Times New Roman"/>
          <w:sz w:val="24"/>
          <w:szCs w:val="24"/>
          <w:lang w:val="en-GB"/>
        </w:rPr>
      </w:pPr>
      <w:r w:rsidRPr="008A5078">
        <w:rPr>
          <w:rFonts w:ascii="Times New Roman" w:hAnsi="Times New Roman"/>
          <w:sz w:val="24"/>
          <w:szCs w:val="24"/>
          <w:lang w:val="en-GB"/>
        </w:rPr>
        <w:lastRenderedPageBreak/>
        <w:t xml:space="preserve">Each global climate model utilised the SSP forcings to provide meteorological variables required for the CEQUEAU model execution. These datasets underwent bias correction by applying the N-dimensional Multivariate Bias Correction algorithm (MBCn) </w:t>
      </w:r>
      <w:r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{"citationID":"nukvS0mD","properties":{"formattedCitation":"(Cannon, 2018)","plainCitation":"(Cannon, 2018)","noteIndex":0},"citationItems":[{"id":318,"uris":["http://zotero.org/users/11320370/items/B6SWWZVU"],"itemData":{"id":318,"type":"article-journal","container-title":"Climate dynamics","ISSN":"0930-7575","journalAbbreviation":"Climate dynamics","note":"publisher: Springer","page":"31-49","title":"Multivariate quantile mapping bias correction: an N-dimensional probability density function transform for climate model simulations of multiple variables","volume":"50","author":[{"family":"Cannon","given":"Alex J"}],"issued":{"date-parts":[["2018"]]}}}],"schema":"https://github.com/citation-style-language/schema/raw/master/csl-citation.json"} </w:instrText>
      </w:r>
      <w:r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(Cannon, 2018)</w:t>
      </w:r>
      <w:r w:rsidRPr="008A5078">
        <w:rPr>
          <w:rFonts w:ascii="Times New Roman" w:hAnsi="Times New Roman"/>
          <w:sz w:val="24"/>
          <w:szCs w:val="24"/>
          <w:lang w:val="en-GB"/>
        </w:rPr>
        <w:fldChar w:fldCharType="end"/>
      </w:r>
      <w:r w:rsidRPr="008A5078">
        <w:rPr>
          <w:rFonts w:ascii="Times New Roman" w:hAnsi="Times New Roman"/>
          <w:sz w:val="24"/>
          <w:szCs w:val="24"/>
          <w:lang w:val="en-GB"/>
        </w:rPr>
        <w:t xml:space="preserve"> on the reference period of 1981-2010, employing ERA5 data as the baseline dataset. The bias correction was then applied to the climate model data for each of the 8 climate models, two radiative forcing scenarios (4.5 and 8.5 W/m</w:t>
      </w:r>
      <w:r w:rsidRPr="008A5078">
        <w:rPr>
          <w:rFonts w:ascii="Times New Roman" w:hAnsi="Times New Roman"/>
          <w:sz w:val="24"/>
          <w:szCs w:val="24"/>
          <w:vertAlign w:val="superscript"/>
          <w:lang w:val="en-GB"/>
        </w:rPr>
        <w:t>2</w:t>
      </w:r>
      <w:r w:rsidRPr="008A5078">
        <w:rPr>
          <w:rFonts w:ascii="Times New Roman" w:hAnsi="Times New Roman"/>
          <w:sz w:val="24"/>
          <w:szCs w:val="24"/>
          <w:lang w:val="en-GB"/>
        </w:rPr>
        <w:t xml:space="preserve">), and horizon. The bias correction protocol was implemented at 3-hour intervals, providing a more accurate representation of the meteorological diurnal cycle and enhancing the precision of daily averages </w:t>
      </w:r>
      <w:r w:rsidRPr="008A5078">
        <w:rPr>
          <w:rFonts w:ascii="Times New Roman" w:hAnsi="Times New Roman"/>
          <w:sz w:val="24"/>
          <w:szCs w:val="24"/>
          <w:lang w:val="en-GB"/>
        </w:rPr>
        <w:fldChar w:fldCharType="begin"/>
      </w:r>
      <w:r w:rsidR="00350EDE" w:rsidRPr="008A5078">
        <w:rPr>
          <w:rFonts w:ascii="Times New Roman" w:hAnsi="Times New Roman"/>
          <w:sz w:val="24"/>
          <w:szCs w:val="24"/>
          <w:lang w:val="en-GB"/>
        </w:rPr>
        <w:instrText xml:space="preserve"> ADDIN ZOTERO_ITEM CSL_CITATION {"citationID":"euroxW6w","properties":{"formattedCitation":"(Gatien et al., 2022)","plainCitation":"(Gatien et al., 2022)","noteIndex":0},"citationItems":[{"id":161,"uris":["http://zotero.org/users/11320370/items/35B935J7"],"itemData":{"id":161,"type":"article-journal","container-title":"Canadian Water Resources Journal/Revue Canadienne Des Ressources Hydriques","ISSN":"0701-1784","journalAbbreviation":"Canadian Water Resources Journal/Revue Canadienne Des Ressources Hydriques","note":"publisher: Taylor &amp; Francis","page":"1-18","title":"Using the ERA5 and ERA5-Land reanalysis datasets for river water temperature modelling in a data-scarce region","author":[{"family":"Gatien","given":"Philippe"},{"family":"Arsenault","given":"Richard"},{"family":"Martel","given":"Jean-Luc"},{"family":"St-Hilaire","given":"André"}],"issued":{"date-parts":[["2022"]]}}}],"schema":"https://github.com/citation-style-language/schema/raw/master/csl-citation.json"} </w:instrText>
      </w:r>
      <w:r w:rsidRPr="008A5078">
        <w:rPr>
          <w:rFonts w:ascii="Times New Roman" w:hAnsi="Times New Roman"/>
          <w:sz w:val="24"/>
          <w:szCs w:val="24"/>
          <w:lang w:val="en-GB"/>
        </w:rPr>
        <w:fldChar w:fldCharType="separate"/>
      </w:r>
      <w:r w:rsidR="00350EDE" w:rsidRPr="008A5078">
        <w:rPr>
          <w:rFonts w:ascii="Times New Roman" w:hAnsi="Times New Roman" w:cs="Times New Roman"/>
          <w:sz w:val="24"/>
          <w:lang w:val="en-GB"/>
        </w:rPr>
        <w:t>(Gatien et al., 2022)</w:t>
      </w:r>
      <w:r w:rsidRPr="008A5078">
        <w:rPr>
          <w:rFonts w:ascii="Times New Roman" w:hAnsi="Times New Roman"/>
          <w:sz w:val="24"/>
          <w:szCs w:val="24"/>
          <w:lang w:val="en-GB"/>
        </w:rPr>
        <w:fldChar w:fldCharType="end"/>
      </w:r>
      <w:r w:rsidRPr="008A5078">
        <w:rPr>
          <w:rFonts w:ascii="Times New Roman" w:hAnsi="Times New Roman"/>
          <w:sz w:val="24"/>
          <w:szCs w:val="24"/>
          <w:lang w:val="en-GB"/>
        </w:rPr>
        <w:t>. However, this also limited the number of available GCMs as not all GCMs in CMIP6 archive data at the sub-daily time step.</w:t>
      </w:r>
    </w:p>
    <w:p w14:paraId="11E9A223" w14:textId="334648A4" w:rsidR="00984ACD" w:rsidRPr="008A5078" w:rsidRDefault="00984ACD" w:rsidP="00157913">
      <w:pPr>
        <w:spacing w:line="480" w:lineRule="auto"/>
        <w:jc w:val="both"/>
        <w:rPr>
          <w:rFonts w:ascii="Times New Roman" w:hAnsi="Times New Roman"/>
          <w:sz w:val="24"/>
          <w:szCs w:val="24"/>
          <w:lang w:val="en-GB"/>
        </w:rPr>
      </w:pPr>
      <w:r w:rsidRPr="008A5078">
        <w:rPr>
          <w:rFonts w:ascii="Times New Roman" w:hAnsi="Times New Roman"/>
          <w:noProof/>
          <w:sz w:val="24"/>
          <w:szCs w:val="24"/>
          <w:lang w:val="en-GB" w:eastAsia="en-GB"/>
        </w:rPr>
        <w:drawing>
          <wp:inline distT="0" distB="0" distL="0" distR="0" wp14:anchorId="31984094" wp14:editId="7167B98D">
            <wp:extent cx="5486400" cy="3819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400" cy="3819525"/>
                    </a:xfrm>
                    <a:prstGeom prst="rect">
                      <a:avLst/>
                    </a:prstGeom>
                  </pic:spPr>
                </pic:pic>
              </a:graphicData>
            </a:graphic>
          </wp:inline>
        </w:drawing>
      </w:r>
    </w:p>
    <w:p w14:paraId="64064719" w14:textId="7CAAE0C8" w:rsidR="00984ACD" w:rsidRPr="008A5078" w:rsidRDefault="00984ACD" w:rsidP="00984ACD">
      <w:pPr>
        <w:spacing w:before="240" w:line="240" w:lineRule="auto"/>
        <w:jc w:val="both"/>
        <w:rPr>
          <w:rFonts w:ascii="Times New Roman" w:eastAsia="Times New Roman" w:hAnsi="Times New Roman"/>
          <w:sz w:val="24"/>
          <w:szCs w:val="24"/>
          <w:lang w:val="en-GB"/>
        </w:rPr>
      </w:pPr>
      <w:r w:rsidRPr="008A5078">
        <w:rPr>
          <w:rFonts w:ascii="Times New Roman" w:hAnsi="Times New Roman"/>
          <w:b/>
          <w:sz w:val="24"/>
          <w:szCs w:val="24"/>
          <w:lang w:val="en-GB" w:eastAsia="en-GB"/>
        </w:rPr>
        <w:t>Fig</w:t>
      </w:r>
      <w:r w:rsidR="00533371">
        <w:rPr>
          <w:rFonts w:ascii="Times New Roman" w:hAnsi="Times New Roman"/>
          <w:b/>
          <w:sz w:val="24"/>
          <w:szCs w:val="24"/>
          <w:lang w:val="en-GB" w:eastAsia="en-GB"/>
        </w:rPr>
        <w:t>.</w:t>
      </w:r>
      <w:r w:rsidRPr="008A5078">
        <w:rPr>
          <w:rFonts w:ascii="Times New Roman" w:hAnsi="Times New Roman"/>
          <w:b/>
          <w:sz w:val="24"/>
          <w:szCs w:val="24"/>
          <w:lang w:val="en-GB" w:eastAsia="en-GB"/>
        </w:rPr>
        <w:t xml:space="preserve"> S1 </w:t>
      </w:r>
      <w:r w:rsidRPr="008A5078">
        <w:rPr>
          <w:rFonts w:ascii="Times New Roman" w:hAnsi="Times New Roman"/>
          <w:sz w:val="24"/>
          <w:szCs w:val="24"/>
          <w:lang w:val="en-GB" w:eastAsia="en-GB"/>
        </w:rPr>
        <w:t>The thermal</w:t>
      </w:r>
      <w:r w:rsidRPr="008A5078">
        <w:rPr>
          <w:rFonts w:ascii="Times New Roman" w:eastAsia="Times New Roman" w:hAnsi="Times New Roman"/>
          <w:sz w:val="24"/>
          <w:szCs w:val="24"/>
          <w:lang w:val="en-GB"/>
        </w:rPr>
        <w:t xml:space="preserve"> exposure risk for Nechako River Chinook salmon life stages in Nechako River sections under SSP2-4.5 and SSP5-8.5 in the 2050s (average between 2050-</w:t>
      </w:r>
      <w:r w:rsidRPr="008A5078">
        <w:rPr>
          <w:rFonts w:ascii="Times New Roman" w:eastAsia="Times New Roman" w:hAnsi="Times New Roman"/>
          <w:sz w:val="24"/>
          <w:szCs w:val="24"/>
          <w:lang w:val="en-GB"/>
        </w:rPr>
        <w:lastRenderedPageBreak/>
        <w:t>2959) and 2090s (average between 2090 -2099) for fry life stage. The dotted line indicates an optimal thermal exposure risk of 1.</w:t>
      </w:r>
    </w:p>
    <w:p w14:paraId="6DFC87D1" w14:textId="77777777" w:rsidR="00A62097" w:rsidRPr="008A5078" w:rsidRDefault="00A62097" w:rsidP="00984ACD">
      <w:pPr>
        <w:spacing w:before="240" w:line="240" w:lineRule="auto"/>
        <w:jc w:val="both"/>
        <w:rPr>
          <w:rFonts w:ascii="Times New Roman" w:eastAsia="Times New Roman" w:hAnsi="Times New Roman"/>
          <w:sz w:val="24"/>
          <w:szCs w:val="24"/>
          <w:lang w:val="en-GB"/>
        </w:rPr>
      </w:pPr>
    </w:p>
    <w:p w14:paraId="2A5D7D24" w14:textId="77777777" w:rsidR="00984ACD" w:rsidRPr="008A5078" w:rsidRDefault="00984ACD" w:rsidP="00157913">
      <w:pPr>
        <w:spacing w:line="480" w:lineRule="auto"/>
        <w:jc w:val="both"/>
        <w:rPr>
          <w:rFonts w:ascii="Times New Roman" w:hAnsi="Times New Roman"/>
          <w:sz w:val="24"/>
          <w:szCs w:val="24"/>
          <w:lang w:val="en-GB"/>
        </w:rPr>
      </w:pPr>
    </w:p>
    <w:p w14:paraId="32F93BB2" w14:textId="77777777" w:rsidR="00157913" w:rsidRPr="008A5078" w:rsidRDefault="00157913">
      <w:pPr>
        <w:rPr>
          <w:rFonts w:ascii="Times New Roman" w:hAnsi="Times New Roman" w:cs="Times New Roman"/>
          <w:b/>
          <w:bCs/>
          <w:sz w:val="24"/>
          <w:szCs w:val="24"/>
          <w:lang w:val="en-GB"/>
        </w:rPr>
      </w:pPr>
    </w:p>
    <w:p w14:paraId="3A350FCA" w14:textId="1A47296B" w:rsidR="00415F4F" w:rsidRPr="008A5078" w:rsidRDefault="00263D1B">
      <w:pPr>
        <w:rPr>
          <w:rFonts w:ascii="Times New Roman" w:hAnsi="Times New Roman" w:cs="Times New Roman"/>
          <w:b/>
          <w:bCs/>
          <w:sz w:val="24"/>
          <w:szCs w:val="24"/>
          <w:lang w:val="en-GB"/>
        </w:rPr>
      </w:pPr>
      <w:r w:rsidRPr="008A5078">
        <w:rPr>
          <w:rFonts w:ascii="Times New Roman" w:hAnsi="Times New Roman" w:cs="Times New Roman"/>
          <w:b/>
          <w:bCs/>
          <w:noProof/>
          <w:sz w:val="24"/>
          <w:szCs w:val="24"/>
          <w:lang w:val="en-GB" w:eastAsia="en-GB"/>
        </w:rPr>
        <w:drawing>
          <wp:inline distT="0" distB="0" distL="0" distR="0" wp14:anchorId="370CB4AE" wp14:editId="42BDBEBA">
            <wp:extent cx="5486400" cy="3302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3302000"/>
                    </a:xfrm>
                    <a:prstGeom prst="rect">
                      <a:avLst/>
                    </a:prstGeom>
                  </pic:spPr>
                </pic:pic>
              </a:graphicData>
            </a:graphic>
          </wp:inline>
        </w:drawing>
      </w:r>
    </w:p>
    <w:p w14:paraId="731CE07C" w14:textId="427E5CC1" w:rsidR="00415F4F" w:rsidRPr="008A5078" w:rsidRDefault="00A55CC9" w:rsidP="00415F4F">
      <w:pPr>
        <w:rPr>
          <w:rFonts w:ascii="Times New Roman" w:eastAsia="Times New Roman" w:hAnsi="Times New Roman"/>
          <w:sz w:val="24"/>
          <w:szCs w:val="24"/>
          <w:lang w:val="en-GB"/>
        </w:rPr>
      </w:pPr>
      <w:r w:rsidRPr="008A5078">
        <w:rPr>
          <w:rFonts w:ascii="Times New Roman" w:hAnsi="Times New Roman" w:cs="Times New Roman"/>
          <w:b/>
          <w:bCs/>
          <w:sz w:val="24"/>
          <w:szCs w:val="24"/>
          <w:lang w:val="en-GB"/>
        </w:rPr>
        <w:t>Fig</w:t>
      </w:r>
      <w:r w:rsidR="00533371">
        <w:rPr>
          <w:rFonts w:ascii="Times New Roman" w:hAnsi="Times New Roman" w:cs="Times New Roman"/>
          <w:b/>
          <w:bCs/>
          <w:sz w:val="24"/>
          <w:szCs w:val="24"/>
          <w:lang w:val="en-GB"/>
        </w:rPr>
        <w:t>.</w:t>
      </w:r>
      <w:r w:rsidR="00263D1B" w:rsidRPr="008A5078">
        <w:rPr>
          <w:rFonts w:ascii="Times New Roman" w:hAnsi="Times New Roman" w:cs="Times New Roman"/>
          <w:b/>
          <w:bCs/>
          <w:sz w:val="24"/>
          <w:szCs w:val="24"/>
          <w:lang w:val="en-GB"/>
        </w:rPr>
        <w:t xml:space="preserve"> S2</w:t>
      </w:r>
      <w:r w:rsidR="00030784" w:rsidRPr="008A5078">
        <w:rPr>
          <w:rFonts w:ascii="Times New Roman" w:eastAsia="Times New Roman" w:hAnsi="Times New Roman"/>
          <w:sz w:val="24"/>
          <w:szCs w:val="24"/>
          <w:lang w:val="en-GB"/>
        </w:rPr>
        <w:t xml:space="preserve"> </w:t>
      </w:r>
      <w:r w:rsidR="00415F4F" w:rsidRPr="008A5078">
        <w:rPr>
          <w:rFonts w:ascii="Times New Roman" w:eastAsia="Times New Roman" w:hAnsi="Times New Roman" w:cs="Times New Roman"/>
          <w:sz w:val="24"/>
          <w:szCs w:val="24"/>
          <w:lang w:val="en-GB"/>
        </w:rPr>
        <w:t>Thermal exposure risk spatial map for Nechako River fry Chinook salmon under SSP2-4.5 and SSP5-8.5 in the 2050s (average 2050-2059) f</w:t>
      </w:r>
      <w:r w:rsidR="00263D1B" w:rsidRPr="008A5078">
        <w:rPr>
          <w:rFonts w:ascii="Times New Roman" w:eastAsia="Times New Roman" w:hAnsi="Times New Roman" w:cs="Times New Roman"/>
          <w:sz w:val="24"/>
          <w:szCs w:val="24"/>
          <w:lang w:val="en-GB"/>
        </w:rPr>
        <w:t>or May and June</w:t>
      </w:r>
      <w:r w:rsidR="00415F4F" w:rsidRPr="008A5078">
        <w:rPr>
          <w:rFonts w:ascii="Times New Roman" w:eastAsia="Times New Roman" w:hAnsi="Times New Roman" w:cs="Times New Roman"/>
          <w:sz w:val="24"/>
          <w:szCs w:val="24"/>
          <w:lang w:val="en-GB"/>
        </w:rPr>
        <w:t>. In the 2050s: (A, B) under SSP2-4.5 and (C, D) under SSP5-8.5. Cool and warm colours represent low and high thermal exposure risk, respectively.</w:t>
      </w:r>
    </w:p>
    <w:p w14:paraId="5BF0A4C7" w14:textId="77777777" w:rsidR="00415F4F" w:rsidRPr="008A5078" w:rsidRDefault="00415F4F">
      <w:pPr>
        <w:rPr>
          <w:rFonts w:ascii="Times New Roman" w:eastAsia="Times New Roman" w:hAnsi="Times New Roman"/>
          <w:sz w:val="24"/>
          <w:szCs w:val="24"/>
          <w:lang w:val="en-GB"/>
        </w:rPr>
      </w:pPr>
    </w:p>
    <w:p w14:paraId="6BEF0C94" w14:textId="04B93AF3" w:rsidR="00D42BD3" w:rsidRPr="00533371" w:rsidRDefault="00263D1B">
      <w:pPr>
        <w:rPr>
          <w:rFonts w:ascii="Times New Roman" w:eastAsia="Times New Roman" w:hAnsi="Times New Roman"/>
          <w:sz w:val="24"/>
          <w:szCs w:val="24"/>
          <w:lang w:val="en-GB"/>
        </w:rPr>
      </w:pPr>
      <w:r w:rsidRPr="008A5078">
        <w:rPr>
          <w:rFonts w:ascii="Times New Roman" w:eastAsia="Times New Roman" w:hAnsi="Times New Roman"/>
          <w:noProof/>
          <w:sz w:val="24"/>
          <w:szCs w:val="24"/>
          <w:lang w:val="en-GB" w:eastAsia="en-GB"/>
        </w:rPr>
        <w:lastRenderedPageBreak/>
        <w:drawing>
          <wp:inline distT="0" distB="0" distL="0" distR="0" wp14:anchorId="0642EA08" wp14:editId="6A367A18">
            <wp:extent cx="5486400" cy="33566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3356610"/>
                    </a:xfrm>
                    <a:prstGeom prst="rect">
                      <a:avLst/>
                    </a:prstGeom>
                  </pic:spPr>
                </pic:pic>
              </a:graphicData>
            </a:graphic>
          </wp:inline>
        </w:drawing>
      </w:r>
      <w:r w:rsidR="00A55CC9" w:rsidRPr="008A5078">
        <w:rPr>
          <w:rFonts w:ascii="Times New Roman" w:eastAsia="Times New Roman" w:hAnsi="Times New Roman"/>
          <w:b/>
          <w:bCs/>
          <w:sz w:val="24"/>
          <w:szCs w:val="24"/>
          <w:lang w:val="en-GB"/>
        </w:rPr>
        <w:t>Fig</w:t>
      </w:r>
      <w:r w:rsidR="00533371">
        <w:rPr>
          <w:rFonts w:ascii="Times New Roman" w:eastAsia="Times New Roman" w:hAnsi="Times New Roman"/>
          <w:b/>
          <w:bCs/>
          <w:sz w:val="24"/>
          <w:szCs w:val="24"/>
          <w:lang w:val="en-GB"/>
        </w:rPr>
        <w:t>.</w:t>
      </w:r>
      <w:r w:rsidRPr="008A5078">
        <w:rPr>
          <w:rFonts w:ascii="Times New Roman" w:eastAsia="Times New Roman" w:hAnsi="Times New Roman"/>
          <w:b/>
          <w:bCs/>
          <w:sz w:val="24"/>
          <w:szCs w:val="24"/>
          <w:lang w:val="en-GB"/>
        </w:rPr>
        <w:t xml:space="preserve"> S3</w:t>
      </w:r>
      <w:r w:rsidR="00D42BD3" w:rsidRPr="008A5078">
        <w:rPr>
          <w:rFonts w:ascii="Times New Roman" w:eastAsia="Times New Roman" w:hAnsi="Times New Roman"/>
          <w:b/>
          <w:bCs/>
          <w:sz w:val="24"/>
          <w:szCs w:val="24"/>
          <w:lang w:val="en-GB"/>
        </w:rPr>
        <w:t xml:space="preserve"> </w:t>
      </w:r>
      <w:r w:rsidR="007359C1" w:rsidRPr="008A5078">
        <w:rPr>
          <w:rFonts w:ascii="Times New Roman" w:eastAsia="Times New Roman" w:hAnsi="Times New Roman" w:cs="Times New Roman"/>
          <w:sz w:val="24"/>
          <w:szCs w:val="24"/>
          <w:lang w:val="en-GB"/>
        </w:rPr>
        <w:t xml:space="preserve">Thermal exposure risk spatial map for Nechako River </w:t>
      </w:r>
      <w:r w:rsidRPr="008A5078">
        <w:rPr>
          <w:rFonts w:ascii="Times New Roman" w:eastAsia="Times New Roman" w:hAnsi="Times New Roman" w:cs="Times New Roman"/>
          <w:sz w:val="24"/>
          <w:szCs w:val="24"/>
          <w:lang w:val="en-GB"/>
        </w:rPr>
        <w:t>fry</w:t>
      </w:r>
      <w:r w:rsidR="00E65284" w:rsidRPr="008A5078">
        <w:rPr>
          <w:rFonts w:ascii="Times New Roman" w:eastAsia="Times New Roman" w:hAnsi="Times New Roman" w:cs="Times New Roman"/>
          <w:sz w:val="24"/>
          <w:szCs w:val="24"/>
          <w:lang w:val="en-GB"/>
        </w:rPr>
        <w:t xml:space="preserve"> </w:t>
      </w:r>
      <w:r w:rsidR="007359C1" w:rsidRPr="008A5078">
        <w:rPr>
          <w:rFonts w:ascii="Times New Roman" w:eastAsia="Times New Roman" w:hAnsi="Times New Roman" w:cs="Times New Roman"/>
          <w:sz w:val="24"/>
          <w:szCs w:val="24"/>
          <w:lang w:val="en-GB"/>
        </w:rPr>
        <w:t>Chinook sal</w:t>
      </w:r>
      <w:r w:rsidR="00E65284" w:rsidRPr="008A5078">
        <w:rPr>
          <w:rFonts w:ascii="Times New Roman" w:eastAsia="Times New Roman" w:hAnsi="Times New Roman" w:cs="Times New Roman"/>
          <w:sz w:val="24"/>
          <w:szCs w:val="24"/>
          <w:lang w:val="en-GB"/>
        </w:rPr>
        <w:t>mon</w:t>
      </w:r>
      <w:r w:rsidR="007359C1" w:rsidRPr="008A5078">
        <w:rPr>
          <w:rFonts w:ascii="Times New Roman" w:eastAsia="Times New Roman" w:hAnsi="Times New Roman" w:cs="Times New Roman"/>
          <w:sz w:val="24"/>
          <w:szCs w:val="24"/>
          <w:lang w:val="en-GB"/>
        </w:rPr>
        <w:t xml:space="preserve"> under SSP2-4.5 and SSP5-8.5 in </w:t>
      </w:r>
      <w:r w:rsidR="007359C1" w:rsidRPr="008A5078">
        <w:rPr>
          <w:rFonts w:ascii="Times New Roman" w:eastAsia="Times New Roman" w:hAnsi="Times New Roman"/>
          <w:sz w:val="24"/>
          <w:szCs w:val="24"/>
          <w:lang w:val="en-GB"/>
        </w:rPr>
        <w:t>the 2090s (average 2090-2099)</w:t>
      </w:r>
      <w:r w:rsidR="007359C1" w:rsidRPr="008A5078">
        <w:rPr>
          <w:rFonts w:ascii="Times New Roman" w:eastAsia="Times New Roman" w:hAnsi="Times New Roman" w:cs="Times New Roman"/>
          <w:sz w:val="24"/>
          <w:szCs w:val="24"/>
          <w:lang w:val="en-GB"/>
        </w:rPr>
        <w:t xml:space="preserve"> f</w:t>
      </w:r>
      <w:r w:rsidRPr="008A5078">
        <w:rPr>
          <w:rFonts w:ascii="Times New Roman" w:eastAsia="Times New Roman" w:hAnsi="Times New Roman" w:cs="Times New Roman"/>
          <w:sz w:val="24"/>
          <w:szCs w:val="24"/>
          <w:lang w:val="en-GB"/>
        </w:rPr>
        <w:t>or May and June</w:t>
      </w:r>
      <w:r w:rsidR="00E65284" w:rsidRPr="008A5078">
        <w:rPr>
          <w:rFonts w:ascii="Times New Roman" w:eastAsia="Times New Roman" w:hAnsi="Times New Roman" w:cs="Times New Roman"/>
          <w:sz w:val="24"/>
          <w:szCs w:val="24"/>
          <w:lang w:val="en-GB"/>
        </w:rPr>
        <w:t xml:space="preserve">. </w:t>
      </w:r>
      <w:r w:rsidR="00415F4F" w:rsidRPr="008A5078">
        <w:rPr>
          <w:rFonts w:ascii="Times New Roman" w:eastAsia="Times New Roman" w:hAnsi="Times New Roman" w:cs="Times New Roman"/>
          <w:sz w:val="24"/>
          <w:szCs w:val="24"/>
          <w:lang w:val="en-GB"/>
        </w:rPr>
        <w:t>In the 2090</w:t>
      </w:r>
      <w:r w:rsidRPr="008A5078">
        <w:rPr>
          <w:rFonts w:ascii="Times New Roman" w:eastAsia="Times New Roman" w:hAnsi="Times New Roman" w:cs="Times New Roman"/>
          <w:sz w:val="24"/>
          <w:szCs w:val="24"/>
          <w:lang w:val="en-GB"/>
        </w:rPr>
        <w:t>s: (A, B) under SSP2-4.5 and (C, D</w:t>
      </w:r>
      <w:r w:rsidR="00E65284" w:rsidRPr="008A5078">
        <w:rPr>
          <w:rFonts w:ascii="Times New Roman" w:eastAsia="Times New Roman" w:hAnsi="Times New Roman" w:cs="Times New Roman"/>
          <w:sz w:val="24"/>
          <w:szCs w:val="24"/>
          <w:lang w:val="en-GB"/>
        </w:rPr>
        <w:t xml:space="preserve">) under SSP5-8.5. </w:t>
      </w:r>
      <w:r w:rsidR="007359C1" w:rsidRPr="008A5078">
        <w:rPr>
          <w:rFonts w:ascii="Times New Roman" w:eastAsia="Times New Roman" w:hAnsi="Times New Roman" w:cs="Times New Roman"/>
          <w:sz w:val="24"/>
          <w:szCs w:val="24"/>
          <w:lang w:val="en-GB"/>
        </w:rPr>
        <w:t>Cool and warm colours represent low and high thermal exposure risk, respectively.</w:t>
      </w:r>
    </w:p>
    <w:p w14:paraId="1B0AEF13" w14:textId="0D82617B" w:rsidR="00FD15AB" w:rsidRPr="008A5078" w:rsidRDefault="00FD15AB">
      <w:pPr>
        <w:rPr>
          <w:rFonts w:ascii="Times New Roman" w:hAnsi="Times New Roman" w:cs="Times New Roman"/>
          <w:sz w:val="24"/>
          <w:szCs w:val="24"/>
          <w:lang w:val="en-GB"/>
        </w:rPr>
      </w:pPr>
    </w:p>
    <w:p w14:paraId="394C27FD" w14:textId="51171FCB" w:rsidR="002E7371" w:rsidRPr="00533371" w:rsidRDefault="00263D1B" w:rsidP="00533371">
      <w:pPr>
        <w:rPr>
          <w:rFonts w:ascii="Times New Roman" w:hAnsi="Times New Roman" w:cs="Times New Roman"/>
          <w:sz w:val="24"/>
          <w:szCs w:val="24"/>
          <w:lang w:val="en-GB"/>
        </w:rPr>
      </w:pPr>
      <w:r w:rsidRPr="008A5078">
        <w:rPr>
          <w:rFonts w:ascii="Times New Roman" w:hAnsi="Times New Roman" w:cs="Times New Roman"/>
          <w:noProof/>
          <w:sz w:val="24"/>
          <w:szCs w:val="24"/>
          <w:lang w:val="en-GB" w:eastAsia="en-GB"/>
        </w:rPr>
        <w:lastRenderedPageBreak/>
        <w:drawing>
          <wp:inline distT="0" distB="0" distL="0" distR="0" wp14:anchorId="13150558" wp14:editId="5416F96D">
            <wp:extent cx="5486400" cy="62426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6242685"/>
                    </a:xfrm>
                    <a:prstGeom prst="rect">
                      <a:avLst/>
                    </a:prstGeom>
                  </pic:spPr>
                </pic:pic>
              </a:graphicData>
            </a:graphic>
          </wp:inline>
        </w:drawing>
      </w:r>
      <w:r w:rsidR="00A55CC9" w:rsidRPr="008A5078">
        <w:rPr>
          <w:rFonts w:ascii="Times New Roman" w:hAnsi="Times New Roman" w:cs="Times New Roman"/>
          <w:b/>
          <w:bCs/>
          <w:sz w:val="24"/>
          <w:szCs w:val="24"/>
          <w:lang w:val="en-GB"/>
        </w:rPr>
        <w:t>Fig</w:t>
      </w:r>
      <w:r w:rsidR="00533371">
        <w:rPr>
          <w:rFonts w:ascii="Times New Roman" w:hAnsi="Times New Roman" w:cs="Times New Roman"/>
          <w:b/>
          <w:bCs/>
          <w:sz w:val="24"/>
          <w:szCs w:val="24"/>
          <w:lang w:val="en-GB"/>
        </w:rPr>
        <w:t>.</w:t>
      </w:r>
      <w:r w:rsidR="00FD15AB" w:rsidRPr="008A5078">
        <w:rPr>
          <w:rFonts w:ascii="Times New Roman" w:hAnsi="Times New Roman" w:cs="Times New Roman"/>
          <w:b/>
          <w:bCs/>
          <w:sz w:val="24"/>
          <w:szCs w:val="24"/>
          <w:lang w:val="en-GB"/>
        </w:rPr>
        <w:t xml:space="preserve"> </w:t>
      </w:r>
      <w:r w:rsidRPr="008A5078">
        <w:rPr>
          <w:rFonts w:ascii="Times New Roman" w:hAnsi="Times New Roman" w:cs="Times New Roman"/>
          <w:b/>
          <w:bCs/>
          <w:sz w:val="24"/>
          <w:szCs w:val="24"/>
          <w:lang w:val="en-GB"/>
        </w:rPr>
        <w:t>S4</w:t>
      </w:r>
      <w:r w:rsidR="00FD15AB" w:rsidRPr="008A5078">
        <w:rPr>
          <w:rFonts w:ascii="Times New Roman" w:eastAsia="Times New Roman" w:hAnsi="Times New Roman"/>
          <w:b/>
          <w:bCs/>
          <w:sz w:val="24"/>
          <w:szCs w:val="24"/>
          <w:lang w:val="en-GB"/>
        </w:rPr>
        <w:t xml:space="preserve"> </w:t>
      </w:r>
      <w:r w:rsidR="002E7371" w:rsidRPr="008A5078">
        <w:rPr>
          <w:rFonts w:ascii="Times New Roman" w:eastAsia="Times New Roman" w:hAnsi="Times New Roman"/>
          <w:sz w:val="24"/>
          <w:szCs w:val="24"/>
          <w:lang w:val="en-GB"/>
        </w:rPr>
        <w:t>Thermal exposure risk spatial map for Nechako River Chinook salmon life stages; parr and adult under SSP2-4.5 and SSP5-8.5 in the 2050s (average 2050-2059) for the Summer Temperature Management Program (STMP) months (July and August). Under SSP2-4.5: (A, B) Parr life stage; (C, D) Adult life stage. Under SSP5-8.5: (E, F) Parr life stage; (G, H) Adult life stage. Cool and warm colours represent low and high thermal exposure risk, respectively.</w:t>
      </w:r>
    </w:p>
    <w:p w14:paraId="7BAB68B2" w14:textId="285E00A9" w:rsidR="00FD15AB" w:rsidRPr="008A5078" w:rsidRDefault="00FD15AB" w:rsidP="00FD15AB">
      <w:pPr>
        <w:rPr>
          <w:rFonts w:ascii="Times New Roman" w:eastAsia="Times New Roman" w:hAnsi="Times New Roman"/>
          <w:sz w:val="24"/>
          <w:szCs w:val="24"/>
          <w:lang w:val="en-GB"/>
        </w:rPr>
      </w:pPr>
    </w:p>
    <w:p w14:paraId="51F5D24F" w14:textId="254CD0C2" w:rsidR="00FD15AB" w:rsidRPr="008A5078" w:rsidRDefault="00FD15AB">
      <w:pPr>
        <w:rPr>
          <w:rFonts w:ascii="Times New Roman" w:hAnsi="Times New Roman" w:cs="Times New Roman"/>
          <w:b/>
          <w:bCs/>
          <w:sz w:val="24"/>
          <w:szCs w:val="24"/>
          <w:lang w:val="en-GB"/>
        </w:rPr>
      </w:pPr>
    </w:p>
    <w:p w14:paraId="0EF17547" w14:textId="602CCD41" w:rsidR="00350EDE" w:rsidRPr="008A5078" w:rsidRDefault="00350EDE">
      <w:pPr>
        <w:rPr>
          <w:rFonts w:ascii="Times New Roman" w:hAnsi="Times New Roman" w:cs="Times New Roman"/>
          <w:b/>
          <w:bCs/>
          <w:sz w:val="24"/>
          <w:szCs w:val="24"/>
          <w:lang w:val="en-GB"/>
        </w:rPr>
      </w:pPr>
    </w:p>
    <w:p w14:paraId="31CB13C0" w14:textId="773E72AF" w:rsidR="00350EDE" w:rsidRPr="008A5078" w:rsidRDefault="00350EDE">
      <w:pPr>
        <w:rPr>
          <w:rFonts w:ascii="Times New Roman" w:hAnsi="Times New Roman" w:cs="Times New Roman"/>
          <w:b/>
          <w:bCs/>
          <w:sz w:val="24"/>
          <w:szCs w:val="24"/>
          <w:lang w:val="en-GB"/>
        </w:rPr>
      </w:pPr>
      <w:r w:rsidRPr="008A5078">
        <w:rPr>
          <w:rFonts w:ascii="Times New Roman" w:hAnsi="Times New Roman" w:cs="Times New Roman"/>
          <w:b/>
          <w:bCs/>
          <w:sz w:val="24"/>
          <w:szCs w:val="24"/>
          <w:lang w:val="en-GB"/>
        </w:rPr>
        <w:t>Reference</w:t>
      </w:r>
    </w:p>
    <w:p w14:paraId="0E7007A9" w14:textId="77777777" w:rsidR="00350EDE" w:rsidRPr="008A5078" w:rsidRDefault="00350EDE" w:rsidP="00350EDE">
      <w:pPr>
        <w:pStyle w:val="Bibliography"/>
        <w:rPr>
          <w:rFonts w:ascii="Times New Roman" w:hAnsi="Times New Roman" w:cs="Times New Roman"/>
          <w:sz w:val="24"/>
          <w:lang w:val="en-GB"/>
        </w:rPr>
      </w:pPr>
      <w:r w:rsidRPr="008A5078">
        <w:rPr>
          <w:b/>
          <w:bCs/>
          <w:lang w:val="en-GB"/>
        </w:rPr>
        <w:fldChar w:fldCharType="begin"/>
      </w:r>
      <w:r w:rsidRPr="008A5078">
        <w:rPr>
          <w:b/>
          <w:bCs/>
          <w:lang w:val="en-GB"/>
        </w:rPr>
        <w:instrText xml:space="preserve"> ADDIN ZOTERO_BIBL {"uncited":[],"omitted":[],"custom":[]} CSL_BIBLIOGRAPHY </w:instrText>
      </w:r>
      <w:r w:rsidRPr="008A5078">
        <w:rPr>
          <w:b/>
          <w:bCs/>
          <w:lang w:val="en-GB"/>
        </w:rPr>
        <w:fldChar w:fldCharType="separate"/>
      </w:r>
      <w:r w:rsidRPr="008A5078">
        <w:rPr>
          <w:rFonts w:ascii="Times New Roman" w:hAnsi="Times New Roman" w:cs="Times New Roman"/>
          <w:sz w:val="24"/>
          <w:lang w:val="en-GB"/>
        </w:rPr>
        <w:t xml:space="preserve">Cannon, A. J. (2018). Multivariate quantile mapping bias correction: An N-dimensional probability density function transform for climate model simulations of multiple variables. </w:t>
      </w:r>
      <w:r w:rsidRPr="008A5078">
        <w:rPr>
          <w:rFonts w:ascii="Times New Roman" w:hAnsi="Times New Roman" w:cs="Times New Roman"/>
          <w:i/>
          <w:iCs/>
          <w:sz w:val="24"/>
          <w:lang w:val="en-GB"/>
        </w:rPr>
        <w:t>Climate Dynamics</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50</w:t>
      </w:r>
      <w:r w:rsidRPr="008A5078">
        <w:rPr>
          <w:rFonts w:ascii="Times New Roman" w:hAnsi="Times New Roman" w:cs="Times New Roman"/>
          <w:sz w:val="24"/>
          <w:lang w:val="en-GB"/>
        </w:rPr>
        <w:t>, 31–49.</w:t>
      </w:r>
    </w:p>
    <w:p w14:paraId="7AE29E01"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Eyring, V., Bony, S., Meehl, G. A., Senior, C. A., Stevens, B., Stouffer, R. J., &amp; Taylor, K. E. (2016). Overview of the Coupled Model Intercomparison Project Phase 6 (CMIP6) experimental design and organization. </w:t>
      </w:r>
      <w:r w:rsidRPr="008A5078">
        <w:rPr>
          <w:rFonts w:ascii="Times New Roman" w:hAnsi="Times New Roman" w:cs="Times New Roman"/>
          <w:i/>
          <w:iCs/>
          <w:sz w:val="24"/>
          <w:lang w:val="en-GB"/>
        </w:rPr>
        <w:t>Geoscientific Model Development</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9</w:t>
      </w:r>
      <w:r w:rsidRPr="008A5078">
        <w:rPr>
          <w:rFonts w:ascii="Times New Roman" w:hAnsi="Times New Roman" w:cs="Times New Roman"/>
          <w:sz w:val="24"/>
          <w:lang w:val="en-GB"/>
        </w:rPr>
        <w:t>(5), 1937–1958.</w:t>
      </w:r>
    </w:p>
    <w:p w14:paraId="62D494BB"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Farr, T. G., Rosen, P. A., Caro, E., Crippen, R., Duren, R., Hensley, S., Kobrick, M., Paller, M., Rodriguez, E., &amp; Roth, L. (2007). The shuttle radar topography mission. </w:t>
      </w:r>
      <w:r w:rsidRPr="008A5078">
        <w:rPr>
          <w:rFonts w:ascii="Times New Roman" w:hAnsi="Times New Roman" w:cs="Times New Roman"/>
          <w:i/>
          <w:iCs/>
          <w:sz w:val="24"/>
          <w:lang w:val="en-GB"/>
        </w:rPr>
        <w:t>Reviews of Geophysics</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45</w:t>
      </w:r>
      <w:r w:rsidRPr="008A5078">
        <w:rPr>
          <w:rFonts w:ascii="Times New Roman" w:hAnsi="Times New Roman" w:cs="Times New Roman"/>
          <w:sz w:val="24"/>
          <w:lang w:val="en-GB"/>
        </w:rPr>
        <w:t>(2).</w:t>
      </w:r>
    </w:p>
    <w:p w14:paraId="105ABA41"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Gatien, P., Arsenault, R., Martel, J.-L., &amp; St-Hilaire, A. (2022). Using the ERA5 and ERA5-Land reanalysis datasets for river water temperature modelling in a data-scarce region. </w:t>
      </w:r>
      <w:r w:rsidRPr="008A5078">
        <w:rPr>
          <w:rFonts w:ascii="Times New Roman" w:hAnsi="Times New Roman" w:cs="Times New Roman"/>
          <w:i/>
          <w:iCs/>
          <w:sz w:val="24"/>
          <w:lang w:val="en-GB"/>
        </w:rPr>
        <w:t>Canadian Water Resources Journal/Revue Canadienne Des Ressources Hydriques</w:t>
      </w:r>
      <w:r w:rsidRPr="008A5078">
        <w:rPr>
          <w:rFonts w:ascii="Times New Roman" w:hAnsi="Times New Roman" w:cs="Times New Roman"/>
          <w:sz w:val="24"/>
          <w:lang w:val="en-GB"/>
        </w:rPr>
        <w:t>, 1–18.</w:t>
      </w:r>
    </w:p>
    <w:p w14:paraId="03A80DCF"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Hansen, N. (2006). The CMA evolution strategy: A comparing review. </w:t>
      </w:r>
      <w:r w:rsidRPr="008A5078">
        <w:rPr>
          <w:rFonts w:ascii="Times New Roman" w:hAnsi="Times New Roman" w:cs="Times New Roman"/>
          <w:i/>
          <w:iCs/>
          <w:sz w:val="24"/>
          <w:lang w:val="en-GB"/>
        </w:rPr>
        <w:t>Towards a New Evolutionary Computation: Advances in the Estimation of Distribution Algorithms</w:t>
      </w:r>
      <w:r w:rsidRPr="008A5078">
        <w:rPr>
          <w:rFonts w:ascii="Times New Roman" w:hAnsi="Times New Roman" w:cs="Times New Roman"/>
          <w:sz w:val="24"/>
          <w:lang w:val="en-GB"/>
        </w:rPr>
        <w:t>, 75–102.</w:t>
      </w:r>
    </w:p>
    <w:p w14:paraId="61266888"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Karra, K., Kontgis, C., Statman-Weil, Z., Mazzariello, J. C., Mathis, M., &amp; Brumby, S. P. (2021). </w:t>
      </w:r>
      <w:r w:rsidRPr="008A5078">
        <w:rPr>
          <w:rFonts w:ascii="Times New Roman" w:hAnsi="Times New Roman" w:cs="Times New Roman"/>
          <w:i/>
          <w:iCs/>
          <w:sz w:val="24"/>
          <w:lang w:val="en-GB"/>
        </w:rPr>
        <w:t>Global land use/land cover with Sentinel 2 and deep learning</w:t>
      </w:r>
      <w:r w:rsidRPr="008A5078">
        <w:rPr>
          <w:rFonts w:ascii="Times New Roman" w:hAnsi="Times New Roman" w:cs="Times New Roman"/>
          <w:sz w:val="24"/>
          <w:lang w:val="en-GB"/>
        </w:rPr>
        <w:t>. 4704–4707.</w:t>
      </w:r>
    </w:p>
    <w:p w14:paraId="19851B4D"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lastRenderedPageBreak/>
        <w:t xml:space="preserve">Khorsandi, M., St-Hilaire, A., &amp; Arsenault, R. (2022). Multisite calibration of a semi-distributed hydrologic and thermal model in a large Canadian watershed. </w:t>
      </w:r>
      <w:r w:rsidRPr="008A5078">
        <w:rPr>
          <w:rFonts w:ascii="Times New Roman" w:hAnsi="Times New Roman" w:cs="Times New Roman"/>
          <w:i/>
          <w:iCs/>
          <w:sz w:val="24"/>
          <w:lang w:val="en-GB"/>
        </w:rPr>
        <w:t>Hydrological Sciences Journal</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67</w:t>
      </w:r>
      <w:r w:rsidRPr="008A5078">
        <w:rPr>
          <w:rFonts w:ascii="Times New Roman" w:hAnsi="Times New Roman" w:cs="Times New Roman"/>
          <w:sz w:val="24"/>
          <w:lang w:val="en-GB"/>
        </w:rPr>
        <w:t>(14), 2147–2174.</w:t>
      </w:r>
    </w:p>
    <w:p w14:paraId="2275100C"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Morin, G., &amp; Couillard, D. (1990). Predicting river temperatures with a hydrological model. </w:t>
      </w:r>
      <w:r w:rsidRPr="008A5078">
        <w:rPr>
          <w:rFonts w:ascii="Times New Roman" w:hAnsi="Times New Roman" w:cs="Times New Roman"/>
          <w:i/>
          <w:iCs/>
          <w:sz w:val="24"/>
          <w:lang w:val="en-GB"/>
        </w:rPr>
        <w:t>Encyclopedia of Fluid Mechanic, Surface and Groundwater Flow Phenomena</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10</w:t>
      </w:r>
      <w:r w:rsidRPr="008A5078">
        <w:rPr>
          <w:rFonts w:ascii="Times New Roman" w:hAnsi="Times New Roman" w:cs="Times New Roman"/>
          <w:sz w:val="24"/>
          <w:lang w:val="en-GB"/>
        </w:rPr>
        <w:t>, 171–209.</w:t>
      </w:r>
    </w:p>
    <w:p w14:paraId="7FF5633D"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O’Neill, B. C., Kriegler, E., Ebi, K. L., Kemp-Benedict, E., Riahi, K., Rothman, D. S., Van Ruijven, B. J., Van Vuuren, D. P., Birkmann, J., &amp; Kok, K. (2017). The roads ahead: Narratives for shared socioeconomic pathways describing world futures in the 21st century. </w:t>
      </w:r>
      <w:r w:rsidRPr="008A5078">
        <w:rPr>
          <w:rFonts w:ascii="Times New Roman" w:hAnsi="Times New Roman" w:cs="Times New Roman"/>
          <w:i/>
          <w:iCs/>
          <w:sz w:val="24"/>
          <w:lang w:val="en-GB"/>
        </w:rPr>
        <w:t>Global Environmental Change</w:t>
      </w:r>
      <w:r w:rsidRPr="008A5078">
        <w:rPr>
          <w:rFonts w:ascii="Times New Roman" w:hAnsi="Times New Roman" w:cs="Times New Roman"/>
          <w:sz w:val="24"/>
          <w:lang w:val="en-GB"/>
        </w:rPr>
        <w:t xml:space="preserve">, </w:t>
      </w:r>
      <w:r w:rsidRPr="008A5078">
        <w:rPr>
          <w:rFonts w:ascii="Times New Roman" w:hAnsi="Times New Roman" w:cs="Times New Roman"/>
          <w:i/>
          <w:iCs/>
          <w:sz w:val="24"/>
          <w:lang w:val="en-GB"/>
        </w:rPr>
        <w:t>42</w:t>
      </w:r>
      <w:r w:rsidRPr="008A5078">
        <w:rPr>
          <w:rFonts w:ascii="Times New Roman" w:hAnsi="Times New Roman" w:cs="Times New Roman"/>
          <w:sz w:val="24"/>
          <w:lang w:val="en-GB"/>
        </w:rPr>
        <w:t>, 169–180.</w:t>
      </w:r>
    </w:p>
    <w:p w14:paraId="03ED14EC"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St-Hilaire, A., Boucher, M.-A., Chebana, F., Ouellet-Proulx, S., Zhou, Q. X., Larabi, S., Dugdale, S., &amp; Latraverse, M. (2015). </w:t>
      </w:r>
      <w:r w:rsidRPr="008A5078">
        <w:rPr>
          <w:rFonts w:ascii="Times New Roman" w:hAnsi="Times New Roman" w:cs="Times New Roman"/>
          <w:i/>
          <w:iCs/>
          <w:sz w:val="24"/>
          <w:lang w:val="en-GB"/>
        </w:rPr>
        <w:t>Breathing a new life to an older model: The CEQUEAU tool for flow and water temperature simulations and forecasting</w:t>
      </w:r>
      <w:r w:rsidRPr="008A5078">
        <w:rPr>
          <w:rFonts w:ascii="Times New Roman" w:hAnsi="Times New Roman" w:cs="Times New Roman"/>
          <w:sz w:val="24"/>
          <w:lang w:val="en-GB"/>
        </w:rPr>
        <w:t>. Proceedings of the 22nd Canadian Hydrotechnical Conference.</w:t>
      </w:r>
    </w:p>
    <w:p w14:paraId="39485BA8" w14:textId="77777777" w:rsidR="00350EDE" w:rsidRPr="008A5078" w:rsidRDefault="00350EDE" w:rsidP="00350EDE">
      <w:pPr>
        <w:pStyle w:val="Bibliography"/>
        <w:rPr>
          <w:rFonts w:ascii="Times New Roman" w:hAnsi="Times New Roman" w:cs="Times New Roman"/>
          <w:sz w:val="24"/>
          <w:lang w:val="en-GB"/>
        </w:rPr>
      </w:pPr>
      <w:r w:rsidRPr="008A5078">
        <w:rPr>
          <w:rFonts w:ascii="Times New Roman" w:hAnsi="Times New Roman" w:cs="Times New Roman"/>
          <w:sz w:val="24"/>
          <w:lang w:val="en-GB"/>
        </w:rPr>
        <w:t xml:space="preserve">Zanaga, D., Van De Kerchove, R., Daems, D., De Keersmaecker, W., Brockmann, C., Kirches, G., Wevers, J., Cartus, O., Santoro, M., &amp; Fritz, S. (2022). </w:t>
      </w:r>
      <w:r w:rsidRPr="008A5078">
        <w:rPr>
          <w:rFonts w:ascii="Times New Roman" w:hAnsi="Times New Roman" w:cs="Times New Roman"/>
          <w:i/>
          <w:iCs/>
          <w:sz w:val="24"/>
          <w:lang w:val="en-GB"/>
        </w:rPr>
        <w:t>ESA WorldCover 10 m 2021 v200</w:t>
      </w:r>
      <w:r w:rsidRPr="008A5078">
        <w:rPr>
          <w:rFonts w:ascii="Times New Roman" w:hAnsi="Times New Roman" w:cs="Times New Roman"/>
          <w:sz w:val="24"/>
          <w:lang w:val="en-GB"/>
        </w:rPr>
        <w:t>.</w:t>
      </w:r>
    </w:p>
    <w:p w14:paraId="31C28A14" w14:textId="564E0717" w:rsidR="00350EDE" w:rsidRPr="008A5078" w:rsidRDefault="00350EDE">
      <w:pPr>
        <w:rPr>
          <w:rFonts w:ascii="Times New Roman" w:hAnsi="Times New Roman" w:cs="Times New Roman"/>
          <w:b/>
          <w:bCs/>
          <w:sz w:val="24"/>
          <w:szCs w:val="24"/>
          <w:lang w:val="en-GB"/>
        </w:rPr>
      </w:pPr>
      <w:r w:rsidRPr="008A5078">
        <w:rPr>
          <w:rFonts w:ascii="Times New Roman" w:hAnsi="Times New Roman" w:cs="Times New Roman"/>
          <w:b/>
          <w:bCs/>
          <w:sz w:val="24"/>
          <w:szCs w:val="24"/>
          <w:lang w:val="en-GB"/>
        </w:rPr>
        <w:fldChar w:fldCharType="end"/>
      </w:r>
    </w:p>
    <w:sectPr w:rsidR="00350EDE" w:rsidRPr="008A507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c0N7S0MLKwMDM0MbVQ0lEKTi0uzszPAykwNKoFAFUNVi0tAAAA"/>
  </w:docVars>
  <w:rsids>
    <w:rsidRoot w:val="00745740"/>
    <w:rsid w:val="00030784"/>
    <w:rsid w:val="001305C5"/>
    <w:rsid w:val="00157913"/>
    <w:rsid w:val="0019112E"/>
    <w:rsid w:val="00263D1B"/>
    <w:rsid w:val="002E7371"/>
    <w:rsid w:val="00336824"/>
    <w:rsid w:val="00350EDE"/>
    <w:rsid w:val="00353AB9"/>
    <w:rsid w:val="00415F4F"/>
    <w:rsid w:val="00473389"/>
    <w:rsid w:val="00533371"/>
    <w:rsid w:val="00705B9C"/>
    <w:rsid w:val="00715563"/>
    <w:rsid w:val="007359C1"/>
    <w:rsid w:val="00745740"/>
    <w:rsid w:val="00762BC3"/>
    <w:rsid w:val="007E12BE"/>
    <w:rsid w:val="008A5078"/>
    <w:rsid w:val="008C3030"/>
    <w:rsid w:val="00984ACD"/>
    <w:rsid w:val="00A55CC9"/>
    <w:rsid w:val="00A62097"/>
    <w:rsid w:val="00AB4149"/>
    <w:rsid w:val="00C23B9A"/>
    <w:rsid w:val="00D12880"/>
    <w:rsid w:val="00D42BD3"/>
    <w:rsid w:val="00E65284"/>
    <w:rsid w:val="00EA2B44"/>
    <w:rsid w:val="00FD15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4E4BF"/>
  <w15:chartTrackingRefBased/>
  <w15:docId w15:val="{6AD78E96-7838-4F67-9D3C-87A2E1255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2">
    <w:name w:val="heading 2"/>
    <w:basedOn w:val="Normal"/>
    <w:next w:val="Normal"/>
    <w:link w:val="Heading2Char"/>
    <w:uiPriority w:val="9"/>
    <w:unhideWhenUsed/>
    <w:qFormat/>
    <w:rsid w:val="00157913"/>
    <w:pPr>
      <w:keepNext/>
      <w:keepLines/>
      <w:spacing w:before="40" w:after="0"/>
      <w:outlineLvl w:val="1"/>
    </w:pPr>
    <w:rPr>
      <w:rFonts w:ascii="Calibri Light" w:eastAsia="Times New Roman" w:hAnsi="Calibri Light" w:cs="Times New Roman"/>
      <w:color w:val="2E74B5"/>
      <w:sz w:val="26"/>
      <w:szCs w:val="26"/>
      <w:lang w:val="en-GB"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7913"/>
    <w:rPr>
      <w:rFonts w:ascii="Calibri Light" w:eastAsia="Times New Roman" w:hAnsi="Calibri Light" w:cs="Times New Roman"/>
      <w:color w:val="2E74B5"/>
      <w:sz w:val="26"/>
      <w:szCs w:val="26"/>
      <w:lang w:val="en-GB" w:eastAsia="en-CA"/>
    </w:rPr>
  </w:style>
  <w:style w:type="character" w:styleId="CommentReference">
    <w:name w:val="annotation reference"/>
    <w:uiPriority w:val="99"/>
    <w:semiHidden/>
    <w:unhideWhenUsed/>
    <w:rsid w:val="00157913"/>
    <w:rPr>
      <w:sz w:val="16"/>
      <w:szCs w:val="16"/>
    </w:rPr>
  </w:style>
  <w:style w:type="paragraph" w:styleId="CommentText">
    <w:name w:val="annotation text"/>
    <w:basedOn w:val="Normal"/>
    <w:link w:val="CommentTextChar"/>
    <w:uiPriority w:val="99"/>
    <w:unhideWhenUsed/>
    <w:rsid w:val="00157913"/>
    <w:rPr>
      <w:rFonts w:ascii="Calibri" w:eastAsia="Calibri" w:hAnsi="Calibri" w:cs="Times New Roman"/>
      <w:sz w:val="20"/>
      <w:szCs w:val="20"/>
      <w:lang w:val="en-GB"/>
    </w:rPr>
  </w:style>
  <w:style w:type="character" w:customStyle="1" w:styleId="CommentTextChar">
    <w:name w:val="Comment Text Char"/>
    <w:basedOn w:val="DefaultParagraphFont"/>
    <w:link w:val="CommentText"/>
    <w:uiPriority w:val="99"/>
    <w:rsid w:val="00157913"/>
    <w:rPr>
      <w:rFonts w:ascii="Calibri" w:eastAsia="Calibri" w:hAnsi="Calibri" w:cs="Times New Roman"/>
      <w:sz w:val="20"/>
      <w:szCs w:val="20"/>
      <w:lang w:val="en-GB"/>
    </w:rPr>
  </w:style>
  <w:style w:type="paragraph" w:styleId="BalloonText">
    <w:name w:val="Balloon Text"/>
    <w:basedOn w:val="Normal"/>
    <w:link w:val="BalloonTextChar"/>
    <w:uiPriority w:val="99"/>
    <w:semiHidden/>
    <w:unhideWhenUsed/>
    <w:rsid w:val="00984A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ACD"/>
    <w:rPr>
      <w:rFonts w:ascii="Segoe UI" w:hAnsi="Segoe UI" w:cs="Segoe UI"/>
      <w:sz w:val="18"/>
      <w:szCs w:val="18"/>
      <w:lang w:val="en-US"/>
    </w:rPr>
  </w:style>
  <w:style w:type="paragraph" w:styleId="Bibliography">
    <w:name w:val="Bibliography"/>
    <w:basedOn w:val="Normal"/>
    <w:next w:val="Normal"/>
    <w:uiPriority w:val="37"/>
    <w:unhideWhenUsed/>
    <w:rsid w:val="00350EDE"/>
    <w:pPr>
      <w:spacing w:after="0" w:line="480" w:lineRule="auto"/>
      <w:ind w:left="720" w:hanging="720"/>
    </w:pPr>
  </w:style>
  <w:style w:type="character" w:styleId="Hyperlink">
    <w:name w:val="Hyperlink"/>
    <w:uiPriority w:val="99"/>
    <w:unhideWhenUsed/>
    <w:rsid w:val="00EA2B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382</TotalTime>
  <Pages>9</Pages>
  <Words>3047</Words>
  <Characters>17372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Oyinlola Muhammed</dc:creator>
  <cp:keywords/>
  <dc:description/>
  <cp:lastModifiedBy>Oyinlola Muhammed</cp:lastModifiedBy>
  <cp:revision>22</cp:revision>
  <dcterms:created xsi:type="dcterms:W3CDTF">2023-08-31T16:13:00Z</dcterms:created>
  <dcterms:modified xsi:type="dcterms:W3CDTF">2024-03-13T18:06:00Z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id="kiFJMq4A"/&gt;&lt;style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