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ascii="Times New Roman" w:hAnsi="Times New Roman" w:eastAsia="OTNEJMQuadraat" w:cs="Times New Roman"/>
          <w:sz w:val="22"/>
          <w:szCs w:val="22"/>
          <w:lang w:bidi="ar"/>
        </w:rPr>
      </w:pPr>
      <w:r>
        <w:rPr>
          <w:rFonts w:ascii="Times New Roman" w:hAnsi="Times New Roman" w:cs="Times New Roman"/>
          <w:b/>
          <w:bCs/>
        </w:rPr>
        <w:t>Supplementary Methods</w:t>
      </w:r>
    </w:p>
    <w:p>
      <w:pPr>
        <w:spacing w:line="360" w:lineRule="auto"/>
        <w:jc w:val="both"/>
        <w:rPr>
          <w:rFonts w:ascii="Times New Roman" w:hAnsi="Times New Roman" w:eastAsia="OTNEJMQuadraat" w:cs="Times New Roman"/>
          <w:sz w:val="22"/>
          <w:szCs w:val="22"/>
          <w:lang w:bidi="ar"/>
        </w:rPr>
      </w:pPr>
      <w:r>
        <w:rPr>
          <w:rFonts w:ascii="Times New Roman" w:hAnsi="Times New Roman" w:eastAsia="OTNEJMQuadraat" w:cs="Times New Roman"/>
          <w:sz w:val="22"/>
          <w:szCs w:val="22"/>
          <w:lang w:bidi="ar"/>
        </w:rPr>
        <w:t>This</w:t>
      </w:r>
      <w:bookmarkStart w:id="0" w:name="_Hlk135928622"/>
      <w:r>
        <w:rPr>
          <w:rFonts w:ascii="Times New Roman" w:hAnsi="Times New Roman" w:eastAsia="OTNEJMQuadraat" w:cs="Times New Roman"/>
          <w:sz w:val="22"/>
          <w:szCs w:val="22"/>
          <w:lang w:bidi="ar"/>
        </w:rPr>
        <w:t xml:space="preserve"> clinical trial (</w:t>
      </w:r>
      <w:r>
        <w:rPr>
          <w:rFonts w:ascii="Times New Roman" w:hAnsi="Times New Roman" w:cs="Times New Roman" w:eastAsiaTheme="minorEastAsia"/>
          <w:color w:val="000000" w:themeColor="text1"/>
          <w:sz w:val="22"/>
          <w:szCs w:val="22"/>
          <w:lang w:eastAsia="zh-Hans" w:bidi="ar"/>
          <w14:textFill>
            <w14:solidFill>
              <w14:schemeClr w14:val="tx1"/>
            </w14:solidFill>
          </w14:textFill>
        </w:rPr>
        <w:t>ClinicalTrials.gov, NCT05468307)</w:t>
      </w:r>
      <w:bookmarkEnd w:id="0"/>
      <w:r>
        <w:rPr>
          <w:rFonts w:ascii="Times New Roman" w:hAnsi="Times New Roman" w:cs="Times New Roman" w:eastAsiaTheme="minorEastAsia"/>
          <w:color w:val="000000" w:themeColor="text1"/>
          <w:sz w:val="22"/>
          <w:szCs w:val="22"/>
          <w:lang w:eastAsia="zh-Hans" w:bidi="ar"/>
          <w14:textFill>
            <w14:solidFill>
              <w14:schemeClr w14:val="tx1"/>
            </w14:solidFill>
          </w14:textFill>
        </w:rPr>
        <w:t xml:space="preserve"> was co</w:t>
      </w:r>
      <w:r>
        <w:rPr>
          <w:rFonts w:ascii="Times New Roman" w:hAnsi="Times New Roman" w:eastAsia="OTNEJMQuadraat" w:cs="Times New Roman"/>
          <w:sz w:val="22"/>
          <w:szCs w:val="22"/>
          <w:lang w:bidi="ar"/>
        </w:rPr>
        <w:t xml:space="preserve">nducted in the </w:t>
      </w:r>
      <w:r>
        <w:rPr>
          <w:rFonts w:ascii="Times New Roman" w:hAnsi="Times New Roman" w:eastAsia="OTNEJMQuadraat" w:cs="Times New Roman"/>
          <w:color w:val="000000" w:themeColor="text1"/>
          <w:sz w:val="22"/>
          <w:szCs w:val="22"/>
          <w:lang w:bidi="ar"/>
          <w14:textFill>
            <w14:solidFill>
              <w14:schemeClr w14:val="tx1"/>
            </w14:solidFill>
          </w14:textFill>
        </w:rPr>
        <w:t xml:space="preserve">Shanghai Tenth People's Hospital </w:t>
      </w:r>
      <w:r>
        <w:rPr>
          <w:rFonts w:ascii="Times New Roman" w:hAnsi="Times New Roman" w:eastAsia="OTNEJMQuadraat" w:cs="Times New Roman"/>
          <w:sz w:val="22"/>
          <w:szCs w:val="22"/>
          <w:lang w:bidi="ar"/>
        </w:rPr>
        <w:t xml:space="preserve">and was reviewed and approved by the local ethic committee. </w:t>
      </w:r>
    </w:p>
    <w:p>
      <w:pPr>
        <w:spacing w:line="360" w:lineRule="auto"/>
        <w:jc w:val="both"/>
        <w:rPr>
          <w:rFonts w:ascii="Times New Roman" w:hAnsi="Times New Roman" w:eastAsia="OTNEJMQuadraat" w:cs="Times New Roman"/>
          <w:sz w:val="22"/>
          <w:szCs w:val="22"/>
          <w:lang w:bidi="ar"/>
        </w:rPr>
      </w:pPr>
      <w:r>
        <w:rPr>
          <w:rFonts w:ascii="Times New Roman" w:hAnsi="Times New Roman" w:eastAsia="OTNEJMQuadraat" w:cs="Times New Roman"/>
          <w:sz w:val="22"/>
          <w:szCs w:val="22"/>
          <w:lang w:bidi="ar"/>
        </w:rPr>
        <w:t xml:space="preserve">Patients received baseline computed tomography (CT) and/or magnetic resonance imaging (MRI) before treatment. Tumor size was evaluated monthly for three months and at regular intervals thereafter by CT, MRI. Tumor measurements and patient responses were determined according to Response Evaluation Criteria in Solid Tumor (RECIST). Duration of response in responding patients we calculated from the time of cell infusion. </w:t>
      </w:r>
      <w:r>
        <w:rPr>
          <w:rFonts w:ascii="Times New Roman" w:hAnsi="Times New Roman" w:eastAsia="OTNEJMQuadraat" w:cs="Times New Roman"/>
          <w:color w:val="000000" w:themeColor="text1"/>
          <w:sz w:val="22"/>
          <w:szCs w:val="22"/>
          <w:lang w:bidi="ar"/>
          <w14:textFill>
            <w14:solidFill>
              <w14:schemeClr w14:val="tx1"/>
            </w14:solidFill>
          </w14:textFill>
        </w:rPr>
        <w:t>The clinical treatment scheme and complete description of the clinical course are shown in the Supplementary Clinical Details section.</w:t>
      </w:r>
    </w:p>
    <w:p>
      <w:pPr>
        <w:spacing w:line="360" w:lineRule="auto"/>
        <w:outlineLvl w:val="1"/>
        <w:rPr>
          <w:rFonts w:ascii="Times New Roman" w:hAnsi="Times New Roman" w:eastAsia="OTNEJMQuadraat" w:cs="Times New Roman"/>
          <w:sz w:val="22"/>
          <w:szCs w:val="22"/>
          <w:lang w:bidi="ar"/>
        </w:rPr>
      </w:pPr>
      <w:r>
        <w:rPr>
          <w:rFonts w:ascii="Times New Roman" w:hAnsi="Times New Roman" w:eastAsia="OTNEJMQuadraat" w:cs="Times New Roman"/>
          <w:b/>
          <w:bCs/>
          <w:sz w:val="22"/>
          <w:szCs w:val="22"/>
          <w:lang w:bidi="ar"/>
        </w:rPr>
        <w:t xml:space="preserve">Generation of the Infusion Product </w:t>
      </w:r>
    </w:p>
    <w:p>
      <w:pPr>
        <w:spacing w:line="360" w:lineRule="auto"/>
        <w:jc w:val="both"/>
        <w:rPr>
          <w:rFonts w:ascii="Times New Roman" w:hAnsi="Times New Roman" w:eastAsia="OTNEJMQuadraat" w:cs="Times New Roman"/>
          <w:color w:val="000000" w:themeColor="text1"/>
          <w:sz w:val="22"/>
          <w:szCs w:val="22"/>
          <w:lang w:bidi="ar"/>
          <w14:textFill>
            <w14:solidFill>
              <w14:schemeClr w14:val="tx1"/>
            </w14:solidFill>
          </w14:textFill>
        </w:rPr>
      </w:pPr>
      <w:r>
        <w:rPr>
          <w:rFonts w:ascii="Times New Roman" w:hAnsi="Times New Roman" w:eastAsia="OTNEJMQuadraat" w:cs="Times New Roman"/>
          <w:sz w:val="22"/>
          <w:szCs w:val="22"/>
          <w:lang w:bidi="ar"/>
        </w:rPr>
        <w:t>The tumor specimen was fragmented mechanically according to the Good Manufacturing Practice (GMP) p</w:t>
      </w:r>
      <w:r>
        <w:rPr>
          <w:rFonts w:ascii="Times New Roman" w:hAnsi="Times New Roman" w:eastAsia="OTNEJMQuadraat" w:cs="Times New Roman"/>
          <w:color w:val="000000" w:themeColor="text1"/>
          <w:sz w:val="22"/>
          <w:szCs w:val="22"/>
          <w:lang w:bidi="ar"/>
          <w14:textFill>
            <w14:solidFill>
              <w14:schemeClr w14:val="tx1"/>
            </w14:solidFill>
          </w14:textFill>
        </w:rPr>
        <w:t>rocedure. Autologous TILs obtained from the pre-Rapid Expansion Protocol (pre-REP) culture as described previously</w:t>
      </w:r>
      <w:r>
        <w:rPr>
          <w:rFonts w:ascii="Times New Roman" w:hAnsi="Times New Roman" w:eastAsia="OTNEJMQuadraat" w:cs="Times New Roman"/>
          <w:color w:val="000000" w:themeColor="text1"/>
          <w:sz w:val="22"/>
          <w:szCs w:val="22"/>
          <w:lang w:bidi="ar"/>
          <w14:textFill>
            <w14:solidFill>
              <w14:schemeClr w14:val="tx1"/>
            </w14:solidFill>
          </w14:textFill>
        </w:rPr>
        <w:fldChar w:fldCharType="begin">
          <w:fldData xml:space="preserve">PEVuZE5vdGU+PENpdGU+PEF1dGhvcj5HdW88L0F1dGhvcj48WWVhcj4yMDIyPC9ZZWFyPjxSZWNO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</w:fldData>
        </w:fldChar>
      </w:r>
      <w:r>
        <w:rPr>
          <w:rFonts w:ascii="Times New Roman" w:hAnsi="Times New Roman" w:eastAsia="OTNEJMQuadraat" w:cs="Times New Roman"/>
          <w:color w:val="000000" w:themeColor="text1"/>
          <w:sz w:val="22"/>
          <w:szCs w:val="22"/>
          <w:lang w:bidi="ar"/>
          <w14:textFill>
            <w14:solidFill>
              <w14:schemeClr w14:val="tx1"/>
            </w14:solidFill>
          </w14:textFill>
        </w:rPr>
        <w:instrText xml:space="preserve"> ADDIN EN.CITE </w:instrText>
      </w:r>
      <w:r>
        <w:rPr>
          <w:rFonts w:ascii="Times New Roman" w:hAnsi="Times New Roman" w:eastAsia="OTNEJMQuadraat" w:cs="Times New Roman"/>
          <w:color w:val="000000" w:themeColor="text1"/>
          <w:sz w:val="22"/>
          <w:szCs w:val="22"/>
          <w:lang w:bidi="ar"/>
          <w14:textFill>
            <w14:solidFill>
              <w14:schemeClr w14:val="tx1"/>
            </w14:solidFill>
          </w14:textFill>
        </w:rPr>
        <w:fldChar w:fldCharType="begin">
          <w:fldData xml:space="preserve">PEVuZE5vdGU+PENpdGU+PEF1dGhvcj5HdW88L0F1dGhvcj48WWVhcj4yMDIyPC9ZZWFyPjxSZWNO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</w:fldData>
        </w:fldChar>
      </w:r>
      <w:r>
        <w:rPr>
          <w:rFonts w:ascii="Times New Roman" w:hAnsi="Times New Roman" w:eastAsia="OTNEJMQuadraat" w:cs="Times New Roman"/>
          <w:color w:val="000000" w:themeColor="text1"/>
          <w:sz w:val="22"/>
          <w:szCs w:val="22"/>
          <w:lang w:bidi="ar"/>
          <w14:textFill>
            <w14:solidFill>
              <w14:schemeClr w14:val="tx1"/>
            </w14:solidFill>
          </w14:textFill>
        </w:rPr>
        <w:instrText xml:space="preserve"> ADDIN EN.CITE.DATA </w:instrText>
      </w:r>
      <w:r>
        <w:rPr>
          <w:rFonts w:ascii="Times New Roman" w:hAnsi="Times New Roman" w:eastAsia="OTNEJMQuadraat" w:cs="Times New Roman"/>
          <w:color w:val="000000" w:themeColor="text1"/>
          <w:sz w:val="22"/>
          <w:szCs w:val="22"/>
          <w:lang w:bidi="ar"/>
          <w14:textFill>
            <w14:solidFill>
              <w14:schemeClr w14:val="tx1"/>
            </w14:solidFill>
          </w14:textFill>
        </w:rPr>
        <w:fldChar w:fldCharType="end"/>
      </w:r>
      <w:r>
        <w:rPr>
          <w:rFonts w:ascii="Times New Roman" w:hAnsi="Times New Roman" w:eastAsia="OTNEJMQuadraat" w:cs="Times New Roman"/>
          <w:color w:val="000000" w:themeColor="text1"/>
          <w:sz w:val="22"/>
          <w:szCs w:val="22"/>
          <w:lang w:bidi="ar"/>
          <w14:textFill>
            <w14:solidFill>
              <w14:schemeClr w14:val="tx1"/>
            </w14:solidFill>
          </w14:textFill>
        </w:rPr>
        <w:fldChar w:fldCharType="separate"/>
      </w:r>
      <w:r>
        <w:rPr>
          <w:rFonts w:ascii="Times New Roman" w:hAnsi="Times New Roman" w:eastAsia="OTNEJMQuadraat" w:cs="Times New Roman"/>
          <w:color w:val="000000" w:themeColor="text1"/>
          <w:sz w:val="22"/>
          <w:szCs w:val="22"/>
          <w:vertAlign w:val="superscript"/>
          <w:lang w:bidi="ar"/>
          <w14:textFill>
            <w14:solidFill>
              <w14:schemeClr w14:val="tx1"/>
            </w14:solidFill>
          </w14:textFill>
        </w:rPr>
        <w:t>6</w:t>
      </w:r>
      <w:r>
        <w:rPr>
          <w:rFonts w:ascii="Times New Roman" w:hAnsi="Times New Roman" w:eastAsia="OTNEJMQuadraat" w:cs="Times New Roman"/>
          <w:color w:val="000000" w:themeColor="text1"/>
          <w:sz w:val="22"/>
          <w:szCs w:val="22"/>
          <w:lang w:bidi="ar"/>
          <w14:textFill>
            <w14:solidFill>
              <w14:schemeClr w14:val="tx1"/>
            </w14:solidFill>
          </w14:textFill>
        </w:rPr>
        <w:fldChar w:fldCharType="end"/>
      </w:r>
      <w:r>
        <w:rPr>
          <w:rFonts w:ascii="Times New Roman" w:hAnsi="Times New Roman" w:eastAsia="OTNEJMQuadraat" w:cs="Times New Roman"/>
          <w:color w:val="000000" w:themeColor="text1"/>
          <w:sz w:val="22"/>
          <w:szCs w:val="22"/>
          <w:lang w:bidi="ar"/>
          <w14:textFill>
            <w14:solidFill>
              <w14:schemeClr w14:val="tx1"/>
            </w14:solidFill>
          </w14:textFill>
        </w:rPr>
        <w:t xml:space="preserve">. TILs were further subjected to electroporation, which a recombinant plasmid harboring both the mbIL-7 and PiggyBac transposase ORFs was introduced into pre-REP TILs. The electroporated pre-REP TILs were then cultured for 2-5 days and incubated for 2 days in a plate pre-coated with anti-CD3 antibody (Biolegend 317302) and anti-CD28 (R&amp;D MAB342-500). After a rapid expansion protocol consisting of X-VIVO 15 and rhIL-2 (300IU/mL), the cells were harvested for infusion. </w:t>
      </w:r>
    </w:p>
    <w:p>
      <w:pPr>
        <w:spacing w:line="360" w:lineRule="auto"/>
        <w:outlineLvl w:val="1"/>
        <w:rPr>
          <w:rFonts w:ascii="Times New Roman" w:hAnsi="Times New Roman" w:eastAsia="OTNEJMQuadraat" w:cs="Times New Roman"/>
          <w:b/>
          <w:bCs/>
          <w:sz w:val="22"/>
          <w:szCs w:val="22"/>
          <w:lang w:bidi="ar"/>
        </w:rPr>
      </w:pPr>
      <w:r>
        <w:rPr>
          <w:rFonts w:ascii="Times New Roman" w:hAnsi="Times New Roman" w:eastAsia="OTNEJMQuadraat" w:cs="Times New Roman"/>
          <w:b/>
          <w:bCs/>
          <w:sz w:val="22"/>
          <w:szCs w:val="22"/>
          <w:lang w:bidi="ar"/>
        </w:rPr>
        <w:t>Infusion Product Characterization and T-Cell Clones Assessing</w:t>
      </w:r>
    </w:p>
    <w:p>
      <w:pPr>
        <w:spacing w:line="360" w:lineRule="auto"/>
        <w:jc w:val="both"/>
        <w:rPr>
          <w:rFonts w:ascii="Times New Roman" w:hAnsi="Times New Roman" w:eastAsia="OTNEJMQuadraat" w:cs="Times New Roman"/>
          <w:color w:val="000000" w:themeColor="text1"/>
          <w:sz w:val="22"/>
          <w:szCs w:val="22"/>
          <w:lang w:bidi="ar"/>
          <w14:textFill>
            <w14:solidFill>
              <w14:schemeClr w14:val="tx1"/>
            </w14:solidFill>
          </w14:textFill>
        </w:rPr>
      </w:pPr>
      <w:r>
        <w:rPr>
          <w:rFonts w:ascii="Times New Roman" w:hAnsi="Times New Roman" w:eastAsia="OTNEJMQuadraat" w:cs="Times New Roman"/>
          <w:color w:val="000000" w:themeColor="text1"/>
          <w:sz w:val="22"/>
          <w:szCs w:val="22"/>
          <w:lang w:bidi="ar"/>
          <w14:textFill>
            <w14:solidFill>
              <w14:schemeClr w14:val="tx1"/>
            </w14:solidFill>
          </w14:textFill>
        </w:rPr>
        <w:t>Flow cytometry was employed to phenotype and detect immune cells in the infusion product and peripheral blood at various time points after cell infusion.</w:t>
      </w:r>
    </w:p>
    <w:p>
      <w:pPr>
        <w:spacing w:line="360" w:lineRule="auto"/>
        <w:jc w:val="both"/>
        <w:rPr>
          <w:rFonts w:ascii="Times New Roman" w:hAnsi="Times New Roman" w:eastAsia="OTNEJMQuadraat" w:cs="Times New Roman"/>
          <w:color w:val="000000" w:themeColor="text1"/>
          <w:sz w:val="22"/>
          <w:szCs w:val="22"/>
          <w:lang w:bidi="ar"/>
          <w14:textFill>
            <w14:solidFill>
              <w14:schemeClr w14:val="tx1"/>
            </w14:solidFill>
          </w14:textFill>
        </w:rPr>
      </w:pPr>
      <w:r>
        <w:rPr>
          <w:rFonts w:ascii="Times New Roman" w:hAnsi="Times New Roman" w:eastAsia="OTNEJMQuadraat" w:cs="Times New Roman"/>
          <w:color w:val="000000" w:themeColor="text1"/>
          <w:sz w:val="22"/>
          <w:szCs w:val="22"/>
          <w:lang w:bidi="ar"/>
          <w14:textFill>
            <w14:solidFill>
              <w14:schemeClr w14:val="tx1"/>
            </w14:solidFill>
          </w14:textFill>
        </w:rPr>
        <w:t>Deep sequencing was performed on the variable region of the T-cell receptor beta chain using peripheral blood samples obtained before and at various time points after cell infusion. This analysis aimed to assess the frequency of cell receptors reactive to the tumor.</w:t>
      </w:r>
    </w:p>
    <w:p>
      <w:pPr>
        <w:spacing w:before="312" w:beforeLines="100" w:line="480" w:lineRule="auto"/>
        <w:jc w:val="both"/>
        <w:outlineLvl w:val="1"/>
        <w:rPr>
          <w:rFonts w:ascii="Times New Roman" w:hAnsi="Times New Roman" w:eastAsia="OTNEJMQuadraat" w:cs="Times New Roman"/>
          <w:b/>
          <w:bCs/>
          <w:lang w:bidi="ar"/>
        </w:rPr>
      </w:pPr>
      <w:r>
        <w:rPr>
          <w:rFonts w:ascii="Times New Roman" w:hAnsi="Times New Roman" w:eastAsia="OTNEJMQuadraat" w:cs="Times New Roman"/>
          <w:b/>
          <w:bCs/>
          <w:lang w:bidi="ar"/>
        </w:rPr>
        <w:t xml:space="preserve">Flow </w:t>
      </w:r>
      <w:r>
        <w:rPr>
          <w:rFonts w:ascii="Times New Roman" w:hAnsi="Times New Roman" w:cs="Times New Roman" w:eastAsiaTheme="minorEastAsia"/>
          <w:b/>
          <w:bCs/>
          <w:lang w:bidi="ar"/>
        </w:rPr>
        <w:t>cytometry</w:t>
      </w:r>
    </w:p>
    <w:p>
      <w:pPr>
        <w:spacing w:line="480" w:lineRule="auto"/>
        <w:jc w:val="both"/>
        <w:rPr>
          <w:rFonts w:ascii="Times New Roman" w:hAnsi="Times New Roman" w:cs="Times New Roman" w:eastAsiaTheme="minorEastAsia"/>
          <w:lang w:bidi="ar"/>
        </w:rPr>
      </w:pPr>
      <w:r>
        <w:rPr>
          <w:rFonts w:ascii="Times New Roman" w:hAnsi="Times New Roman" w:eastAsia="OTNEJMQuadraat" w:cs="Times New Roman"/>
          <w:lang w:bidi="ar"/>
        </w:rPr>
        <w:t>Cells (2×10</w:t>
      </w:r>
      <w:r>
        <w:rPr>
          <w:rFonts w:ascii="Times New Roman" w:hAnsi="Times New Roman" w:eastAsia="OTNEJMQuadraat" w:cs="Times New Roman"/>
          <w:vertAlign w:val="superscript"/>
          <w:lang w:bidi="ar"/>
        </w:rPr>
        <w:t>6</w:t>
      </w:r>
      <w:r>
        <w:rPr>
          <w:rFonts w:ascii="Times New Roman" w:hAnsi="Times New Roman" w:eastAsia="OTNEJMQuadraat" w:cs="Times New Roman"/>
          <w:lang w:bidi="ar"/>
        </w:rPr>
        <w:t xml:space="preserve"> per analysis) were analyzed by flow cytometry, and data were analyzed using Flow cytometry data were analyzed using FCS express 7. Flow cytometry was used to evaluate transduction efficiency and expression of select cell surface markers. The following, anti-human flow cytometry antibodies were used in this report: CD3 (317340), CD4 (344618), CD8a (301038), CD25 (356104), CD28 (302950), CD39 (328236), CD44 (338808), CD45 (304036), CD56 (362542), CD57 (359608), CD69 (310965), CD137 (309808), CCR7 (353254), LAG-3 (369350), PD-1 (329950), TIGIT (372714), and TIM-3 (345034), all the antibodies above are from Biolegend. APC Streptavidin (554067) and anti-CD137 body (550890) are from BD.</w:t>
      </w:r>
    </w:p>
    <w:p>
      <w:pPr>
        <w:spacing w:line="360" w:lineRule="auto"/>
        <w:jc w:val="both"/>
        <w:rPr>
          <w:rFonts w:hint="eastAsia" w:ascii="Times New Roman" w:hAnsi="Times New Roman" w:cs="Times New Roman"/>
          <w:b/>
          <w:bCs/>
        </w:rPr>
        <w:sectPr>
          <w:pgSz w:w="11906" w:h="16838"/>
          <w:pgMar w:top="1440" w:right="1800" w:bottom="1440" w:left="1800" w:header="851" w:footer="992" w:gutter="0"/>
          <w:cols w:space="425" w:num="1"/>
          <w:docGrid w:type="lines" w:linePitch="312" w:charSpace="0"/>
        </w:sectPr>
      </w:pPr>
    </w:p>
    <w:p>
      <w:pPr>
        <w:spacing w:line="360" w:lineRule="auto"/>
        <w:jc w:val="both"/>
        <w:rPr>
          <w:rFonts w:hint="default" w:ascii="Times New Roman" w:hAnsi="Times New Roman" w:cs="Times New Roman"/>
          <w:b/>
          <w:bCs/>
          <w:lang w:val="en-US"/>
        </w:rPr>
      </w:pPr>
      <w:r>
        <w:rPr>
          <w:rFonts w:ascii="Times New Roman" w:hAnsi="Times New Roman" w:cs="Times New Roman"/>
          <w:b/>
          <w:bCs/>
        </w:rPr>
        <w:t xml:space="preserve">Supplementary </w:t>
      </w:r>
      <w:r>
        <w:rPr>
          <w:rFonts w:hint="default" w:ascii="Times New Roman" w:hAnsi="Times New Roman" w:cs="Times New Roman"/>
          <w:b/>
          <w:bCs/>
          <w:lang w:val="en-US"/>
        </w:rPr>
        <w:t>r</w:t>
      </w:r>
      <w:r>
        <w:rPr>
          <w:rFonts w:ascii="Times New Roman" w:hAnsi="Times New Roman" w:cs="Times New Roman"/>
          <w:b/>
          <w:bCs/>
        </w:rPr>
        <w:t>esults</w:t>
      </w:r>
      <w:r>
        <w:rPr>
          <w:rFonts w:hint="default" w:ascii="Times New Roman" w:hAnsi="Times New Roman" w:cs="Times New Roman"/>
          <w:b/>
          <w:bCs/>
          <w:lang w:val="en-US"/>
        </w:rPr>
        <w:t xml:space="preserve"> legends</w:t>
      </w:r>
    </w:p>
    <w:p>
      <w:pPr>
        <w:spacing w:line="360" w:lineRule="auto"/>
        <w:jc w:val="both"/>
        <w:rPr>
          <w:rFonts w:ascii="Times New Roman" w:hAnsi="Times New Roman" w:cs="Times New Roman" w:eastAsiaTheme="minorEastAsia"/>
          <w:color w:val="000000" w:themeColor="text1"/>
          <w:sz w:val="22"/>
          <w:szCs w:val="22"/>
          <w:lang w:bidi="ar"/>
          <w14:textFill>
            <w14:solidFill>
              <w14:schemeClr w14:val="tx1"/>
            </w14:solidFill>
          </w14:textFill>
        </w:rPr>
      </w:pPr>
      <w:r>
        <w:rPr>
          <w:rFonts w:ascii="Times New Roman" w:hAnsi="Times New Roman" w:cs="Times New Roman"/>
          <w:b/>
          <w:bCs/>
        </w:rPr>
        <w:t xml:space="preserve">Supplementary Figure </w:t>
      </w:r>
      <w:r>
        <w:rPr>
          <w:rFonts w:hint="default" w:ascii="Times New Roman" w:hAnsi="Times New Roman" w:cs="Times New Roman"/>
          <w:b/>
          <w:bCs/>
          <w:lang w:val="en-US"/>
        </w:rPr>
        <w:t>1</w:t>
      </w:r>
      <w:r>
        <w:rPr>
          <w:rFonts w:ascii="Times New Roman" w:hAnsi="Times New Roman" w:cs="Times New Roman" w:eastAsiaTheme="minorEastAsia"/>
          <w:b/>
          <w:bCs/>
          <w:color w:val="000000" w:themeColor="text1"/>
          <w:sz w:val="22"/>
          <w:szCs w:val="22"/>
          <w:lang w:bidi="ar"/>
          <w14:textFill>
            <w14:solidFill>
              <w14:schemeClr w14:val="tx1"/>
            </w14:solidFill>
          </w14:textFill>
        </w:rPr>
        <w:t xml:space="preserve"> Properties of membrane-bound IL-7 tumor infiltrating lymphocyte (mbIL-7 TIL). </w:t>
      </w:r>
      <w:r>
        <w:rPr>
          <w:rFonts w:ascii="Times New Roman" w:hAnsi="Times New Roman" w:cs="Times New Roman" w:eastAsiaTheme="minorEastAsia"/>
          <w:color w:val="000000" w:themeColor="text1"/>
          <w:sz w:val="22"/>
          <w:szCs w:val="22"/>
          <w:lang w:bidi="ar"/>
          <w14:textFill>
            <w14:solidFill>
              <w14:schemeClr w14:val="tx1"/>
            </w14:solidFill>
          </w14:textFill>
        </w:rPr>
        <w:t xml:space="preserve">(A, </w:t>
      </w:r>
      <w:r>
        <w:rPr>
          <w:rFonts w:hint="default" w:ascii="Times New Roman" w:hAnsi="Times New Roman" w:cs="Times New Roman" w:eastAsiaTheme="minorEastAsia"/>
          <w:color w:val="000000" w:themeColor="text1"/>
          <w:sz w:val="22"/>
          <w:szCs w:val="22"/>
          <w:lang w:val="en-US" w:bidi="ar"/>
          <w14:textFill>
            <w14:solidFill>
              <w14:schemeClr w14:val="tx1"/>
            </w14:solidFill>
          </w14:textFill>
        </w:rPr>
        <w:t>C</w:t>
      </w:r>
      <w:r>
        <w:rPr>
          <w:rFonts w:ascii="Times New Roman" w:hAnsi="Times New Roman" w:cs="Times New Roman" w:eastAsiaTheme="minorEastAsia"/>
          <w:color w:val="000000" w:themeColor="text1"/>
          <w:sz w:val="22"/>
          <w:szCs w:val="22"/>
          <w:lang w:bidi="ar"/>
          <w14:textFill>
            <w14:solidFill>
              <w14:schemeClr w14:val="tx1"/>
            </w14:solidFill>
          </w14:textFill>
        </w:rPr>
        <w:t xml:space="preserve">, </w:t>
      </w:r>
      <w:r>
        <w:rPr>
          <w:rFonts w:hint="default" w:ascii="Times New Roman" w:hAnsi="Times New Roman" w:cs="Times New Roman" w:eastAsiaTheme="minorEastAsia"/>
          <w:color w:val="000000" w:themeColor="text1"/>
          <w:sz w:val="22"/>
          <w:szCs w:val="22"/>
          <w:lang w:val="en-US" w:bidi="ar"/>
          <w14:textFill>
            <w14:solidFill>
              <w14:schemeClr w14:val="tx1"/>
            </w14:solidFill>
          </w14:textFill>
        </w:rPr>
        <w:t>E</w:t>
      </w:r>
      <w:r>
        <w:rPr>
          <w:rFonts w:ascii="Times New Roman" w:hAnsi="Times New Roman" w:cs="Times New Roman" w:eastAsiaTheme="minorEastAsia"/>
          <w:color w:val="000000" w:themeColor="text1"/>
          <w:sz w:val="22"/>
          <w:szCs w:val="22"/>
          <w:lang w:bidi="ar"/>
          <w14:textFill>
            <w14:solidFill>
              <w14:schemeClr w14:val="tx1"/>
            </w14:solidFill>
          </w14:textFill>
        </w:rPr>
        <w:t>) showed IL-7 expression in expanded TILs detected by flow cytometry;  (</w:t>
      </w:r>
      <w:r>
        <w:rPr>
          <w:rFonts w:hint="default" w:ascii="Times New Roman" w:hAnsi="Times New Roman" w:cs="Times New Roman" w:eastAsiaTheme="minorEastAsia"/>
          <w:color w:val="000000" w:themeColor="text1"/>
          <w:sz w:val="22"/>
          <w:szCs w:val="22"/>
          <w:lang w:val="en-US" w:bidi="ar"/>
          <w14:textFill>
            <w14:solidFill>
              <w14:schemeClr w14:val="tx1"/>
            </w14:solidFill>
          </w14:textFill>
        </w:rPr>
        <w:t>B</w:t>
      </w:r>
      <w:r>
        <w:rPr>
          <w:rFonts w:ascii="Times New Roman" w:hAnsi="Times New Roman" w:cs="Times New Roman" w:eastAsiaTheme="minorEastAsia"/>
          <w:color w:val="000000" w:themeColor="text1"/>
          <w:sz w:val="22"/>
          <w:szCs w:val="22"/>
          <w:lang w:bidi="ar"/>
          <w14:textFill>
            <w14:solidFill>
              <w14:schemeClr w14:val="tx1"/>
            </w14:solidFill>
          </w14:textFill>
        </w:rPr>
        <w:t xml:space="preserve">, </w:t>
      </w:r>
      <w:r>
        <w:rPr>
          <w:rFonts w:hint="default" w:ascii="Times New Roman" w:hAnsi="Times New Roman" w:cs="Times New Roman" w:eastAsiaTheme="minorEastAsia"/>
          <w:color w:val="000000" w:themeColor="text1"/>
          <w:sz w:val="22"/>
          <w:szCs w:val="22"/>
          <w:lang w:val="en-US" w:bidi="ar"/>
          <w14:textFill>
            <w14:solidFill>
              <w14:schemeClr w14:val="tx1"/>
            </w14:solidFill>
          </w14:textFill>
        </w:rPr>
        <w:t>D</w:t>
      </w:r>
      <w:r>
        <w:rPr>
          <w:rFonts w:ascii="Times New Roman" w:hAnsi="Times New Roman" w:cs="Times New Roman" w:eastAsiaTheme="minorEastAsia"/>
          <w:color w:val="000000" w:themeColor="text1"/>
          <w:sz w:val="22"/>
          <w:szCs w:val="22"/>
          <w:lang w:bidi="ar"/>
          <w14:textFill>
            <w14:solidFill>
              <w14:schemeClr w14:val="tx1"/>
            </w14:solidFill>
          </w14:textFill>
        </w:rPr>
        <w:t xml:space="preserve">, </w:t>
      </w:r>
      <w:r>
        <w:rPr>
          <w:rFonts w:hint="default" w:ascii="Times New Roman" w:hAnsi="Times New Roman" w:cs="Times New Roman" w:eastAsiaTheme="minorEastAsia"/>
          <w:color w:val="000000" w:themeColor="text1"/>
          <w:sz w:val="22"/>
          <w:szCs w:val="22"/>
          <w:lang w:val="en-US" w:bidi="ar"/>
          <w14:textFill>
            <w14:solidFill>
              <w14:schemeClr w14:val="tx1"/>
            </w14:solidFill>
          </w14:textFill>
        </w:rPr>
        <w:t>F</w:t>
      </w:r>
      <w:r>
        <w:rPr>
          <w:rFonts w:ascii="Times New Roman" w:hAnsi="Times New Roman" w:cs="Times New Roman" w:eastAsiaTheme="minorEastAsia"/>
          <w:color w:val="000000" w:themeColor="text1"/>
          <w:sz w:val="22"/>
          <w:szCs w:val="22"/>
          <w:lang w:bidi="ar"/>
          <w14:textFill>
            <w14:solidFill>
              <w14:schemeClr w14:val="tx1"/>
            </w14:solidFill>
          </w14:textFill>
        </w:rPr>
        <w:t>) showed changes in exogenous (blue) and endogenous (red) TCR clonotypes at day 90 after receiving cell therapy in 3 patients, respectively.</w:t>
      </w:r>
    </w:p>
    <w:p>
      <w:pPr>
        <w:spacing w:line="360" w:lineRule="auto"/>
        <w:jc w:val="both"/>
        <w:rPr>
          <w:rFonts w:hint="default" w:ascii="Times New Roman" w:hAnsi="Times New Roman" w:cs="Times New Roman" w:eastAsiaTheme="minorEastAsia"/>
          <w:color w:val="000000" w:themeColor="text1"/>
          <w:sz w:val="22"/>
          <w:szCs w:val="22"/>
          <w:lang w:val="en-US" w:bidi="ar"/>
          <w14:textFill>
            <w14:solidFill>
              <w14:schemeClr w14:val="tx1"/>
            </w14:solidFill>
          </w14:textFill>
        </w:rPr>
      </w:pPr>
    </w:p>
    <w:p>
      <w:pPr>
        <w:spacing w:line="360" w:lineRule="auto"/>
        <w:rPr>
          <w:rFonts w:ascii="Times New Roman" w:hAnsi="Times New Roman" w:cs="Times New Roman" w:eastAsiaTheme="minorEastAsia"/>
          <w:color w:val="000000" w:themeColor="text1"/>
          <w:sz w:val="22"/>
          <w:szCs w:val="22"/>
          <w:lang w:bidi="ar"/>
          <w14:textFill>
            <w14:solidFill>
              <w14:schemeClr w14:val="tx1"/>
            </w14:solidFill>
          </w14:textFill>
        </w:rPr>
      </w:pPr>
      <w:r>
        <w:rPr>
          <w:rFonts w:ascii="Times New Roman" w:hAnsi="Times New Roman" w:cs="Times New Roman"/>
          <w:b/>
          <w:bCs/>
        </w:rPr>
        <w:t>Supplementary Figure 2</w:t>
      </w:r>
      <w:r>
        <w:rPr>
          <w:rFonts w:ascii="Times New Roman" w:hAnsi="Times New Roman" w:cs="Times New Roman" w:eastAsiaTheme="minorEastAsia"/>
          <w:b/>
          <w:bCs/>
          <w:color w:val="000000" w:themeColor="text1"/>
          <w:sz w:val="22"/>
          <w:szCs w:val="22"/>
          <w:lang w:bidi="ar"/>
          <w14:textFill>
            <w14:solidFill>
              <w14:schemeClr w14:val="tx1"/>
            </w14:solidFill>
          </w14:textFill>
        </w:rPr>
        <w:t xml:space="preserve"> Properties of membrane-bound IL-7 tumor infiltrating lymphocyte (mbIL-7 TIL). </w:t>
      </w:r>
      <w:r>
        <w:rPr>
          <w:rFonts w:ascii="Times New Roman" w:hAnsi="Times New Roman" w:cs="Times New Roman" w:eastAsiaTheme="minorEastAsia"/>
          <w:color w:val="000000" w:themeColor="text1"/>
          <w:sz w:val="22"/>
          <w:szCs w:val="22"/>
          <w:lang w:bidi="ar"/>
          <w14:textFill>
            <w14:solidFill>
              <w14:schemeClr w14:val="tx1"/>
            </w14:solidFill>
          </w14:textFill>
        </w:rPr>
        <w:t>(A, D, G) showed IL-7 expression in expanded TILs detected by flow cytometry; (B, E, H) showed the transduced TIL in the peripheral blood as determined on PCR; (C, F, I) showed changes in exogenous (blue) and endogenous (red) TCR clonotypes at day 90 after receiving cell therapy in 3 patients, respectively.</w:t>
      </w:r>
    </w:p>
    <w:p/>
    <w:p>
      <w:pPr>
        <w:spacing w:line="360" w:lineRule="auto"/>
        <w:rPr>
          <w:rFonts w:ascii="Times New Roman" w:hAnsi="Times New Roman" w:cs="Times New Roman" w:eastAsiaTheme="minorEastAsia"/>
          <w:sz w:val="22"/>
          <w:szCs w:val="22"/>
          <w:lang w:bidi="ar"/>
        </w:rPr>
      </w:pPr>
      <w:r>
        <w:rPr>
          <w:rFonts w:ascii="Times New Roman" w:hAnsi="Times New Roman" w:cs="Times New Roman"/>
          <w:b/>
          <w:bCs/>
        </w:rPr>
        <w:t xml:space="preserve">Supplementary Figure3. </w:t>
      </w:r>
      <w:r>
        <w:rPr>
          <w:rFonts w:hint="default" w:ascii="Times New Roman" w:hAnsi="Times New Roman" w:cs="Times New Roman"/>
          <w:b/>
          <w:bCs/>
          <w:lang w:val="en-US"/>
        </w:rPr>
        <w:t>Clinical response</w:t>
      </w:r>
      <w:bookmarkStart w:id="2" w:name="_GoBack"/>
      <w:bookmarkEnd w:id="2"/>
      <w:r>
        <w:rPr>
          <w:rFonts w:ascii="Times New Roman" w:hAnsi="Times New Roman" w:cs="Times New Roman"/>
        </w:rPr>
        <w:t xml:space="preserve">. </w:t>
      </w:r>
      <w:r>
        <w:rPr>
          <w:rFonts w:ascii="Times New Roman" w:hAnsi="Times New Roman" w:cs="Times New Roman" w:eastAsiaTheme="minorEastAsia"/>
          <w:color w:val="000000" w:themeColor="text1"/>
          <w:sz w:val="22"/>
          <w:szCs w:val="22"/>
          <w:lang w:bidi="ar"/>
          <w14:textFill>
            <w14:solidFill>
              <w14:schemeClr w14:val="tx1"/>
            </w14:solidFill>
          </w14:textFill>
        </w:rPr>
        <w:t>(</w:t>
      </w:r>
      <w:r>
        <w:rPr>
          <w:rFonts w:hint="default" w:ascii="Times New Roman" w:hAnsi="Times New Roman" w:cs="Times New Roman" w:eastAsiaTheme="minorEastAsia"/>
          <w:color w:val="000000" w:themeColor="text1"/>
          <w:sz w:val="22"/>
          <w:szCs w:val="22"/>
          <w:lang w:val="en-US" w:bidi="ar"/>
          <w14:textFill>
            <w14:solidFill>
              <w14:schemeClr w14:val="tx1"/>
            </w14:solidFill>
          </w14:textFill>
        </w:rPr>
        <w:t>A</w:t>
      </w:r>
      <w:r>
        <w:rPr>
          <w:rFonts w:ascii="Times New Roman" w:hAnsi="Times New Roman" w:cs="Times New Roman" w:eastAsiaTheme="minorEastAsia"/>
          <w:color w:val="000000" w:themeColor="text1"/>
          <w:sz w:val="22"/>
          <w:szCs w:val="22"/>
          <w:lang w:bidi="ar"/>
          <w14:textFill>
            <w14:solidFill>
              <w14:schemeClr w14:val="tx1"/>
            </w14:solidFill>
          </w14:textFill>
        </w:rPr>
        <w:t xml:space="preserve">, </w:t>
      </w:r>
      <w:r>
        <w:rPr>
          <w:rFonts w:hint="default" w:ascii="Times New Roman" w:hAnsi="Times New Roman" w:cs="Times New Roman" w:eastAsiaTheme="minorEastAsia"/>
          <w:color w:val="000000" w:themeColor="text1"/>
          <w:sz w:val="22"/>
          <w:szCs w:val="22"/>
          <w:lang w:val="en-US" w:bidi="ar"/>
          <w14:textFill>
            <w14:solidFill>
              <w14:schemeClr w14:val="tx1"/>
            </w14:solidFill>
          </w14:textFill>
        </w:rPr>
        <w:t>C</w:t>
      </w:r>
      <w:r>
        <w:rPr>
          <w:rFonts w:ascii="Times New Roman" w:hAnsi="Times New Roman" w:cs="Times New Roman" w:eastAsiaTheme="minorEastAsia"/>
          <w:color w:val="000000" w:themeColor="text1"/>
          <w:sz w:val="22"/>
          <w:szCs w:val="22"/>
          <w:lang w:bidi="ar"/>
          <w14:textFill>
            <w14:solidFill>
              <w14:schemeClr w14:val="tx1"/>
            </w14:solidFill>
          </w14:textFill>
        </w:rPr>
        <w:t xml:space="preserve">, </w:t>
      </w:r>
      <w:r>
        <w:rPr>
          <w:rFonts w:hint="default" w:ascii="Times New Roman" w:hAnsi="Times New Roman" w:cs="Times New Roman" w:eastAsiaTheme="minorEastAsia"/>
          <w:color w:val="000000" w:themeColor="text1"/>
          <w:sz w:val="22"/>
          <w:szCs w:val="22"/>
          <w:lang w:val="en-US" w:bidi="ar"/>
          <w14:textFill>
            <w14:solidFill>
              <w14:schemeClr w14:val="tx1"/>
            </w14:solidFill>
          </w14:textFill>
        </w:rPr>
        <w:t>E</w:t>
      </w:r>
      <w:r>
        <w:rPr>
          <w:rFonts w:ascii="Times New Roman" w:hAnsi="Times New Roman" w:cs="Times New Roman" w:eastAsiaTheme="minorEastAsia"/>
          <w:color w:val="000000" w:themeColor="text1"/>
          <w:sz w:val="22"/>
          <w:szCs w:val="22"/>
          <w:lang w:bidi="ar"/>
          <w14:textFill>
            <w14:solidFill>
              <w14:schemeClr w14:val="tx1"/>
            </w14:solidFill>
          </w14:textFill>
        </w:rPr>
        <w:t>) showed changes in absolute blood cell counts after lymphodepletion and TIL infusion;  (</w:t>
      </w:r>
      <w:r>
        <w:rPr>
          <w:rFonts w:hint="default" w:ascii="Times New Roman" w:hAnsi="Times New Roman" w:cs="Times New Roman" w:eastAsiaTheme="minorEastAsia"/>
          <w:color w:val="000000" w:themeColor="text1"/>
          <w:sz w:val="22"/>
          <w:szCs w:val="22"/>
          <w:lang w:val="en-US" w:bidi="ar"/>
          <w14:textFill>
            <w14:solidFill>
              <w14:schemeClr w14:val="tx1"/>
            </w14:solidFill>
          </w14:textFill>
        </w:rPr>
        <w:t>B</w:t>
      </w:r>
      <w:r>
        <w:rPr>
          <w:rFonts w:ascii="Times New Roman" w:hAnsi="Times New Roman" w:cs="Times New Roman" w:eastAsiaTheme="minorEastAsia"/>
          <w:color w:val="000000" w:themeColor="text1"/>
          <w:sz w:val="22"/>
          <w:szCs w:val="22"/>
          <w:lang w:bidi="ar"/>
          <w14:textFill>
            <w14:solidFill>
              <w14:schemeClr w14:val="tx1"/>
            </w14:solidFill>
          </w14:textFill>
        </w:rPr>
        <w:t xml:space="preserve">, </w:t>
      </w:r>
      <w:r>
        <w:rPr>
          <w:rFonts w:hint="default" w:ascii="Times New Roman" w:hAnsi="Times New Roman" w:cs="Times New Roman" w:eastAsiaTheme="minorEastAsia"/>
          <w:color w:val="000000" w:themeColor="text1"/>
          <w:sz w:val="22"/>
          <w:szCs w:val="22"/>
          <w:lang w:val="en-US" w:bidi="ar"/>
          <w14:textFill>
            <w14:solidFill>
              <w14:schemeClr w14:val="tx1"/>
            </w14:solidFill>
          </w14:textFill>
        </w:rPr>
        <w:t>D</w:t>
      </w:r>
      <w:r>
        <w:rPr>
          <w:rFonts w:ascii="Times New Roman" w:hAnsi="Times New Roman" w:cs="Times New Roman" w:eastAsiaTheme="minorEastAsia"/>
          <w:color w:val="000000" w:themeColor="text1"/>
          <w:sz w:val="22"/>
          <w:szCs w:val="22"/>
          <w:lang w:bidi="ar"/>
          <w14:textFill>
            <w14:solidFill>
              <w14:schemeClr w14:val="tx1"/>
            </w14:solidFill>
          </w14:textFill>
        </w:rPr>
        <w:t xml:space="preserve">, </w:t>
      </w:r>
      <w:r>
        <w:rPr>
          <w:rFonts w:hint="default" w:ascii="Times New Roman" w:hAnsi="Times New Roman" w:cs="Times New Roman" w:eastAsiaTheme="minorEastAsia"/>
          <w:color w:val="000000" w:themeColor="text1"/>
          <w:sz w:val="22"/>
          <w:szCs w:val="22"/>
          <w:lang w:val="en-US" w:bidi="ar"/>
          <w14:textFill>
            <w14:solidFill>
              <w14:schemeClr w14:val="tx1"/>
            </w14:solidFill>
          </w14:textFill>
        </w:rPr>
        <w:t>F</w:t>
      </w:r>
      <w:r>
        <w:rPr>
          <w:rFonts w:ascii="Times New Roman" w:hAnsi="Times New Roman" w:cs="Times New Roman" w:eastAsiaTheme="minorEastAsia"/>
          <w:color w:val="000000" w:themeColor="text1"/>
          <w:sz w:val="22"/>
          <w:szCs w:val="22"/>
          <w:lang w:bidi="ar"/>
          <w14:textFill>
            <w14:solidFill>
              <w14:schemeClr w14:val="tx1"/>
            </w14:solidFill>
          </w14:textFill>
        </w:rPr>
        <w:t>) showed the level of tumor biomarker, CA125, CA 19-9, or HE-4 which was abnormal.</w:t>
      </w:r>
    </w:p>
    <w:p>
      <w:pPr>
        <w:spacing w:line="360" w:lineRule="auto"/>
        <w:jc w:val="left"/>
        <w:rPr>
          <w:rFonts w:hint="default" w:ascii="Times New Roman" w:hAnsi="Times New Roman" w:cs="Times New Roman"/>
          <w:b/>
          <w:bCs/>
          <w:lang w:val="en-US"/>
        </w:rPr>
      </w:pPr>
      <w:r>
        <w:rPr>
          <w:rFonts w:ascii="Times New Roman" w:hAnsi="Times New Roman" w:cs="Times New Roman"/>
          <w:b/>
          <w:bCs/>
        </w:rPr>
        <w:br w:type="textWrapping"/>
      </w:r>
      <w:r>
        <w:rPr>
          <w:rFonts w:ascii="Times New Roman" w:hAnsi="Times New Roman" w:cs="Times New Roman"/>
          <w:b/>
          <w:bCs/>
        </w:rPr>
        <w:t xml:space="preserve">Supplementary Figure </w:t>
      </w:r>
      <w:r>
        <w:rPr>
          <w:rFonts w:hint="default" w:ascii="Times New Roman" w:hAnsi="Times New Roman" w:cs="Times New Roman"/>
          <w:b/>
          <w:bCs/>
          <w:lang w:val="en-US"/>
        </w:rPr>
        <w:t>4 T</w:t>
      </w:r>
      <w:r>
        <w:rPr>
          <w:rFonts w:ascii="Times New Roman" w:hAnsi="Times New Roman" w:cs="Times New Roman"/>
          <w:b/>
          <w:bCs/>
        </w:rPr>
        <w:t>he biopsy confirmed necrosis with high level of mIL-7</w:t>
      </w:r>
      <w:r>
        <w:rPr>
          <w:rFonts w:hint="default" w:ascii="Times New Roman" w:hAnsi="Times New Roman" w:cs="Times New Roman"/>
          <w:b/>
          <w:bCs/>
          <w:lang w:val="en-US"/>
        </w:rPr>
        <w:t>.</w:t>
      </w:r>
      <w:r>
        <w:rPr>
          <w:rFonts w:ascii="Times New Roman" w:hAnsi="Times New Roman" w:cs="Times New Roman"/>
          <w:b/>
          <w:bCs/>
        </w:rPr>
        <w:t xml:space="preserve"> </w:t>
      </w:r>
    </w:p>
    <w:p>
      <w:pPr>
        <w:spacing w:line="360" w:lineRule="auto"/>
        <w:jc w:val="both"/>
        <w:rPr>
          <w:rFonts w:ascii="Times New Roman" w:hAnsi="Times New Roman" w:cs="Times New Roman"/>
        </w:rPr>
      </w:pPr>
    </w:p>
    <w:p>
      <w:pPr>
        <w:spacing w:line="360" w:lineRule="auto"/>
        <w:rPr>
          <w:rFonts w:ascii="Times New Roman" w:hAnsi="Times New Roman" w:cs="Times New Roman"/>
        </w:rPr>
      </w:pPr>
      <w:r>
        <w:rPr>
          <w:rFonts w:ascii="Times New Roman" w:hAnsi="Times New Roman" w:cs="Times New Roman"/>
          <w:b/>
          <w:bCs/>
        </w:rPr>
        <w:t xml:space="preserve">Supplementary </w:t>
      </w:r>
      <w:bookmarkStart w:id="1" w:name="_Hlk158127198"/>
      <w:r>
        <w:rPr>
          <w:rFonts w:ascii="Times New Roman" w:hAnsi="Times New Roman" w:cs="Times New Roman"/>
          <w:b/>
          <w:bCs/>
        </w:rPr>
        <w:t xml:space="preserve">Figure </w:t>
      </w:r>
      <w:bookmarkEnd w:id="1"/>
      <w:r>
        <w:rPr>
          <w:rFonts w:hint="default" w:ascii="Times New Roman" w:hAnsi="Times New Roman" w:cs="Times New Roman"/>
          <w:b/>
          <w:bCs/>
          <w:lang w:val="en-US"/>
        </w:rPr>
        <w:t>5</w:t>
      </w:r>
      <w:r>
        <w:rPr>
          <w:rFonts w:ascii="Times New Roman" w:hAnsi="Times New Roman" w:cs="Times New Roman"/>
          <w:b/>
          <w:bCs/>
        </w:rPr>
        <w:t>. Schematic Diagram of</w:t>
      </w:r>
      <w:r>
        <w:rPr>
          <w:rFonts w:ascii="Times New Roman" w:hAnsi="Times New Roman" w:cs="Times New Roman" w:eastAsiaTheme="minorEastAsia"/>
          <w:b/>
          <w:bCs/>
          <w:color w:val="000000" w:themeColor="text1"/>
          <w:sz w:val="22"/>
          <w:szCs w:val="22"/>
          <w:lang w:bidi="ar"/>
          <w14:textFill>
            <w14:solidFill>
              <w14:schemeClr w14:val="tx1"/>
            </w14:solidFill>
          </w14:textFill>
        </w:rPr>
        <w:t xml:space="preserve"> membrane-bound IL-7 tumor infiltrating lymphocyte (mbIL-7 TIL)</w:t>
      </w:r>
      <w:r>
        <w:rPr>
          <w:rFonts w:ascii="Times New Roman" w:hAnsi="Times New Roman" w:cs="Times New Roman"/>
          <w:b/>
          <w:bCs/>
        </w:rPr>
        <w:t xml:space="preserve"> Therapy. </w:t>
      </w:r>
      <w:r>
        <w:rPr>
          <w:rFonts w:ascii="Times New Roman" w:hAnsi="Times New Roman" w:cs="Times New Roman"/>
        </w:rPr>
        <w:t>The mbIL-7 molecules harboring a glycosylphosphatidylinositol (GPI) structure are more likely to cluster on the plasma membrane surface and induce self-stimulation and stimulation of nearby immune effector cells, especially intra-tumor location.</w:t>
      </w:r>
    </w:p>
    <w:p/>
    <w:p>
      <w:pPr>
        <w:spacing w:line="360" w:lineRule="auto"/>
        <w:jc w:val="cente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OTNEJMQuadraat">
    <w:altName w:val="苹方-简"/>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D92"/>
    <w:rsid w:val="00136E62"/>
    <w:rsid w:val="004405D7"/>
    <w:rsid w:val="00564E70"/>
    <w:rsid w:val="005D5A1A"/>
    <w:rsid w:val="005E7D92"/>
    <w:rsid w:val="00630B66"/>
    <w:rsid w:val="0069591C"/>
    <w:rsid w:val="00865781"/>
    <w:rsid w:val="009978B0"/>
    <w:rsid w:val="00A34067"/>
    <w:rsid w:val="00DA1752"/>
    <w:rsid w:val="00EA1987"/>
    <w:rsid w:val="00EA6899"/>
    <w:rsid w:val="3F76F1F5"/>
    <w:rsid w:val="6BFE2F2D"/>
    <w:rsid w:val="76F78C17"/>
    <w:rsid w:val="7ED704D4"/>
    <w:rsid w:val="86EF8415"/>
    <w:rsid w:val="FEDEBF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rFonts w:ascii="宋体" w:hAnsi="宋体" w:eastAsia="宋体" w:cs="宋体"/>
      <w:kern w:val="0"/>
      <w:sz w:val="18"/>
      <w:szCs w:val="18"/>
    </w:rPr>
  </w:style>
  <w:style w:type="character" w:customStyle="1" w:styleId="36">
    <w:name w:val="页脚 字符"/>
    <w:basedOn w:val="16"/>
    <w:link w:val="11"/>
    <w:qFormat/>
    <w:uiPriority w:val="99"/>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566</Words>
  <Characters>3232</Characters>
  <Lines>26</Lines>
  <Paragraphs>7</Paragraphs>
  <TotalTime>2</TotalTime>
  <ScaleCrop>false</ScaleCrop>
  <LinksUpToDate>false</LinksUpToDate>
  <CharactersWithSpaces>3791</CharactersWithSpaces>
  <Application>WPS Office_6.3.0.8471_F1E327BC-269C-435d-A152-05C5408002CA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2024-02-07T05:44:00Z</dcterms:created>
  <dc:creator>ZWJ</dc:creator>
  <cp:lastModifiedBy>qinchao</cp:lastModifiedBy>
  <dcterms:modified xsi:type="dcterms:W3CDTF">2024-03-15T00:34:08Z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2052-6.3.0.8471</vt:lpwstr>
  </property>
  <property fmtid="{D5CDD505-2E9C-101B-9397-08002B2CF9AE}" pid="3" name="ICV">
    <vt:lpwstr>406FA0C989D64646C3E2C4654C2EA67A_42</vt:lpwstr>
  </property>
</Properties>
</file>