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21D4B" w14:textId="77777777" w:rsidR="0037398B" w:rsidRPr="007E44E7" w:rsidRDefault="0037398B" w:rsidP="0037398B">
      <w:pPr>
        <w:spacing w:line="360" w:lineRule="auto"/>
        <w:rPr>
          <w:lang w:val="en-GB"/>
        </w:rPr>
      </w:pPr>
      <w:r w:rsidRPr="007E44E7">
        <w:rPr>
          <w:b/>
          <w:lang w:val="en-GB"/>
        </w:rPr>
        <w:t>Table 1</w:t>
      </w:r>
      <w:r w:rsidRPr="007E44E7">
        <w:rPr>
          <w:lang w:val="en-GB"/>
        </w:rPr>
        <w:t xml:space="preserve"> </w:t>
      </w:r>
      <w:r w:rsidRPr="007E44E7" w:rsidDel="0045507F">
        <w:rPr>
          <w:lang w:val="en-GB"/>
        </w:rPr>
        <w:t xml:space="preserve"> </w:t>
      </w:r>
      <w:r w:rsidRPr="007E44E7">
        <w:rPr>
          <w:lang w:val="en-GB"/>
        </w:rPr>
        <w:t>Clinician enrolment, intervention and data collection in the Virtual Antimicrobial Stewardship Trial among Nursing Home clinicians in the Netherlands, 2023-2024, SPIRIT schedule.</w:t>
      </w:r>
    </w:p>
    <w:tbl>
      <w:tblPr>
        <w:tblW w:w="9938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1221"/>
        <w:gridCol w:w="1275"/>
        <w:gridCol w:w="993"/>
        <w:gridCol w:w="992"/>
        <w:gridCol w:w="992"/>
        <w:gridCol w:w="1134"/>
        <w:gridCol w:w="1276"/>
      </w:tblGrid>
      <w:tr w:rsidR="0037398B" w:rsidRPr="00A077B1" w14:paraId="77298D8C" w14:textId="77777777" w:rsidTr="00631230">
        <w:trPr>
          <w:trHeight w:val="332"/>
        </w:trPr>
        <w:tc>
          <w:tcPr>
            <w:tcW w:w="2055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028AB0F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883" w:type="dxa"/>
            <w:gridSpan w:val="7"/>
            <w:tcBorders>
              <w:top w:val="single" w:sz="4" w:space="0" w:color="262626"/>
              <w:left w:val="single" w:sz="12" w:space="0" w:color="auto"/>
              <w:right w:val="single" w:sz="8" w:space="0" w:color="262626"/>
            </w:tcBorders>
            <w:vAlign w:val="center"/>
          </w:tcPr>
          <w:p w14:paraId="1DB30091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PERIOD</w:t>
            </w:r>
          </w:p>
        </w:tc>
      </w:tr>
      <w:tr w:rsidR="0037398B" w:rsidRPr="00A077B1" w14:paraId="68C70AD4" w14:textId="77777777" w:rsidTr="00631230">
        <w:trPr>
          <w:trHeight w:val="363"/>
        </w:trPr>
        <w:tc>
          <w:tcPr>
            <w:tcW w:w="2055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102820A9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21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E799CF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Enrolment</w:t>
            </w:r>
          </w:p>
        </w:tc>
        <w:tc>
          <w:tcPr>
            <w:tcW w:w="1275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A881BC1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sz w:val="20"/>
                <w:szCs w:val="20"/>
                <w:lang w:val="en-GB"/>
              </w:rPr>
              <w:t>Allocation</w:t>
            </w:r>
          </w:p>
        </w:tc>
        <w:tc>
          <w:tcPr>
            <w:tcW w:w="4111" w:type="dxa"/>
            <w:gridSpan w:val="4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29D9B8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sz w:val="20"/>
                <w:szCs w:val="20"/>
                <w:lang w:val="en-GB"/>
              </w:rPr>
              <w:t>Data-collection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53651AE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sz w:val="20"/>
                <w:szCs w:val="20"/>
                <w:lang w:val="en-GB"/>
              </w:rPr>
              <w:t>Close-out</w:t>
            </w:r>
          </w:p>
        </w:tc>
      </w:tr>
      <w:tr w:rsidR="0037398B" w:rsidRPr="00A077B1" w14:paraId="4FE02527" w14:textId="77777777" w:rsidTr="00631230">
        <w:trPr>
          <w:trHeight w:val="345"/>
        </w:trPr>
        <w:tc>
          <w:tcPr>
            <w:tcW w:w="2055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36F75636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TIMEPOINT**</w:t>
            </w:r>
          </w:p>
        </w:tc>
        <w:tc>
          <w:tcPr>
            <w:tcW w:w="1221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49B31E5F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-2</w:t>
            </w:r>
          </w:p>
        </w:tc>
        <w:tc>
          <w:tcPr>
            <w:tcW w:w="1275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77A10AA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-1</w:t>
            </w: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7822E1A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0</w:t>
            </w:r>
          </w:p>
          <w:p w14:paraId="6D3822B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(0 weeks)</w:t>
            </w:r>
          </w:p>
        </w:tc>
        <w:tc>
          <w:tcPr>
            <w:tcW w:w="992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1D99300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1</w:t>
            </w:r>
          </w:p>
          <w:p w14:paraId="18D4837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(16 weeks)</w:t>
            </w:r>
          </w:p>
        </w:tc>
        <w:tc>
          <w:tcPr>
            <w:tcW w:w="992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2BC5316C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2</w:t>
            </w:r>
          </w:p>
          <w:p w14:paraId="4705BC00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(32 weeks)</w:t>
            </w: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420A159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3</w:t>
            </w:r>
          </w:p>
          <w:p w14:paraId="17EAB6D8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(36 weeks)</w:t>
            </w: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22753B6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t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x</w:t>
            </w:r>
          </w:p>
          <w:p w14:paraId="0674F4C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  <w:lang w:val="en-GB"/>
              </w:rPr>
              <w:t>(&gt;36 weeks)</w:t>
            </w:r>
          </w:p>
        </w:tc>
      </w:tr>
      <w:tr w:rsidR="0037398B" w:rsidRPr="00A077B1" w14:paraId="1CAA87F3" w14:textId="77777777" w:rsidTr="00631230">
        <w:trPr>
          <w:trHeight w:val="540"/>
        </w:trPr>
        <w:tc>
          <w:tcPr>
            <w:tcW w:w="2055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FE2A59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ENROLMENT:</w:t>
            </w:r>
          </w:p>
        </w:tc>
        <w:tc>
          <w:tcPr>
            <w:tcW w:w="1221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14:paraId="05AB88B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14:paraId="20A90CB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14:paraId="105A2E8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6EB7237D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02D972B1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6B11A29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bottom"/>
          </w:tcPr>
          <w:p w14:paraId="1E96DD0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2EE9C177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52E3B69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sz w:val="20"/>
                <w:szCs w:val="20"/>
                <w:lang w:val="en-GB"/>
              </w:rPr>
              <w:t>Eligibility screen</w:t>
            </w:r>
          </w:p>
        </w:tc>
        <w:tc>
          <w:tcPr>
            <w:tcW w:w="1221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9AA0595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AA5082F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837D1D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7AB625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AA7F62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E5B98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10C4617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3ABA6935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AFB54A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sz w:val="20"/>
                <w:szCs w:val="20"/>
                <w:lang w:val="en-GB"/>
              </w:rPr>
              <w:t>Informed consent</w:t>
            </w:r>
            <w:r w:rsidRPr="00A077B1" w:rsidDel="003C5F2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7CAC78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275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955523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9410A50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1F35673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5EC5A61C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5F82670C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28B8204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3B0EA3FD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C62D8F1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Allocation</w:t>
            </w:r>
          </w:p>
        </w:tc>
        <w:tc>
          <w:tcPr>
            <w:tcW w:w="1221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729625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9AEF781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3859DD6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6A900545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32271922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0FC0ADD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00398E2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5039F237" w14:textId="77777777" w:rsidTr="00631230">
        <w:trPr>
          <w:trHeight w:val="540"/>
        </w:trPr>
        <w:tc>
          <w:tcPr>
            <w:tcW w:w="2055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B6017F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INTERVENTIONS:</w:t>
            </w:r>
          </w:p>
        </w:tc>
        <w:tc>
          <w:tcPr>
            <w:tcW w:w="1221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50642C2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DFF4EF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684BE9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D912397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40F252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41240EF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B51E7E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23800B57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0E0065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Intervention arm (VAT)</w:t>
            </w:r>
          </w:p>
        </w:tc>
        <w:tc>
          <w:tcPr>
            <w:tcW w:w="1221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632096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8A028D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34B60D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noProof/>
                <w:sz w:val="20"/>
                <w:szCs w:val="20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F5CB4A" wp14:editId="2D84AF46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130175</wp:posOffset>
                      </wp:positionV>
                      <wp:extent cx="2571750" cy="0"/>
                      <wp:effectExtent l="38100" t="38100" r="57150" b="57150"/>
                      <wp:wrapNone/>
                      <wp:docPr id="2" name="Rechte verbindingslij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ln w="25400">
                                <a:headEnd type="oval"/>
                                <a:tailEnd type="oval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DA6A6" id="Rechte verbindingslijn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10.25pt" to="198.2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" strokecolor="black [3200]" strokeweight="2pt">
                      <v:stroke startarrow="oval" endarrow="oval"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DCF4D22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4CEE53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003B92D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087C4C1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470D79" w14:paraId="3335CCF5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23FC990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Standard of care arm</w:t>
            </w:r>
          </w:p>
        </w:tc>
        <w:tc>
          <w:tcPr>
            <w:tcW w:w="1221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424500C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01FBD6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CB30EAF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en-GB" w:eastAsia="nl-NL"/>
              </w:rPr>
            </w:pPr>
            <w:r w:rsidRPr="00A077B1">
              <w:rPr>
                <w:rFonts w:ascii="Arial" w:hAnsi="Arial" w:cs="Arial"/>
                <w:noProof/>
                <w:sz w:val="20"/>
                <w:szCs w:val="20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44DEA7" wp14:editId="2B1E9EC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126365</wp:posOffset>
                      </wp:positionV>
                      <wp:extent cx="2571750" cy="0"/>
                      <wp:effectExtent l="38100" t="38100" r="57150" b="57150"/>
                      <wp:wrapNone/>
                      <wp:docPr id="3" name="Rechte verbindingslij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ln w="25400">
                                <a:headEnd type="oval"/>
                                <a:tailEnd type="oval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783FB" id="Rechte verbindingslijn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9.95pt" to="19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" strokecolor="black [3200]" strokeweight="2pt">
                      <v:stroke startarrow="oval" endarrow="oval"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C4734B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12BEA5A8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6E5C897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84D294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2AD16197" w14:textId="77777777" w:rsidTr="00631230">
        <w:trPr>
          <w:trHeight w:val="540"/>
        </w:trPr>
        <w:tc>
          <w:tcPr>
            <w:tcW w:w="2055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2049B03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ASSESSMENTS:</w:t>
            </w:r>
          </w:p>
        </w:tc>
        <w:tc>
          <w:tcPr>
            <w:tcW w:w="1221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5BB8AE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6CD487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tcBorders>
              <w:top w:val="single" w:sz="12" w:space="0" w:color="262626"/>
              <w:left w:val="single" w:sz="12" w:space="0" w:color="262626"/>
            </w:tcBorders>
            <w:shd w:val="clear" w:color="auto" w:fill="auto"/>
            <w:vAlign w:val="center"/>
          </w:tcPr>
          <w:p w14:paraId="7C62CBA2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752AF917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0CA2CF4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12" w:space="0" w:color="262626"/>
            </w:tcBorders>
            <w:shd w:val="clear" w:color="auto" w:fill="auto"/>
            <w:vAlign w:val="center"/>
          </w:tcPr>
          <w:p w14:paraId="5CF6D49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0446CA7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7398B" w:rsidRPr="00A077B1" w14:paraId="4F48B90E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D99A018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Clinician characteristics</w:t>
            </w:r>
          </w:p>
        </w:tc>
        <w:tc>
          <w:tcPr>
            <w:tcW w:w="1221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99F821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74DE61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280323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12E3C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B9694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0827F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55F2663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</w:tr>
      <w:tr w:rsidR="0037398B" w:rsidRPr="00A077B1" w14:paraId="1500D22E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3F01CD6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Primary outcome </w:t>
            </w:r>
            <w:r w:rsidRPr="007F0014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In</w:t>
            </w:r>
            <w:r w:rsidRPr="00A077B1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appropriate antibiotic prescribing</w:t>
            </w:r>
          </w:p>
        </w:tc>
        <w:tc>
          <w:tcPr>
            <w:tcW w:w="1221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D8F13EA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4FBA724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547CD39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98BF92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FA4943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D967AE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F6B5DF8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</w:tr>
      <w:tr w:rsidR="0037398B" w:rsidRPr="00A077B1" w14:paraId="6FD4F664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B8BF571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Secondary outcome 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br/>
            </w:r>
            <w:r w:rsidRPr="00A077B1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IR of antibiotic prescriptions</w:t>
            </w:r>
          </w:p>
        </w:tc>
        <w:tc>
          <w:tcPr>
            <w:tcW w:w="1221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353DBE0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326E27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3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5CAAAA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017DB8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40C665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0806A2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9F324B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</w:tr>
      <w:tr w:rsidR="0037398B" w:rsidRPr="00A077B1" w14:paraId="4FF58DEB" w14:textId="77777777" w:rsidTr="00631230">
        <w:trPr>
          <w:trHeight w:val="540"/>
        </w:trPr>
        <w:tc>
          <w:tcPr>
            <w:tcW w:w="2055" w:type="dxa"/>
            <w:tcBorders>
              <w:top w:val="nil"/>
              <w:bottom w:val="single" w:sz="4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57FD6013" w14:textId="77777777" w:rsidR="0037398B" w:rsidRPr="00A077B1" w:rsidRDefault="0037398B" w:rsidP="00631230">
            <w:pPr>
              <w:jc w:val="right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Secondary outcome </w:t>
            </w:r>
            <w:r w:rsidRPr="00A077B1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  <w:lang w:val="en-GB"/>
              </w:rPr>
              <w:t>P</w:t>
            </w:r>
            <w:r w:rsidRPr="00A077B1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  <w:lang w:val="en-GB"/>
              </w:rPr>
              <w:t>rocess evaluation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E5B9B9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color w:val="AEAAAA" w:themeColor="background2" w:themeShade="BF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B6C8570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993" w:type="dxa"/>
            <w:tcBorders>
              <w:left w:val="single" w:sz="12" w:space="0" w:color="262626"/>
              <w:bottom w:val="single" w:sz="4" w:space="0" w:color="262626"/>
            </w:tcBorders>
            <w:shd w:val="clear" w:color="auto" w:fill="auto"/>
            <w:vAlign w:val="center"/>
          </w:tcPr>
          <w:p w14:paraId="5D47D92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2862813D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992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6604D35B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  <w:r w:rsidRPr="00A077B1">
              <w:rPr>
                <w:rFonts w:ascii="Arial" w:hAnsi="Arial" w:cs="Arial"/>
                <w:szCs w:val="20"/>
                <w:lang w:val="en-GB"/>
              </w:rPr>
              <w:t>X</w:t>
            </w:r>
          </w:p>
        </w:tc>
        <w:tc>
          <w:tcPr>
            <w:tcW w:w="1134" w:type="dxa"/>
            <w:tcBorders>
              <w:bottom w:val="single" w:sz="4" w:space="0" w:color="262626"/>
            </w:tcBorders>
            <w:shd w:val="clear" w:color="auto" w:fill="auto"/>
            <w:vAlign w:val="center"/>
          </w:tcPr>
          <w:p w14:paraId="622D2DDC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color w:val="AEAAAA" w:themeColor="background2" w:themeShade="BF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7A454F06" w14:textId="77777777" w:rsidR="0037398B" w:rsidRPr="00A077B1" w:rsidRDefault="0037398B" w:rsidP="00631230">
            <w:pPr>
              <w:jc w:val="center"/>
              <w:rPr>
                <w:rFonts w:ascii="Arial" w:hAnsi="Arial" w:cs="Arial"/>
                <w:color w:val="AEAAAA" w:themeColor="background2" w:themeShade="BF"/>
                <w:szCs w:val="20"/>
                <w:lang w:val="en-GB"/>
              </w:rPr>
            </w:pPr>
          </w:p>
        </w:tc>
      </w:tr>
    </w:tbl>
    <w:p w14:paraId="1A524A36" w14:textId="77777777" w:rsidR="0037398B" w:rsidRPr="00A077B1" w:rsidRDefault="0037398B" w:rsidP="0037398B">
      <w:pPr>
        <w:shd w:val="clear" w:color="auto" w:fill="FFFFFF"/>
        <w:rPr>
          <w:rFonts w:cstheme="minorHAnsi"/>
          <w:i/>
          <w:color w:val="333333"/>
          <w:sz w:val="18"/>
          <w:szCs w:val="18"/>
          <w:lang w:val="en-GB" w:eastAsia="nl-NL"/>
        </w:rPr>
      </w:pPr>
      <w:r w:rsidRPr="00A077B1">
        <w:rPr>
          <w:rFonts w:cstheme="minorHAnsi"/>
          <w:i/>
          <w:iCs/>
          <w:color w:val="333333"/>
          <w:sz w:val="18"/>
          <w:szCs w:val="18"/>
          <w:lang w:val="en-GB" w:eastAsia="nl-NL"/>
        </w:rPr>
        <w:t xml:space="preserve">Abbreviations: VAT </w:t>
      </w:r>
      <w:r w:rsidRPr="00A077B1">
        <w:rPr>
          <w:rFonts w:cstheme="minorHAnsi"/>
          <w:i/>
          <w:color w:val="333333"/>
          <w:sz w:val="18"/>
          <w:szCs w:val="18"/>
          <w:lang w:val="en-GB" w:eastAsia="nl-NL"/>
        </w:rPr>
        <w:t>Virtual Antimicrobial stewardship Team</w:t>
      </w:r>
      <w:r w:rsidRPr="00A077B1">
        <w:rPr>
          <w:rFonts w:cstheme="minorHAnsi"/>
          <w:i/>
          <w:iCs/>
          <w:color w:val="333333"/>
          <w:sz w:val="18"/>
          <w:szCs w:val="18"/>
          <w:lang w:val="en-GB" w:eastAsia="nl-NL"/>
        </w:rPr>
        <w:t xml:space="preserve">, IR </w:t>
      </w:r>
      <w:r w:rsidRPr="00A077B1">
        <w:rPr>
          <w:rFonts w:cstheme="minorHAnsi"/>
          <w:i/>
          <w:color w:val="333333"/>
          <w:sz w:val="18"/>
          <w:szCs w:val="18"/>
          <w:lang w:val="en-GB" w:eastAsia="nl-NL"/>
        </w:rPr>
        <w:t>Incidence Rate</w:t>
      </w:r>
    </w:p>
    <w:p w14:paraId="4C7E8C3B" w14:textId="77777777" w:rsidR="0037398B" w:rsidRDefault="0037398B"/>
    <w:sectPr w:rsidR="003739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8B"/>
    <w:rsid w:val="0037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D425"/>
  <w15:chartTrackingRefBased/>
  <w15:docId w15:val="{7CD67714-4241-47B2-A9FD-B2D88368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98B"/>
    <w:rPr>
      <w:kern w:val="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Springer Nature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2024-03-22T20:10:00Z</dcterms:created>
  <dcterms:modified xsi:type="dcterms:W3CDTF">2024-03-22T20:10:00Z</dcterms:modified>
</cp:coreProperties>
</file>