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08BD7" w14:textId="77777777" w:rsidR="000F243C" w:rsidRDefault="000F243C" w:rsidP="000F243C">
      <w:pPr>
        <w:pStyle w:val="Heading1"/>
        <w:keepNext w:val="0"/>
        <w:keepLines w:val="0"/>
        <w:spacing w:before="0" w:after="0" w:line="240" w:lineRule="auto"/>
        <w:rPr>
          <w:rFonts w:ascii="Calibri" w:eastAsia="Calibri" w:hAnsi="Calibri" w:cs="Calibri"/>
          <w:b/>
          <w:sz w:val="42"/>
          <w:szCs w:val="42"/>
        </w:rPr>
      </w:pPr>
      <w:r>
        <w:rPr>
          <w:rFonts w:ascii="Calibri" w:eastAsia="Calibri" w:hAnsi="Calibri" w:cs="Calibri"/>
          <w:b/>
          <w:sz w:val="42"/>
          <w:szCs w:val="42"/>
        </w:rPr>
        <w:t>Table 1. Design Table</w:t>
      </w:r>
    </w:p>
    <w:p w14:paraId="77C1A03A" w14:textId="77777777" w:rsidR="000F243C" w:rsidRDefault="000F243C" w:rsidP="000F243C">
      <w:pPr>
        <w:spacing w:line="240" w:lineRule="auto"/>
        <w:rPr>
          <w:rFonts w:ascii="Calibri" w:eastAsia="Calibri" w:hAnsi="Calibri" w:cs="Calibri"/>
        </w:rPr>
      </w:pPr>
      <w:r>
        <w:rPr>
          <w:rFonts w:ascii="Calibri" w:eastAsia="Calibri" w:hAnsi="Calibri" w:cs="Calibri"/>
        </w:rPr>
        <w:t xml:space="preserve">You must include this mandatory </w:t>
      </w:r>
      <w:r>
        <w:rPr>
          <w:rFonts w:ascii="Calibri" w:eastAsia="Calibri" w:hAnsi="Calibri" w:cs="Calibri"/>
          <w:b/>
        </w:rPr>
        <w:t>Design table</w:t>
      </w:r>
      <w:r>
        <w:rPr>
          <w:rFonts w:ascii="Calibri" w:eastAsia="Calibri" w:hAnsi="Calibri" w:cs="Calibri"/>
        </w:rPr>
        <w:t>. The columns are prescribed; the number of rows will depend on the number of research questions you will address in your Registered Report.</w:t>
      </w:r>
    </w:p>
    <w:p w14:paraId="5A2CCB34" w14:textId="77777777" w:rsidR="000F243C" w:rsidRDefault="000F243C" w:rsidP="000F243C">
      <w:pPr>
        <w:spacing w:line="240" w:lineRule="auto"/>
        <w:rPr>
          <w:rFonts w:ascii="Calibri" w:eastAsia="Calibri" w:hAnsi="Calibri" w:cs="Calibri"/>
        </w:rPr>
      </w:pPr>
    </w:p>
    <w:p w14:paraId="037C66BB" w14:textId="77777777" w:rsidR="000F243C" w:rsidRDefault="000F243C" w:rsidP="000F243C">
      <w:pPr>
        <w:numPr>
          <w:ilvl w:val="0"/>
          <w:numId w:val="1"/>
        </w:numPr>
        <w:spacing w:line="240" w:lineRule="auto"/>
        <w:rPr>
          <w:rFonts w:ascii="Calibri" w:eastAsia="Calibri" w:hAnsi="Calibri" w:cs="Calibri"/>
        </w:rPr>
      </w:pPr>
      <w:r>
        <w:rPr>
          <w:rFonts w:ascii="Calibri" w:eastAsia="Calibri" w:hAnsi="Calibri" w:cs="Calibri"/>
        </w:rPr>
        <w:t xml:space="preserve">Ensure that there is an </w:t>
      </w:r>
      <w:r>
        <w:rPr>
          <w:rFonts w:ascii="Calibri" w:eastAsia="Calibri" w:hAnsi="Calibri" w:cs="Calibri"/>
          <w:b/>
        </w:rPr>
        <w:t>exact</w:t>
      </w:r>
      <w:r>
        <w:rPr>
          <w:rFonts w:ascii="Calibri" w:eastAsia="Calibri" w:hAnsi="Calibri" w:cs="Calibri"/>
        </w:rPr>
        <w:t xml:space="preserve"> correspondence between each scientific hypothesis and each statistical test. For example, it is not appropriate to write: Condition A will affect performance differently from Condition B. Instead, you must define the performance measure (e.g. Reaction Time) and the predicted direction of the difference. This would translate to, e.g.: Reaction times will be significantly higher in Condition A than Condition B.</w:t>
      </w:r>
    </w:p>
    <w:p w14:paraId="567DC96E" w14:textId="77777777" w:rsidR="000F243C" w:rsidRDefault="000F243C" w:rsidP="000F243C">
      <w:pPr>
        <w:numPr>
          <w:ilvl w:val="0"/>
          <w:numId w:val="1"/>
        </w:numPr>
        <w:spacing w:line="240" w:lineRule="auto"/>
        <w:rPr>
          <w:rFonts w:ascii="Calibri" w:eastAsia="Calibri" w:hAnsi="Calibri" w:cs="Calibri"/>
        </w:rPr>
      </w:pPr>
      <w:r>
        <w:rPr>
          <w:rFonts w:ascii="Calibri" w:eastAsia="Calibri" w:hAnsi="Calibri" w:cs="Calibri"/>
        </w:rPr>
        <w:t>If your analysis strategy will depend on the results (e.g. normal vs. non-normal distribution) then specify the contingencies for making different choices, i.e. IF-THEN statements.</w:t>
      </w:r>
    </w:p>
    <w:p w14:paraId="32A57553" w14:textId="77777777" w:rsidR="000F243C" w:rsidRDefault="000F243C" w:rsidP="000F243C">
      <w:pPr>
        <w:numPr>
          <w:ilvl w:val="0"/>
          <w:numId w:val="1"/>
        </w:numPr>
        <w:spacing w:line="240" w:lineRule="auto"/>
        <w:rPr>
          <w:rFonts w:ascii="Calibri" w:eastAsia="Calibri" w:hAnsi="Calibri" w:cs="Calibri"/>
        </w:rPr>
      </w:pPr>
      <w:r>
        <w:rPr>
          <w:rFonts w:ascii="Calibri" w:eastAsia="Calibri" w:hAnsi="Calibri" w:cs="Calibri"/>
        </w:rPr>
        <w:t>You cannot interpret lack of evidence for the existence of an effect in NHST (e.g. a p&gt;0.05 in a t-test) as evidence for the absence of an effect. To be able to interpret null results, you must commit to using Bayes Factors or equivalence testing.</w:t>
      </w:r>
    </w:p>
    <w:p w14:paraId="1092CE5E" w14:textId="77777777" w:rsidR="000F243C" w:rsidRDefault="000F243C" w:rsidP="000F243C">
      <w:pPr>
        <w:spacing w:line="240" w:lineRule="auto"/>
        <w:ind w:left="720"/>
        <w:rPr>
          <w:rFonts w:ascii="Calibri" w:eastAsia="Calibri" w:hAnsi="Calibri" w:cs="Calibri"/>
          <w:i/>
          <w:sz w:val="20"/>
          <w:szCs w:val="20"/>
        </w:rPr>
      </w:pPr>
      <w:r>
        <w:rPr>
          <w:rFonts w:ascii="Calibri" w:eastAsia="Calibri" w:hAnsi="Calibri" w:cs="Calibri"/>
          <w:i/>
          <w:sz w:val="20"/>
          <w:szCs w:val="20"/>
        </w:rPr>
        <w:t xml:space="preserve"> </w:t>
      </w:r>
    </w:p>
    <w:tbl>
      <w:tblPr>
        <w:tblW w:w="9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30"/>
        <w:gridCol w:w="1830"/>
        <w:gridCol w:w="1830"/>
        <w:gridCol w:w="1830"/>
        <w:gridCol w:w="1830"/>
      </w:tblGrid>
      <w:tr w:rsidR="000F243C" w14:paraId="164BA269" w14:textId="77777777" w:rsidTr="00E85820">
        <w:trPr>
          <w:trHeight w:val="1385"/>
        </w:trPr>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39E20" w14:textId="77777777" w:rsidR="000F243C" w:rsidRDefault="000F243C" w:rsidP="00E85820">
            <w:pPr>
              <w:spacing w:line="240" w:lineRule="auto"/>
              <w:rPr>
                <w:rFonts w:ascii="Calibri" w:eastAsia="Calibri" w:hAnsi="Calibri" w:cs="Calibri"/>
                <w:b/>
                <w:sz w:val="20"/>
                <w:szCs w:val="20"/>
              </w:rPr>
            </w:pPr>
            <w:r>
              <w:rPr>
                <w:rFonts w:ascii="Calibri" w:eastAsia="Calibri" w:hAnsi="Calibri" w:cs="Calibri"/>
                <w:b/>
                <w:sz w:val="20"/>
                <w:szCs w:val="20"/>
              </w:rPr>
              <w:t>Question</w:t>
            </w:r>
          </w:p>
        </w:tc>
        <w:tc>
          <w:tcPr>
            <w:tcW w:w="18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4D61163" w14:textId="77777777" w:rsidR="000F243C" w:rsidRDefault="000F243C" w:rsidP="00E85820">
            <w:pPr>
              <w:spacing w:line="240" w:lineRule="auto"/>
              <w:rPr>
                <w:rFonts w:ascii="Calibri" w:eastAsia="Calibri" w:hAnsi="Calibri" w:cs="Calibri"/>
                <w:b/>
                <w:sz w:val="20"/>
                <w:szCs w:val="20"/>
              </w:rPr>
            </w:pPr>
            <w:r>
              <w:rPr>
                <w:rFonts w:ascii="Calibri" w:eastAsia="Calibri" w:hAnsi="Calibri" w:cs="Calibri"/>
                <w:b/>
                <w:sz w:val="20"/>
                <w:szCs w:val="20"/>
              </w:rPr>
              <w:t>Hypothesis (if applicable)</w:t>
            </w:r>
          </w:p>
        </w:tc>
        <w:tc>
          <w:tcPr>
            <w:tcW w:w="18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365BBD6" w14:textId="77777777" w:rsidR="000F243C" w:rsidRDefault="000F243C" w:rsidP="00E85820">
            <w:pPr>
              <w:spacing w:line="240" w:lineRule="auto"/>
              <w:rPr>
                <w:rFonts w:ascii="Calibri" w:eastAsia="Calibri" w:hAnsi="Calibri" w:cs="Calibri"/>
                <w:b/>
                <w:sz w:val="20"/>
                <w:szCs w:val="20"/>
              </w:rPr>
            </w:pPr>
            <w:r>
              <w:rPr>
                <w:rFonts w:ascii="Calibri" w:eastAsia="Calibri" w:hAnsi="Calibri" w:cs="Calibri"/>
                <w:b/>
                <w:sz w:val="20"/>
                <w:szCs w:val="20"/>
              </w:rPr>
              <w:t>Sampling plan (e.g. power analysis)</w:t>
            </w:r>
          </w:p>
        </w:tc>
        <w:tc>
          <w:tcPr>
            <w:tcW w:w="18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0E3D56A" w14:textId="77777777" w:rsidR="000F243C" w:rsidRDefault="000F243C" w:rsidP="00E85820">
            <w:pPr>
              <w:spacing w:line="240" w:lineRule="auto"/>
              <w:rPr>
                <w:rFonts w:ascii="Calibri" w:eastAsia="Calibri" w:hAnsi="Calibri" w:cs="Calibri"/>
                <w:b/>
                <w:sz w:val="20"/>
                <w:szCs w:val="20"/>
              </w:rPr>
            </w:pPr>
            <w:r>
              <w:rPr>
                <w:rFonts w:ascii="Calibri" w:eastAsia="Calibri" w:hAnsi="Calibri" w:cs="Calibri"/>
                <w:b/>
                <w:sz w:val="20"/>
                <w:szCs w:val="20"/>
              </w:rPr>
              <w:t>Analysis Plan</w:t>
            </w:r>
          </w:p>
        </w:tc>
        <w:tc>
          <w:tcPr>
            <w:tcW w:w="18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F7F00BA" w14:textId="77777777" w:rsidR="000F243C" w:rsidRDefault="000F243C" w:rsidP="00E85820">
            <w:pPr>
              <w:spacing w:line="240" w:lineRule="auto"/>
              <w:rPr>
                <w:rFonts w:ascii="Calibri" w:eastAsia="Calibri" w:hAnsi="Calibri" w:cs="Calibri"/>
                <w:b/>
                <w:sz w:val="20"/>
                <w:szCs w:val="20"/>
              </w:rPr>
            </w:pPr>
            <w:r>
              <w:rPr>
                <w:rFonts w:ascii="Calibri" w:eastAsia="Calibri" w:hAnsi="Calibri" w:cs="Calibri"/>
                <w:b/>
                <w:sz w:val="20"/>
                <w:szCs w:val="20"/>
              </w:rPr>
              <w:t>Interpretation given to different outcomes</w:t>
            </w:r>
          </w:p>
        </w:tc>
      </w:tr>
      <w:tr w:rsidR="000F243C" w14:paraId="4C20A47C" w14:textId="77777777" w:rsidTr="00E85820">
        <w:trPr>
          <w:trHeight w:val="1475"/>
        </w:trPr>
        <w:tc>
          <w:tcPr>
            <w:tcW w:w="18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A24A84" w14:textId="77777777" w:rsidR="000F243C" w:rsidRDefault="000F243C" w:rsidP="00E85820">
            <w:pPr>
              <w:spacing w:line="240" w:lineRule="auto"/>
              <w:rPr>
                <w:rFonts w:ascii="Calibri" w:eastAsia="Calibri" w:hAnsi="Calibri" w:cs="Calibri"/>
                <w:sz w:val="20"/>
                <w:szCs w:val="20"/>
              </w:rPr>
            </w:pPr>
            <w:r w:rsidRPr="006C2CD5">
              <w:rPr>
                <w:rFonts w:ascii="Calibri" w:eastAsia="Calibri" w:hAnsi="Calibri" w:cs="Calibri"/>
                <w:sz w:val="20"/>
                <w:szCs w:val="20"/>
              </w:rPr>
              <w:t>To determine the suitable range of blade offset angles</w:t>
            </w:r>
          </w:p>
        </w:tc>
        <w:tc>
          <w:tcPr>
            <w:tcW w:w="1830" w:type="dxa"/>
            <w:tcBorders>
              <w:bottom w:val="single" w:sz="8" w:space="0" w:color="000000"/>
              <w:right w:val="single" w:sz="8" w:space="0" w:color="000000"/>
            </w:tcBorders>
            <w:tcMar>
              <w:top w:w="100" w:type="dxa"/>
              <w:left w:w="100" w:type="dxa"/>
              <w:bottom w:w="100" w:type="dxa"/>
              <w:right w:w="100" w:type="dxa"/>
            </w:tcMar>
          </w:tcPr>
          <w:p w14:paraId="6311A8E1" w14:textId="77777777" w:rsidR="000F243C" w:rsidRPr="006C2CD5" w:rsidRDefault="000F243C" w:rsidP="00E85820">
            <w:pPr>
              <w:spacing w:line="240" w:lineRule="auto"/>
              <w:rPr>
                <w:rFonts w:ascii="Calibri" w:hAnsi="Calibri" w:cs="Calibri"/>
                <w:sz w:val="20"/>
                <w:szCs w:val="20"/>
              </w:rPr>
            </w:pPr>
            <w:r>
              <w:rPr>
                <w:rFonts w:ascii="Calibri" w:eastAsia="Calibri" w:hAnsi="Calibri" w:cs="Calibri"/>
                <w:sz w:val="20"/>
                <w:szCs w:val="20"/>
              </w:rPr>
              <w:t xml:space="preserve"> </w:t>
            </w:r>
            <w:r w:rsidRPr="006C2CD5">
              <w:rPr>
                <w:rFonts w:ascii="Calibri" w:eastAsia="Calibri" w:hAnsi="Calibri" w:cs="Calibri"/>
                <w:sz w:val="20"/>
                <w:szCs w:val="20"/>
              </w:rPr>
              <w:t>The optimal range of the offset angle in the range of about 10 ° will be found.</w:t>
            </w:r>
          </w:p>
        </w:tc>
        <w:tc>
          <w:tcPr>
            <w:tcW w:w="1830" w:type="dxa"/>
            <w:tcBorders>
              <w:bottom w:val="single" w:sz="8" w:space="0" w:color="000000"/>
              <w:right w:val="single" w:sz="8" w:space="0" w:color="000000"/>
            </w:tcBorders>
            <w:tcMar>
              <w:top w:w="100" w:type="dxa"/>
              <w:left w:w="100" w:type="dxa"/>
              <w:bottom w:w="100" w:type="dxa"/>
              <w:right w:w="100" w:type="dxa"/>
            </w:tcMar>
          </w:tcPr>
          <w:p w14:paraId="3788B48D" w14:textId="77777777" w:rsidR="000F243C" w:rsidRDefault="000F243C" w:rsidP="00E85820">
            <w:pPr>
              <w:spacing w:line="240" w:lineRule="auto"/>
              <w:rPr>
                <w:rFonts w:ascii="Calibri" w:eastAsia="Calibri" w:hAnsi="Calibri" w:cs="Calibri"/>
                <w:sz w:val="20"/>
                <w:szCs w:val="20"/>
              </w:rPr>
            </w:pPr>
            <w:r>
              <w:rPr>
                <w:rFonts w:ascii="Calibri" w:eastAsia="Calibri" w:hAnsi="Calibri" w:cs="Calibri"/>
                <w:sz w:val="20"/>
                <w:szCs w:val="20"/>
              </w:rPr>
              <w:t xml:space="preserve"> </w:t>
            </w:r>
            <w:r>
              <w:rPr>
                <w:rFonts w:ascii="Calibri" w:hAnsi="Calibri" w:cs="Calibri" w:hint="eastAsia"/>
                <w:sz w:val="20"/>
                <w:szCs w:val="20"/>
              </w:rPr>
              <w:t xml:space="preserve">Choose the </w:t>
            </w:r>
            <w:r w:rsidRPr="003A20F1">
              <w:rPr>
                <w:rFonts w:ascii="Calibri" w:eastAsia="Calibri" w:hAnsi="Calibri" w:cs="Calibri"/>
                <w:sz w:val="20"/>
                <w:szCs w:val="20"/>
              </w:rPr>
              <w:t>impeller with a radius of 52 mm The seed grouping rate was measured at different offset angles, specifically 5°, 10°, 15°, 20°, and 25°.</w:t>
            </w:r>
          </w:p>
        </w:tc>
        <w:tc>
          <w:tcPr>
            <w:tcW w:w="1830" w:type="dxa"/>
            <w:tcBorders>
              <w:bottom w:val="single" w:sz="8" w:space="0" w:color="000000"/>
              <w:right w:val="single" w:sz="8" w:space="0" w:color="000000"/>
            </w:tcBorders>
            <w:tcMar>
              <w:top w:w="100" w:type="dxa"/>
              <w:left w:w="100" w:type="dxa"/>
              <w:bottom w:w="100" w:type="dxa"/>
              <w:right w:w="100" w:type="dxa"/>
            </w:tcMar>
          </w:tcPr>
          <w:p w14:paraId="128365E2" w14:textId="77777777" w:rsidR="000F243C" w:rsidRDefault="000F243C" w:rsidP="00E85820">
            <w:pPr>
              <w:spacing w:line="240" w:lineRule="auto"/>
              <w:rPr>
                <w:rFonts w:ascii="Calibri" w:eastAsia="Calibri" w:hAnsi="Calibri" w:cs="Calibri"/>
                <w:sz w:val="20"/>
                <w:szCs w:val="20"/>
              </w:rPr>
            </w:pPr>
            <w:r>
              <w:rPr>
                <w:rFonts w:ascii="Calibri" w:eastAsia="Calibri" w:hAnsi="Calibri" w:cs="Calibri"/>
                <w:sz w:val="20"/>
                <w:szCs w:val="20"/>
              </w:rPr>
              <w:t xml:space="preserve"> </w:t>
            </w:r>
            <w:r w:rsidRPr="003A20F1">
              <w:rPr>
                <w:rFonts w:ascii="Calibri" w:eastAsia="Calibri" w:hAnsi="Calibri" w:cs="Calibri"/>
                <w:sz w:val="20"/>
                <w:szCs w:val="20"/>
              </w:rPr>
              <w:t xml:space="preserve">The curve of the </w:t>
            </w:r>
            <w:r>
              <w:rPr>
                <w:rFonts w:ascii="Calibri" w:hAnsi="Calibri" w:cs="Calibri" w:hint="eastAsia"/>
                <w:sz w:val="20"/>
                <w:szCs w:val="20"/>
              </w:rPr>
              <w:t xml:space="preserve">seed-grouping </w:t>
            </w:r>
            <w:r w:rsidRPr="003A20F1">
              <w:rPr>
                <w:rFonts w:ascii="Calibri" w:eastAsia="Calibri" w:hAnsi="Calibri" w:cs="Calibri"/>
                <w:sz w:val="20"/>
                <w:szCs w:val="20"/>
              </w:rPr>
              <w:t>rate changing with the offset angle is drawn, and the optimal offset angle interval is found through the curve.</w:t>
            </w:r>
          </w:p>
        </w:tc>
        <w:tc>
          <w:tcPr>
            <w:tcW w:w="1830" w:type="dxa"/>
            <w:tcBorders>
              <w:bottom w:val="single" w:sz="8" w:space="0" w:color="000000"/>
              <w:right w:val="single" w:sz="8" w:space="0" w:color="000000"/>
            </w:tcBorders>
            <w:tcMar>
              <w:top w:w="100" w:type="dxa"/>
              <w:left w:w="100" w:type="dxa"/>
              <w:bottom w:w="100" w:type="dxa"/>
              <w:right w:w="100" w:type="dxa"/>
            </w:tcMar>
          </w:tcPr>
          <w:p w14:paraId="55E84EB7" w14:textId="77777777" w:rsidR="000F243C" w:rsidRDefault="000F243C" w:rsidP="00E85820">
            <w:pPr>
              <w:spacing w:line="240" w:lineRule="auto"/>
              <w:rPr>
                <w:rFonts w:ascii="Calibri" w:eastAsia="Calibri" w:hAnsi="Calibri" w:cs="Calibri"/>
                <w:sz w:val="20"/>
                <w:szCs w:val="20"/>
              </w:rPr>
            </w:pPr>
            <w:r>
              <w:rPr>
                <w:rFonts w:ascii="Calibri" w:eastAsia="Calibri" w:hAnsi="Calibri" w:cs="Calibri"/>
                <w:sz w:val="20"/>
                <w:szCs w:val="20"/>
              </w:rPr>
              <w:t xml:space="preserve"> </w:t>
            </w:r>
            <w:r w:rsidRPr="003A20F1">
              <w:rPr>
                <w:rFonts w:ascii="Calibri" w:eastAsia="Calibri" w:hAnsi="Calibri" w:cs="Calibri"/>
                <w:sz w:val="20"/>
                <w:szCs w:val="20"/>
              </w:rPr>
              <w:t xml:space="preserve">There will be an optimal offset angle, the </w:t>
            </w:r>
            <w:r>
              <w:rPr>
                <w:rFonts w:ascii="Calibri" w:hAnsi="Calibri" w:cs="Calibri" w:hint="eastAsia"/>
                <w:sz w:val="20"/>
                <w:szCs w:val="20"/>
              </w:rPr>
              <w:t xml:space="preserve">seed-grouping </w:t>
            </w:r>
            <w:r w:rsidRPr="003A20F1">
              <w:rPr>
                <w:rFonts w:ascii="Calibri" w:eastAsia="Calibri" w:hAnsi="Calibri" w:cs="Calibri"/>
                <w:sz w:val="20"/>
                <w:szCs w:val="20"/>
              </w:rPr>
              <w:t>rate is higher when it is close. Because the structure of 0 ° and 25 ° is the same, the possibility of large difference and similar results is also likely to exist.</w:t>
            </w:r>
          </w:p>
        </w:tc>
      </w:tr>
      <w:tr w:rsidR="000F243C" w14:paraId="1074BD18" w14:textId="77777777" w:rsidTr="00E85820">
        <w:trPr>
          <w:trHeight w:val="1460"/>
        </w:trPr>
        <w:tc>
          <w:tcPr>
            <w:tcW w:w="18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B53195E" w14:textId="77777777" w:rsidR="000F243C" w:rsidRDefault="000F243C" w:rsidP="00E85820">
            <w:pPr>
              <w:spacing w:line="240" w:lineRule="auto"/>
              <w:rPr>
                <w:rFonts w:ascii="Calibri" w:eastAsia="Calibri" w:hAnsi="Calibri" w:cs="Calibri"/>
                <w:sz w:val="20"/>
                <w:szCs w:val="20"/>
              </w:rPr>
            </w:pPr>
            <w:r>
              <w:rPr>
                <w:rFonts w:ascii="Calibri" w:eastAsia="Calibri" w:hAnsi="Calibri" w:cs="Calibri"/>
                <w:sz w:val="20"/>
                <w:szCs w:val="20"/>
              </w:rPr>
              <w:t xml:space="preserve"> </w:t>
            </w:r>
            <w:r w:rsidRPr="006C2CD5">
              <w:rPr>
                <w:rFonts w:ascii="Calibri" w:eastAsia="Calibri" w:hAnsi="Calibri" w:cs="Calibri"/>
                <w:sz w:val="20"/>
                <w:szCs w:val="20"/>
              </w:rPr>
              <w:t>Investigate the influence of different radius of the internal impeller and the interaction with different blade offset angles on the seed-grouping rate</w:t>
            </w:r>
          </w:p>
        </w:tc>
        <w:tc>
          <w:tcPr>
            <w:tcW w:w="1830" w:type="dxa"/>
            <w:tcBorders>
              <w:bottom w:val="single" w:sz="8" w:space="0" w:color="000000"/>
              <w:right w:val="single" w:sz="8" w:space="0" w:color="000000"/>
            </w:tcBorders>
            <w:tcMar>
              <w:top w:w="100" w:type="dxa"/>
              <w:left w:w="100" w:type="dxa"/>
              <w:bottom w:w="100" w:type="dxa"/>
              <w:right w:w="100" w:type="dxa"/>
            </w:tcMar>
          </w:tcPr>
          <w:p w14:paraId="5E00E956" w14:textId="77777777" w:rsidR="000F243C" w:rsidRDefault="000F243C" w:rsidP="00E85820">
            <w:pPr>
              <w:spacing w:line="240" w:lineRule="auto"/>
              <w:rPr>
                <w:rFonts w:ascii="Calibri" w:eastAsia="Calibri" w:hAnsi="Calibri" w:cs="Calibri"/>
                <w:sz w:val="20"/>
                <w:szCs w:val="20"/>
              </w:rPr>
            </w:pPr>
            <w:r>
              <w:rPr>
                <w:rFonts w:ascii="Calibri" w:eastAsia="Calibri" w:hAnsi="Calibri" w:cs="Calibri"/>
                <w:sz w:val="20"/>
                <w:szCs w:val="20"/>
              </w:rPr>
              <w:t xml:space="preserve"> </w:t>
            </w:r>
            <w:r w:rsidRPr="006C2CD5">
              <w:rPr>
                <w:rFonts w:ascii="Calibri" w:eastAsia="Calibri" w:hAnsi="Calibri" w:cs="Calibri"/>
                <w:sz w:val="20"/>
                <w:szCs w:val="20"/>
              </w:rPr>
              <w:t>The seed-grouping rate will be between 80 % and 100 %, and the group with the highest vaccination rate is the most suitable.</w:t>
            </w:r>
          </w:p>
        </w:tc>
        <w:tc>
          <w:tcPr>
            <w:tcW w:w="1830" w:type="dxa"/>
            <w:tcBorders>
              <w:bottom w:val="single" w:sz="8" w:space="0" w:color="000000"/>
              <w:right w:val="single" w:sz="8" w:space="0" w:color="000000"/>
            </w:tcBorders>
            <w:tcMar>
              <w:top w:w="100" w:type="dxa"/>
              <w:left w:w="100" w:type="dxa"/>
              <w:bottom w:w="100" w:type="dxa"/>
              <w:right w:w="100" w:type="dxa"/>
            </w:tcMar>
          </w:tcPr>
          <w:p w14:paraId="64047F4D" w14:textId="77777777" w:rsidR="000F243C" w:rsidRPr="00B77BE0" w:rsidRDefault="000F243C" w:rsidP="00E85820">
            <w:pPr>
              <w:spacing w:line="240" w:lineRule="auto"/>
              <w:rPr>
                <w:rFonts w:ascii="Calibri" w:hAnsi="Calibri" w:cs="Calibri"/>
                <w:sz w:val="20"/>
                <w:szCs w:val="20"/>
              </w:rPr>
            </w:pPr>
            <w:r>
              <w:rPr>
                <w:rFonts w:ascii="Calibri" w:eastAsia="Calibri" w:hAnsi="Calibri" w:cs="Calibri"/>
                <w:sz w:val="20"/>
                <w:szCs w:val="20"/>
              </w:rPr>
              <w:t xml:space="preserve"> </w:t>
            </w:r>
            <w:r>
              <w:rPr>
                <w:rFonts w:ascii="Calibri" w:hAnsi="Calibri" w:cs="Calibri" w:hint="eastAsia"/>
                <w:sz w:val="20"/>
                <w:szCs w:val="20"/>
              </w:rPr>
              <w:t xml:space="preserve">Choose </w:t>
            </w:r>
            <w:r w:rsidRPr="003A20F1">
              <w:rPr>
                <w:rFonts w:ascii="Calibri" w:eastAsia="Calibri" w:hAnsi="Calibri" w:cs="Calibri"/>
                <w:sz w:val="20"/>
                <w:szCs w:val="20"/>
              </w:rPr>
              <w:t xml:space="preserve">three levels of </w:t>
            </w:r>
            <w:r w:rsidRPr="00B77BE0">
              <w:rPr>
                <w:rFonts w:ascii="Calibri" w:eastAsia="Calibri" w:hAnsi="Calibri" w:cs="Calibri"/>
                <w:sz w:val="20"/>
                <w:szCs w:val="20"/>
              </w:rPr>
              <w:t>the optimal offset angle interval</w:t>
            </w:r>
            <w:r>
              <w:rPr>
                <w:rFonts w:ascii="Calibri" w:hAnsi="Calibri" w:cs="Calibri" w:hint="eastAsia"/>
                <w:sz w:val="20"/>
                <w:szCs w:val="20"/>
              </w:rPr>
              <w:t>, three levels of internal impeller radius of 48mm,52mm, and56mmare taken.</w:t>
            </w:r>
            <w:r>
              <w:t xml:space="preserve"> </w:t>
            </w:r>
            <w:r w:rsidRPr="00B77BE0">
              <w:rPr>
                <w:rFonts w:ascii="Calibri" w:hAnsi="Calibri" w:cs="Calibri"/>
                <w:sz w:val="20"/>
                <w:szCs w:val="20"/>
              </w:rPr>
              <w:t>Totally nine groups of experiments</w:t>
            </w:r>
          </w:p>
        </w:tc>
        <w:tc>
          <w:tcPr>
            <w:tcW w:w="1830" w:type="dxa"/>
            <w:tcBorders>
              <w:bottom w:val="single" w:sz="8" w:space="0" w:color="000000"/>
              <w:right w:val="single" w:sz="8" w:space="0" w:color="000000"/>
            </w:tcBorders>
            <w:tcMar>
              <w:top w:w="100" w:type="dxa"/>
              <w:left w:w="100" w:type="dxa"/>
              <w:bottom w:w="100" w:type="dxa"/>
              <w:right w:w="100" w:type="dxa"/>
            </w:tcMar>
          </w:tcPr>
          <w:p w14:paraId="1B949EDE" w14:textId="77777777" w:rsidR="000F243C" w:rsidRPr="00B77BE0" w:rsidRDefault="000F243C" w:rsidP="00E85820">
            <w:pPr>
              <w:spacing w:line="240" w:lineRule="auto"/>
              <w:rPr>
                <w:rFonts w:ascii="Calibri" w:hAnsi="Calibri" w:cs="Calibri"/>
                <w:sz w:val="20"/>
                <w:szCs w:val="20"/>
              </w:rPr>
            </w:pPr>
            <w:r>
              <w:rPr>
                <w:rFonts w:ascii="Calibri" w:eastAsia="Calibri" w:hAnsi="Calibri" w:cs="Calibri"/>
                <w:sz w:val="20"/>
                <w:szCs w:val="20"/>
              </w:rPr>
              <w:t xml:space="preserve"> </w:t>
            </w:r>
            <w:r w:rsidRPr="00B77BE0">
              <w:rPr>
                <w:rFonts w:ascii="Calibri" w:eastAsia="Calibri" w:hAnsi="Calibri" w:cs="Calibri"/>
                <w:sz w:val="20"/>
                <w:szCs w:val="20"/>
              </w:rPr>
              <w:t>The regression analysis of the test results was carried out by using Design-Expert software, and the regression model equation of the vaccination rate was obtained to optimize the parameters</w:t>
            </w:r>
            <w:r>
              <w:rPr>
                <w:rFonts w:ascii="Calibri" w:hAnsi="Calibri" w:cs="Calibri" w:hint="eastAsia"/>
                <w:sz w:val="20"/>
                <w:szCs w:val="20"/>
              </w:rPr>
              <w:t>.</w:t>
            </w:r>
          </w:p>
        </w:tc>
        <w:tc>
          <w:tcPr>
            <w:tcW w:w="1830" w:type="dxa"/>
            <w:tcBorders>
              <w:bottom w:val="single" w:sz="8" w:space="0" w:color="000000"/>
              <w:right w:val="single" w:sz="8" w:space="0" w:color="000000"/>
            </w:tcBorders>
            <w:tcMar>
              <w:top w:w="100" w:type="dxa"/>
              <w:left w:w="100" w:type="dxa"/>
              <w:bottom w:w="100" w:type="dxa"/>
              <w:right w:w="100" w:type="dxa"/>
            </w:tcMar>
          </w:tcPr>
          <w:p w14:paraId="2F9F61B9" w14:textId="77777777" w:rsidR="000F243C" w:rsidRPr="00B77BE0" w:rsidRDefault="000F243C" w:rsidP="00E85820">
            <w:pPr>
              <w:spacing w:line="240" w:lineRule="auto"/>
              <w:rPr>
                <w:rFonts w:ascii="Calibri" w:hAnsi="Calibri" w:cs="Calibri"/>
                <w:sz w:val="20"/>
                <w:szCs w:val="20"/>
              </w:rPr>
            </w:pPr>
            <w:r w:rsidRPr="00B77BE0">
              <w:rPr>
                <w:rFonts w:ascii="Calibri" w:hAnsi="Calibri" w:cs="Calibri"/>
                <w:sz w:val="20"/>
                <w:szCs w:val="20"/>
              </w:rPr>
              <w:t xml:space="preserve">When the inner impeller radius and offset angle are not appropriate, the </w:t>
            </w:r>
            <w:r>
              <w:rPr>
                <w:rFonts w:ascii="Calibri" w:hAnsi="Calibri" w:cs="Calibri" w:hint="eastAsia"/>
                <w:sz w:val="20"/>
                <w:szCs w:val="20"/>
              </w:rPr>
              <w:t xml:space="preserve">seed-grouping </w:t>
            </w:r>
            <w:r w:rsidRPr="00B77BE0">
              <w:rPr>
                <w:rFonts w:ascii="Calibri" w:hAnsi="Calibri" w:cs="Calibri"/>
                <w:sz w:val="20"/>
                <w:szCs w:val="20"/>
              </w:rPr>
              <w:t>rate may be lower than expected.</w:t>
            </w:r>
          </w:p>
        </w:tc>
      </w:tr>
      <w:tr w:rsidR="000F243C" w14:paraId="21459C3C" w14:textId="77777777" w:rsidTr="00E85820">
        <w:trPr>
          <w:trHeight w:val="1460"/>
        </w:trPr>
        <w:tc>
          <w:tcPr>
            <w:tcW w:w="1830" w:type="dxa"/>
            <w:tcBorders>
              <w:left w:val="single" w:sz="8" w:space="0" w:color="000000"/>
              <w:right w:val="single" w:sz="8" w:space="0" w:color="000000"/>
            </w:tcBorders>
            <w:tcMar>
              <w:top w:w="100" w:type="dxa"/>
              <w:left w:w="100" w:type="dxa"/>
              <w:bottom w:w="100" w:type="dxa"/>
              <w:right w:w="100" w:type="dxa"/>
            </w:tcMar>
          </w:tcPr>
          <w:p w14:paraId="6986EEC0" w14:textId="77777777" w:rsidR="000F243C" w:rsidRDefault="000F243C" w:rsidP="00E85820">
            <w:pPr>
              <w:spacing w:line="240" w:lineRule="auto"/>
              <w:rPr>
                <w:rFonts w:ascii="Calibri" w:eastAsia="Calibri" w:hAnsi="Calibri" w:cs="Calibri"/>
                <w:sz w:val="20"/>
                <w:szCs w:val="20"/>
              </w:rPr>
            </w:pPr>
            <w:r>
              <w:rPr>
                <w:rFonts w:ascii="Calibri" w:hAnsi="Calibri" w:cs="Calibri" w:hint="eastAsia"/>
                <w:sz w:val="20"/>
                <w:szCs w:val="20"/>
              </w:rPr>
              <w:lastRenderedPageBreak/>
              <w:t>E</w:t>
            </w:r>
            <w:r w:rsidRPr="00FA08CE">
              <w:rPr>
                <w:rFonts w:ascii="Calibri" w:eastAsia="Calibri" w:hAnsi="Calibri" w:cs="Calibri"/>
                <w:sz w:val="20"/>
                <w:szCs w:val="20"/>
              </w:rPr>
              <w:t>xplore the change rule of average hole diameter, qualified rate of hole diameter average hole distance and coefficient of variation of hole distance when the seed</w:t>
            </w:r>
            <w:r>
              <w:rPr>
                <w:rFonts w:ascii="Calibri" w:hAnsi="Calibri" w:cs="Calibri" w:hint="eastAsia"/>
                <w:sz w:val="20"/>
                <w:szCs w:val="20"/>
              </w:rPr>
              <w:t>ing angle</w:t>
            </w:r>
            <w:r w:rsidRPr="00FA08CE">
              <w:rPr>
                <w:rFonts w:ascii="Calibri" w:eastAsia="Calibri" w:hAnsi="Calibri" w:cs="Calibri"/>
                <w:sz w:val="20"/>
                <w:szCs w:val="20"/>
              </w:rPr>
              <w:t xml:space="preserve"> is changed.</w:t>
            </w:r>
          </w:p>
        </w:tc>
        <w:tc>
          <w:tcPr>
            <w:tcW w:w="1830" w:type="dxa"/>
            <w:tcBorders>
              <w:right w:val="single" w:sz="8" w:space="0" w:color="000000"/>
            </w:tcBorders>
            <w:tcMar>
              <w:top w:w="100" w:type="dxa"/>
              <w:left w:w="100" w:type="dxa"/>
              <w:bottom w:w="100" w:type="dxa"/>
              <w:right w:w="100" w:type="dxa"/>
            </w:tcMar>
          </w:tcPr>
          <w:p w14:paraId="78821BF4" w14:textId="77777777" w:rsidR="000F243C" w:rsidRDefault="000F243C" w:rsidP="00E85820">
            <w:pPr>
              <w:spacing w:line="240" w:lineRule="auto"/>
              <w:rPr>
                <w:rFonts w:ascii="Calibri" w:eastAsia="Calibri" w:hAnsi="Calibri" w:cs="Calibri"/>
                <w:sz w:val="20"/>
                <w:szCs w:val="20"/>
              </w:rPr>
            </w:pPr>
            <w:r w:rsidRPr="00BE2B5D">
              <w:rPr>
                <w:rFonts w:ascii="Calibri" w:eastAsia="Calibri" w:hAnsi="Calibri" w:cs="Calibri"/>
                <w:sz w:val="20"/>
                <w:szCs w:val="20"/>
              </w:rPr>
              <w:t>With the increase of seeding angle, the convergence distance of rice seeds gradually became shorter, the consistency of seeding was improved, and the hole formation and hole spacing uniformity of seeding were significantly improved</w:t>
            </w:r>
          </w:p>
        </w:tc>
        <w:tc>
          <w:tcPr>
            <w:tcW w:w="1830" w:type="dxa"/>
            <w:tcBorders>
              <w:right w:val="single" w:sz="8" w:space="0" w:color="000000"/>
            </w:tcBorders>
            <w:tcMar>
              <w:top w:w="100" w:type="dxa"/>
              <w:left w:w="100" w:type="dxa"/>
              <w:bottom w:w="100" w:type="dxa"/>
              <w:right w:w="100" w:type="dxa"/>
            </w:tcMar>
          </w:tcPr>
          <w:p w14:paraId="32776889" w14:textId="77777777" w:rsidR="000F243C" w:rsidRPr="00BE2B5D" w:rsidRDefault="000F243C" w:rsidP="00E85820">
            <w:pPr>
              <w:spacing w:line="240" w:lineRule="auto"/>
              <w:rPr>
                <w:rFonts w:ascii="Calibri" w:hAnsi="Calibri" w:cs="Calibri"/>
                <w:sz w:val="20"/>
                <w:szCs w:val="20"/>
              </w:rPr>
            </w:pPr>
            <w:r>
              <w:rPr>
                <w:rFonts w:ascii="Calibri" w:hAnsi="Calibri" w:cs="Calibri" w:hint="eastAsia"/>
                <w:sz w:val="20"/>
                <w:szCs w:val="20"/>
              </w:rPr>
              <w:t>Choose three levels of seeding angle of 26</w:t>
            </w:r>
            <w:r>
              <w:rPr>
                <w:rFonts w:ascii="Calibri" w:hAnsi="Calibri" w:cs="Calibri" w:hint="eastAsia"/>
                <w:sz w:val="20"/>
                <w:szCs w:val="20"/>
              </w:rPr>
              <w:t>°，</w:t>
            </w:r>
            <w:r>
              <w:rPr>
                <w:rFonts w:ascii="Calibri" w:hAnsi="Calibri" w:cs="Calibri" w:hint="eastAsia"/>
                <w:sz w:val="20"/>
                <w:szCs w:val="20"/>
              </w:rPr>
              <w:t>31</w:t>
            </w:r>
            <w:r>
              <w:rPr>
                <w:rFonts w:ascii="Calibri" w:hAnsi="Calibri" w:cs="Calibri" w:hint="eastAsia"/>
                <w:sz w:val="20"/>
                <w:szCs w:val="20"/>
              </w:rPr>
              <w:t>°，</w:t>
            </w:r>
            <w:r>
              <w:rPr>
                <w:rFonts w:ascii="Calibri" w:hAnsi="Calibri" w:cs="Calibri" w:hint="eastAsia"/>
                <w:sz w:val="20"/>
                <w:szCs w:val="20"/>
              </w:rPr>
              <w:t>36</w:t>
            </w:r>
            <w:r>
              <w:rPr>
                <w:rFonts w:ascii="Calibri" w:hAnsi="Calibri" w:cs="Calibri" w:hint="eastAsia"/>
                <w:sz w:val="20"/>
                <w:szCs w:val="20"/>
              </w:rPr>
              <w:t>°</w:t>
            </w:r>
            <w:r>
              <w:rPr>
                <w:rFonts w:ascii="Calibri" w:hAnsi="Calibri" w:cs="Calibri" w:hint="eastAsia"/>
                <w:sz w:val="20"/>
                <w:szCs w:val="20"/>
              </w:rPr>
              <w:t>and 41</w:t>
            </w:r>
            <w:r>
              <w:rPr>
                <w:rFonts w:ascii="Calibri" w:hAnsi="Calibri" w:cs="Calibri" w:hint="eastAsia"/>
                <w:sz w:val="20"/>
                <w:szCs w:val="20"/>
              </w:rPr>
              <w:t>°</w:t>
            </w:r>
            <w:r>
              <w:rPr>
                <w:rFonts w:ascii="Calibri" w:hAnsi="Calibri" w:cs="Calibri" w:hint="eastAsia"/>
                <w:sz w:val="20"/>
                <w:szCs w:val="20"/>
              </w:rPr>
              <w:t>.</w:t>
            </w:r>
            <w:r>
              <w:t xml:space="preserve"> </w:t>
            </w:r>
            <w:r w:rsidRPr="00BE2B5D">
              <w:rPr>
                <w:rFonts w:ascii="Calibri" w:hAnsi="Calibri" w:cs="Calibri"/>
                <w:sz w:val="20"/>
                <w:szCs w:val="20"/>
              </w:rPr>
              <w:t xml:space="preserve">Measured </w:t>
            </w:r>
            <w:r>
              <w:rPr>
                <w:rFonts w:ascii="Calibri" w:hAnsi="Calibri" w:cs="Calibri" w:hint="eastAsia"/>
                <w:sz w:val="20"/>
                <w:szCs w:val="20"/>
              </w:rPr>
              <w:t>a</w:t>
            </w:r>
            <w:r w:rsidRPr="00BE2B5D">
              <w:rPr>
                <w:rFonts w:ascii="Calibri" w:hAnsi="Calibri" w:cs="Calibri"/>
                <w:sz w:val="20"/>
                <w:szCs w:val="20"/>
              </w:rPr>
              <w:t>verage hole diameter</w:t>
            </w:r>
            <w:r>
              <w:rPr>
                <w:rFonts w:ascii="Calibri" w:hAnsi="Calibri" w:cs="Calibri" w:hint="eastAsia"/>
                <w:sz w:val="20"/>
                <w:szCs w:val="20"/>
              </w:rPr>
              <w:t>,</w:t>
            </w:r>
            <w:r>
              <w:t xml:space="preserve"> </w:t>
            </w:r>
            <w:r>
              <w:rPr>
                <w:rFonts w:ascii="Calibri" w:hAnsi="Calibri" w:cs="Calibri" w:hint="eastAsia"/>
                <w:sz w:val="20"/>
                <w:szCs w:val="20"/>
              </w:rPr>
              <w:t>q</w:t>
            </w:r>
            <w:r w:rsidRPr="00BE2B5D">
              <w:rPr>
                <w:rFonts w:ascii="Calibri" w:hAnsi="Calibri" w:cs="Calibri"/>
                <w:sz w:val="20"/>
                <w:szCs w:val="20"/>
              </w:rPr>
              <w:t xml:space="preserve">ualified rate of hole diameter </w:t>
            </w:r>
            <w:r>
              <w:rPr>
                <w:rFonts w:ascii="Calibri" w:hAnsi="Calibri" w:cs="Calibri" w:hint="eastAsia"/>
                <w:sz w:val="20"/>
                <w:szCs w:val="20"/>
              </w:rPr>
              <w:t>a</w:t>
            </w:r>
            <w:r w:rsidRPr="00BE2B5D">
              <w:rPr>
                <w:rFonts w:ascii="Calibri" w:hAnsi="Calibri" w:cs="Calibri"/>
                <w:sz w:val="20"/>
                <w:szCs w:val="20"/>
              </w:rPr>
              <w:t xml:space="preserve">verage hole distance </w:t>
            </w:r>
            <w:r>
              <w:rPr>
                <w:rFonts w:ascii="Calibri" w:hAnsi="Calibri" w:cs="Calibri" w:hint="eastAsia"/>
                <w:sz w:val="20"/>
                <w:szCs w:val="20"/>
              </w:rPr>
              <w:t>and c</w:t>
            </w:r>
            <w:r w:rsidRPr="00BE2B5D">
              <w:rPr>
                <w:rFonts w:ascii="Calibri" w:hAnsi="Calibri" w:cs="Calibri"/>
                <w:sz w:val="20"/>
                <w:szCs w:val="20"/>
              </w:rPr>
              <w:t>oefficient of variation of hole distance separately</w:t>
            </w:r>
            <w:r>
              <w:rPr>
                <w:rFonts w:ascii="Calibri" w:hAnsi="Calibri" w:cs="Calibri" w:hint="eastAsia"/>
                <w:sz w:val="20"/>
                <w:szCs w:val="20"/>
              </w:rPr>
              <w:t>.</w:t>
            </w:r>
          </w:p>
        </w:tc>
        <w:tc>
          <w:tcPr>
            <w:tcW w:w="1830" w:type="dxa"/>
            <w:tcBorders>
              <w:right w:val="single" w:sz="8" w:space="0" w:color="000000"/>
            </w:tcBorders>
            <w:tcMar>
              <w:top w:w="100" w:type="dxa"/>
              <w:left w:w="100" w:type="dxa"/>
              <w:bottom w:w="100" w:type="dxa"/>
              <w:right w:w="100" w:type="dxa"/>
            </w:tcMar>
          </w:tcPr>
          <w:p w14:paraId="29F22437" w14:textId="77777777" w:rsidR="000F243C" w:rsidRPr="00BE2B5D" w:rsidRDefault="000F243C" w:rsidP="00E85820">
            <w:pPr>
              <w:spacing w:line="240" w:lineRule="auto"/>
              <w:rPr>
                <w:rFonts w:ascii="Calibri" w:hAnsi="Calibri" w:cs="Calibri"/>
                <w:sz w:val="20"/>
                <w:szCs w:val="20"/>
              </w:rPr>
            </w:pPr>
            <w:r w:rsidRPr="00BE2B5D">
              <w:rPr>
                <w:rFonts w:ascii="Calibri" w:hAnsi="Calibri" w:cs="Calibri"/>
                <w:sz w:val="20"/>
                <w:szCs w:val="20"/>
              </w:rPr>
              <w:t xml:space="preserve">By observing the experimental results, the variation law of the </w:t>
            </w:r>
            <w:r w:rsidRPr="00FA08CE">
              <w:rPr>
                <w:rFonts w:ascii="Calibri" w:hAnsi="Calibri" w:cs="Calibri"/>
                <w:sz w:val="20"/>
                <w:szCs w:val="20"/>
              </w:rPr>
              <w:t xml:space="preserve">average hole diameter, qualified rate of hole diameter average hole distance and coefficient of variation of hole distance </w:t>
            </w:r>
            <w:r w:rsidRPr="00BE2B5D">
              <w:rPr>
                <w:rFonts w:ascii="Calibri" w:hAnsi="Calibri" w:cs="Calibri"/>
                <w:sz w:val="20"/>
                <w:szCs w:val="20"/>
              </w:rPr>
              <w:t>is obtained when the seeding angle changes.</w:t>
            </w:r>
          </w:p>
        </w:tc>
        <w:tc>
          <w:tcPr>
            <w:tcW w:w="1830" w:type="dxa"/>
            <w:tcBorders>
              <w:right w:val="single" w:sz="8" w:space="0" w:color="000000"/>
            </w:tcBorders>
            <w:tcMar>
              <w:top w:w="100" w:type="dxa"/>
              <w:left w:w="100" w:type="dxa"/>
              <w:bottom w:w="100" w:type="dxa"/>
              <w:right w:w="100" w:type="dxa"/>
            </w:tcMar>
          </w:tcPr>
          <w:p w14:paraId="496420A8" w14:textId="77777777" w:rsidR="000F243C" w:rsidRPr="00FA08CE" w:rsidRDefault="000F243C" w:rsidP="00E85820">
            <w:pPr>
              <w:spacing w:line="240" w:lineRule="auto"/>
              <w:rPr>
                <w:rFonts w:ascii="Calibri" w:hAnsi="Calibri" w:cs="Calibri"/>
                <w:sz w:val="20"/>
                <w:szCs w:val="20"/>
              </w:rPr>
            </w:pPr>
            <w:r>
              <w:rPr>
                <w:rFonts w:ascii="Calibri" w:hAnsi="Calibri" w:cs="Calibri" w:hint="eastAsia"/>
                <w:sz w:val="20"/>
                <w:szCs w:val="20"/>
              </w:rPr>
              <w:t>W</w:t>
            </w:r>
            <w:r w:rsidRPr="00FA08CE">
              <w:rPr>
                <w:rFonts w:ascii="Calibri" w:hAnsi="Calibri" w:cs="Calibri"/>
                <w:sz w:val="20"/>
                <w:szCs w:val="20"/>
              </w:rPr>
              <w:t xml:space="preserve">hen the seeding angle was too large, the multi-grain rice seeds in one hole </w:t>
            </w:r>
            <w:r>
              <w:rPr>
                <w:rFonts w:ascii="Calibri" w:hAnsi="Calibri" w:cs="Calibri" w:hint="eastAsia"/>
                <w:sz w:val="20"/>
                <w:szCs w:val="20"/>
              </w:rPr>
              <w:t xml:space="preserve">may </w:t>
            </w:r>
            <w:r w:rsidRPr="00FA08CE">
              <w:rPr>
                <w:rFonts w:ascii="Calibri" w:hAnsi="Calibri" w:cs="Calibri"/>
                <w:sz w:val="20"/>
                <w:szCs w:val="20"/>
              </w:rPr>
              <w:t>failed to achieve effective convergence, and the uniformity of seeding and hole spacing decreased again.</w:t>
            </w:r>
          </w:p>
        </w:tc>
      </w:tr>
      <w:tr w:rsidR="000F243C" w14:paraId="238DEE18" w14:textId="77777777" w:rsidTr="00E85820">
        <w:trPr>
          <w:trHeight w:val="1460"/>
        </w:trPr>
        <w:tc>
          <w:tcPr>
            <w:tcW w:w="18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6875D0D" w14:textId="77777777" w:rsidR="000F243C" w:rsidRDefault="000F243C" w:rsidP="00E85820">
            <w:pPr>
              <w:spacing w:line="240" w:lineRule="auto"/>
              <w:rPr>
                <w:rFonts w:ascii="Calibri" w:eastAsia="Calibri" w:hAnsi="Calibri" w:cs="Calibri"/>
                <w:sz w:val="20"/>
                <w:szCs w:val="20"/>
              </w:rPr>
            </w:pPr>
            <w:r w:rsidRPr="00FA08CE">
              <w:rPr>
                <w:rFonts w:ascii="Calibri" w:eastAsia="Calibri" w:hAnsi="Calibri" w:cs="Calibri"/>
                <w:sz w:val="20"/>
                <w:szCs w:val="20"/>
              </w:rPr>
              <w:t>Verify whether the impeller proposed in the paper can improve the performance of the seed metering device compared with the</w:t>
            </w:r>
            <w:r>
              <w:rPr>
                <w:rFonts w:ascii="Calibri" w:hAnsi="Calibri" w:cs="Calibri" w:hint="eastAsia"/>
                <w:sz w:val="20"/>
                <w:szCs w:val="20"/>
              </w:rPr>
              <w:t xml:space="preserve"> seed</w:t>
            </w:r>
            <w:r w:rsidRPr="00FA08CE">
              <w:rPr>
                <w:rFonts w:ascii="Calibri" w:eastAsia="Calibri" w:hAnsi="Calibri" w:cs="Calibri"/>
                <w:sz w:val="20"/>
                <w:szCs w:val="20"/>
              </w:rPr>
              <w:t xml:space="preserve"> guide tube.</w:t>
            </w:r>
          </w:p>
        </w:tc>
        <w:tc>
          <w:tcPr>
            <w:tcW w:w="1830" w:type="dxa"/>
            <w:tcBorders>
              <w:bottom w:val="single" w:sz="8" w:space="0" w:color="000000"/>
              <w:right w:val="single" w:sz="8" w:space="0" w:color="000000"/>
            </w:tcBorders>
            <w:tcMar>
              <w:top w:w="100" w:type="dxa"/>
              <w:left w:w="100" w:type="dxa"/>
              <w:bottom w:w="100" w:type="dxa"/>
              <w:right w:w="100" w:type="dxa"/>
            </w:tcMar>
          </w:tcPr>
          <w:p w14:paraId="1209787E" w14:textId="77777777" w:rsidR="000F243C" w:rsidRDefault="000F243C" w:rsidP="00E85820">
            <w:pPr>
              <w:spacing w:line="240" w:lineRule="auto"/>
              <w:rPr>
                <w:rFonts w:ascii="Calibri" w:eastAsia="Calibri" w:hAnsi="Calibri" w:cs="Calibri"/>
                <w:sz w:val="20"/>
                <w:szCs w:val="20"/>
              </w:rPr>
            </w:pPr>
            <w:r w:rsidRPr="008967E0">
              <w:rPr>
                <w:rFonts w:ascii="Calibri" w:eastAsia="Calibri" w:hAnsi="Calibri" w:cs="Calibri"/>
                <w:sz w:val="20"/>
                <w:szCs w:val="20"/>
              </w:rPr>
              <w:t>Through the impeller seed guide device, the performance of the whole machine will be improved.</w:t>
            </w:r>
          </w:p>
        </w:tc>
        <w:tc>
          <w:tcPr>
            <w:tcW w:w="1830" w:type="dxa"/>
            <w:tcBorders>
              <w:bottom w:val="single" w:sz="8" w:space="0" w:color="000000"/>
              <w:right w:val="single" w:sz="8" w:space="0" w:color="000000"/>
            </w:tcBorders>
            <w:tcMar>
              <w:top w:w="100" w:type="dxa"/>
              <w:left w:w="100" w:type="dxa"/>
              <w:bottom w:w="100" w:type="dxa"/>
              <w:right w:w="100" w:type="dxa"/>
            </w:tcMar>
          </w:tcPr>
          <w:p w14:paraId="1060392A" w14:textId="77777777" w:rsidR="000F243C" w:rsidRDefault="000F243C" w:rsidP="00E85820">
            <w:pPr>
              <w:spacing w:line="240" w:lineRule="auto"/>
              <w:rPr>
                <w:rFonts w:ascii="Calibri" w:eastAsia="Calibri" w:hAnsi="Calibri" w:cs="Calibri"/>
                <w:sz w:val="20"/>
                <w:szCs w:val="20"/>
              </w:rPr>
            </w:pPr>
            <w:r w:rsidRPr="00902DFC">
              <w:rPr>
                <w:rFonts w:ascii="Calibri" w:eastAsia="Calibri" w:hAnsi="Calibri" w:cs="Calibri"/>
                <w:sz w:val="20"/>
                <w:szCs w:val="20"/>
              </w:rPr>
              <w:t xml:space="preserve">Using </w:t>
            </w:r>
            <w:r>
              <w:rPr>
                <w:rFonts w:ascii="Calibri" w:hAnsi="Calibri" w:cs="Calibri" w:hint="eastAsia"/>
                <w:sz w:val="20"/>
                <w:szCs w:val="20"/>
              </w:rPr>
              <w:t>Chuangliangyou</w:t>
            </w:r>
            <w:r w:rsidRPr="00902DFC">
              <w:rPr>
                <w:rFonts w:ascii="Calibri" w:eastAsia="Calibri" w:hAnsi="Calibri" w:cs="Calibri"/>
                <w:sz w:val="20"/>
                <w:szCs w:val="20"/>
              </w:rPr>
              <w:t>4418,</w:t>
            </w:r>
            <w:r>
              <w:rPr>
                <w:rFonts w:ascii="Calibri" w:hAnsi="Calibri" w:cs="Calibri" w:hint="eastAsia"/>
                <w:sz w:val="20"/>
                <w:szCs w:val="20"/>
              </w:rPr>
              <w:t xml:space="preserve"> Zhongnong</w:t>
            </w:r>
            <w:r w:rsidRPr="00902DFC">
              <w:rPr>
                <w:rFonts w:ascii="Calibri" w:eastAsia="Calibri" w:hAnsi="Calibri" w:cs="Calibri"/>
                <w:sz w:val="20"/>
                <w:szCs w:val="20"/>
              </w:rPr>
              <w:t xml:space="preserve">2008, </w:t>
            </w:r>
            <w:r>
              <w:rPr>
                <w:rFonts w:ascii="Calibri" w:hAnsi="Calibri" w:cs="Calibri" w:hint="eastAsia"/>
                <w:sz w:val="20"/>
                <w:szCs w:val="20"/>
              </w:rPr>
              <w:t>and Yangguang</w:t>
            </w:r>
            <w:r w:rsidRPr="00902DFC">
              <w:rPr>
                <w:rFonts w:ascii="Calibri" w:eastAsia="Calibri" w:hAnsi="Calibri" w:cs="Calibri"/>
                <w:sz w:val="20"/>
                <w:szCs w:val="20"/>
              </w:rPr>
              <w:t>800 three kinds of seeds, through two kinds of seed guiding methods, the variation law of the average hole diameter, qualified rate of hole diameter average hole distance and coefficient of variation of hole distance was measured respectively, and the performance of the lower seed metering device of the two kinds of seed guiding methods was compared.</w:t>
            </w:r>
          </w:p>
        </w:tc>
        <w:tc>
          <w:tcPr>
            <w:tcW w:w="1830" w:type="dxa"/>
            <w:tcBorders>
              <w:bottom w:val="single" w:sz="8" w:space="0" w:color="000000"/>
              <w:right w:val="single" w:sz="8" w:space="0" w:color="000000"/>
            </w:tcBorders>
            <w:tcMar>
              <w:top w:w="100" w:type="dxa"/>
              <w:left w:w="100" w:type="dxa"/>
              <w:bottom w:w="100" w:type="dxa"/>
              <w:right w:w="100" w:type="dxa"/>
            </w:tcMar>
          </w:tcPr>
          <w:p w14:paraId="567DCD5C" w14:textId="77777777" w:rsidR="000F243C" w:rsidRDefault="000F243C" w:rsidP="00E85820">
            <w:pPr>
              <w:spacing w:line="240" w:lineRule="auto"/>
              <w:rPr>
                <w:rFonts w:ascii="Calibri" w:eastAsia="Calibri" w:hAnsi="Calibri" w:cs="Calibri"/>
                <w:sz w:val="20"/>
                <w:szCs w:val="20"/>
              </w:rPr>
            </w:pPr>
            <w:r w:rsidRPr="00902DFC">
              <w:rPr>
                <w:rFonts w:ascii="Calibri" w:eastAsia="Calibri" w:hAnsi="Calibri" w:cs="Calibri"/>
                <w:sz w:val="20"/>
                <w:szCs w:val="20"/>
              </w:rPr>
              <w:t>Through the experimental data, the comparison diagram of the parameters of the two seed introduction methods is made to compare the performance of the seed introduction.</w:t>
            </w:r>
          </w:p>
        </w:tc>
        <w:tc>
          <w:tcPr>
            <w:tcW w:w="1830" w:type="dxa"/>
            <w:tcBorders>
              <w:bottom w:val="single" w:sz="8" w:space="0" w:color="000000"/>
              <w:right w:val="single" w:sz="8" w:space="0" w:color="000000"/>
            </w:tcBorders>
            <w:tcMar>
              <w:top w:w="100" w:type="dxa"/>
              <w:left w:w="100" w:type="dxa"/>
              <w:bottom w:w="100" w:type="dxa"/>
              <w:right w:w="100" w:type="dxa"/>
            </w:tcMar>
          </w:tcPr>
          <w:p w14:paraId="333C18BE" w14:textId="77777777" w:rsidR="000F243C" w:rsidRDefault="000F243C" w:rsidP="00E85820">
            <w:pPr>
              <w:spacing w:line="240" w:lineRule="auto"/>
              <w:rPr>
                <w:rFonts w:ascii="Calibri" w:eastAsia="Calibri" w:hAnsi="Calibri" w:cs="Calibri"/>
                <w:sz w:val="20"/>
                <w:szCs w:val="20"/>
              </w:rPr>
            </w:pPr>
            <w:r w:rsidRPr="00902DFC">
              <w:rPr>
                <w:rFonts w:ascii="Calibri" w:eastAsia="Calibri" w:hAnsi="Calibri" w:cs="Calibri"/>
                <w:sz w:val="20"/>
                <w:szCs w:val="20"/>
              </w:rPr>
              <w:t>Through the above experiments, it is not possible to explore the best parameters of the impeller guide seed, so that its performance can not be significantly better than the guide seed tube guide seed.</w:t>
            </w:r>
          </w:p>
        </w:tc>
      </w:tr>
    </w:tbl>
    <w:p w14:paraId="16F3C39F" w14:textId="77777777" w:rsidR="000F243C" w:rsidRDefault="000F243C" w:rsidP="000F243C">
      <w:pPr>
        <w:spacing w:line="240" w:lineRule="auto"/>
        <w:rPr>
          <w:rFonts w:ascii="Calibri" w:eastAsia="Calibri" w:hAnsi="Calibri" w:cs="Calibri"/>
        </w:rPr>
      </w:pPr>
      <w:r>
        <w:rPr>
          <w:rFonts w:ascii="Calibri" w:eastAsia="Calibri" w:hAnsi="Calibri" w:cs="Calibri"/>
        </w:rPr>
        <w:t xml:space="preserve"> </w:t>
      </w:r>
    </w:p>
    <w:p w14:paraId="4141123F" w14:textId="0F148562" w:rsidR="00110104" w:rsidRPr="000F243C" w:rsidRDefault="00110104" w:rsidP="000F243C">
      <w:pPr>
        <w:spacing w:line="240" w:lineRule="auto"/>
        <w:rPr>
          <w:rFonts w:ascii="Calibri" w:eastAsia="Calibri" w:hAnsi="Calibri" w:cs="Calibri"/>
          <w:sz w:val="42"/>
          <w:szCs w:val="42"/>
        </w:rPr>
      </w:pPr>
      <w:bookmarkStart w:id="0" w:name="_7gc9ix103005" w:colFirst="0" w:colLast="0"/>
      <w:bookmarkEnd w:id="0"/>
    </w:p>
    <w:sectPr w:rsidR="00110104" w:rsidRPr="000F24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C1105"/>
    <w:multiLevelType w:val="multilevel"/>
    <w:tmpl w:val="4CA85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5706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C"/>
    <w:rsid w:val="000F243C"/>
    <w:rsid w:val="00110104"/>
    <w:rsid w:val="0021090F"/>
    <w:rsid w:val="00220E4E"/>
    <w:rsid w:val="003A76DF"/>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F3D8D"/>
  <w15:chartTrackingRefBased/>
  <w15:docId w15:val="{43495A21-2032-4059-AB5C-030254C22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43C"/>
    <w:pPr>
      <w:spacing w:after="0" w:line="276" w:lineRule="auto"/>
    </w:pPr>
    <w:rPr>
      <w:rFonts w:ascii="Arial" w:eastAsiaTheme="minorEastAsia" w:hAnsi="Arial" w:cs="Arial"/>
      <w:kern w:val="0"/>
      <w:lang w:val="en" w:eastAsia="zh-CN"/>
      <w14:ligatures w14:val="none"/>
    </w:rPr>
  </w:style>
  <w:style w:type="paragraph" w:styleId="Heading1">
    <w:name w:val="heading 1"/>
    <w:basedOn w:val="Normal"/>
    <w:next w:val="Normal"/>
    <w:link w:val="Heading1Char"/>
    <w:uiPriority w:val="9"/>
    <w:qFormat/>
    <w:rsid w:val="000F243C"/>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43C"/>
    <w:rPr>
      <w:rFonts w:ascii="Arial" w:eastAsiaTheme="minorEastAsia" w:hAnsi="Arial" w:cs="Arial"/>
      <w:kern w:val="0"/>
      <w:sz w:val="40"/>
      <w:szCs w:val="40"/>
      <w:lang w:val="en"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698</Words>
  <Characters>3985</Characters>
  <Application>Microsoft Office Word</Application>
  <DocSecurity>0</DocSecurity>
  <Lines>33</Lines>
  <Paragraphs>9</Paragraphs>
  <ScaleCrop>false</ScaleCrop>
  <Company>Springer Nature</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2024-03-20T16:39:00Z</dcterms:created>
  <dcterms:modified xsi:type="dcterms:W3CDTF">2024-03-20T16:40:00Z</dcterms:modified>
</cp:coreProperties>
</file>