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62E2" w14:textId="77777777" w:rsidR="00C46ABF" w:rsidRDefault="00C46ABF" w:rsidP="00C46ABF">
      <w:pPr>
        <w:pStyle w:val="1"/>
        <w:keepNext w:val="0"/>
        <w:keepLines w:val="0"/>
        <w:spacing w:before="0" w:after="0" w:line="240" w:lineRule="auto"/>
        <w:rPr>
          <w:rFonts w:ascii="Calibri" w:hAnsi="Calibri" w:cs="Calibri"/>
          <w:b/>
          <w:sz w:val="42"/>
          <w:szCs w:val="42"/>
        </w:rPr>
      </w:pPr>
      <w:r>
        <w:rPr>
          <w:rFonts w:ascii="Calibri" w:eastAsia="Calibri" w:hAnsi="Calibri" w:cs="Calibri"/>
          <w:b/>
          <w:sz w:val="42"/>
          <w:szCs w:val="42"/>
        </w:rPr>
        <w:t>Supplementary information</w:t>
      </w:r>
    </w:p>
    <w:p w14:paraId="10A36294" w14:textId="77777777" w:rsidR="00C46ABF" w:rsidRPr="00D94799" w:rsidRDefault="00C46ABF" w:rsidP="00C46ABF">
      <w:pPr>
        <w:pStyle w:val="2"/>
        <w:rPr>
          <w:rFonts w:asciiTheme="majorHAnsi" w:hAnsiTheme="majorHAnsi" w:cstheme="majorHAnsi"/>
          <w:sz w:val="22"/>
          <w:szCs w:val="22"/>
        </w:rPr>
      </w:pPr>
      <w:r w:rsidRPr="00D94799">
        <w:rPr>
          <w:rFonts w:asciiTheme="majorHAnsi" w:hAnsiTheme="majorHAnsi" w:cstheme="majorHAnsi"/>
          <w:sz w:val="22"/>
          <w:szCs w:val="22"/>
        </w:rPr>
        <w:t>Single factor test of blade offset angle</w:t>
      </w:r>
    </w:p>
    <w:p w14:paraId="67097F96" w14:textId="77777777" w:rsidR="00C46ABF" w:rsidRPr="00D94799" w:rsidRDefault="00C46ABF" w:rsidP="00C46ABF">
      <w:pPr>
        <w:rPr>
          <w:rFonts w:asciiTheme="majorHAnsi" w:hAnsiTheme="majorHAnsi" w:cstheme="majorHAnsi"/>
        </w:rPr>
      </w:pPr>
      <w:bookmarkStart w:id="0" w:name="_Hlk161087325"/>
      <w:r w:rsidRPr="00D94799">
        <w:rPr>
          <w:rFonts w:asciiTheme="majorHAnsi" w:hAnsiTheme="majorHAnsi" w:cstheme="majorHAnsi"/>
        </w:rPr>
        <w:t>To determine the suitable range of blade offset angles, an inner impeller with a radius of 52 mm was selected. The seed grouping rate Y was measured at different offset angles, specifically 5°, 10°, 15°, 20°, and 25°. The experimental results show that when the radius of the inner impeller is constant, the seed grouping increases first and then decreases with the increase of the blade offset angle. When the blade offset angle is in the range of 10 ° ~ 20 °, the rice seeds in the same hole are more likely to fall into the same internal impeller chamber, and the seed rate is higher, and the highest is 92.73 %, all above 85 %. The smaller or larger impeller offset angle, the lower the seed-grouping rate. It is indicated that the suitable blade offset angle should be between 10 ° and 20 °.</w:t>
      </w:r>
    </w:p>
    <w:bookmarkEnd w:id="0"/>
    <w:p w14:paraId="727083B1" w14:textId="77777777" w:rsidR="00C46ABF" w:rsidRPr="00D94799" w:rsidRDefault="00C46ABF" w:rsidP="00C46ABF">
      <w:pPr>
        <w:ind w:right="40"/>
        <w:rPr>
          <w:rFonts w:asciiTheme="majorHAnsi" w:hAnsiTheme="majorHAnsi" w:cstheme="majorHAnsi"/>
          <w:color w:val="1C1D1E"/>
          <w:shd w:val="clear" w:color="auto" w:fill="FFFFFF"/>
        </w:rPr>
      </w:pPr>
    </w:p>
    <w:p w14:paraId="61791436" w14:textId="77777777" w:rsidR="00C46ABF" w:rsidRPr="00D94799" w:rsidRDefault="00C46ABF" w:rsidP="00C46ABF">
      <w:pPr>
        <w:pStyle w:val="2"/>
        <w:rPr>
          <w:rFonts w:asciiTheme="majorHAnsi" w:hAnsiTheme="majorHAnsi" w:cstheme="majorHAnsi"/>
          <w:sz w:val="22"/>
          <w:szCs w:val="22"/>
        </w:rPr>
      </w:pPr>
      <w:r w:rsidRPr="00D94799">
        <w:rPr>
          <w:rFonts w:asciiTheme="majorHAnsi" w:hAnsiTheme="majorHAnsi" w:cstheme="majorHAnsi"/>
          <w:sz w:val="22"/>
          <w:szCs w:val="22"/>
        </w:rPr>
        <w:t>Two-factor full-factor test</w:t>
      </w:r>
    </w:p>
    <w:p w14:paraId="7D093FA5" w14:textId="77777777" w:rsidR="00C46ABF" w:rsidRPr="00D94799" w:rsidRDefault="00C46ABF" w:rsidP="00C46ABF">
      <w:pPr>
        <w:rPr>
          <w:rFonts w:asciiTheme="majorHAnsi" w:eastAsia="黑体" w:hAnsiTheme="majorHAnsi" w:cstheme="majorHAnsi"/>
        </w:rPr>
      </w:pPr>
      <w:bookmarkStart w:id="1" w:name="_Hlk161087360"/>
      <w:proofErr w:type="gramStart"/>
      <w:r w:rsidRPr="00D94799">
        <w:rPr>
          <w:rFonts w:asciiTheme="majorHAnsi" w:eastAsia="黑体" w:hAnsiTheme="majorHAnsi" w:cstheme="majorHAnsi"/>
        </w:rPr>
        <w:t>In order to</w:t>
      </w:r>
      <w:proofErr w:type="gramEnd"/>
      <w:r w:rsidRPr="00D94799">
        <w:rPr>
          <w:rFonts w:asciiTheme="majorHAnsi" w:eastAsia="黑体" w:hAnsiTheme="majorHAnsi" w:cstheme="majorHAnsi"/>
        </w:rPr>
        <w:t xml:space="preserve"> investigate the influence of different radius of the internal impeller and the interaction with different blade offset angles on the seed-grouping rate, to explore the optimal parameter combination of the internal impeller radius and the blade offset angle, and to improve the seed-grouping rate of the seed guide components, a two-factor full-factor test with different internal impeller radius and different blade offset angles was carried out. According to the single factor test results of blade offset angle, three levels of blade offset angle of 10 °, 15 ° and 20 ° are taken. The test scheme and results are shown in the Table 1.</w:t>
      </w:r>
    </w:p>
    <w:p w14:paraId="66DB8996" w14:textId="77777777" w:rsidR="00C46ABF" w:rsidRPr="00D94799" w:rsidRDefault="00C46ABF" w:rsidP="00C46ABF">
      <w:pPr>
        <w:rPr>
          <w:rFonts w:asciiTheme="majorHAnsi" w:eastAsia="黑体" w:hAnsiTheme="majorHAnsi" w:cstheme="majorHAnsi"/>
        </w:rPr>
      </w:pPr>
    </w:p>
    <w:tbl>
      <w:tblPr>
        <w:tblStyle w:val="a5"/>
        <w:tblW w:w="0" w:type="auto"/>
        <w:jc w:val="center"/>
        <w:tblLook w:val="04A0" w:firstRow="1" w:lastRow="0" w:firstColumn="1" w:lastColumn="0" w:noHBand="0" w:noVBand="1"/>
      </w:tblPr>
      <w:tblGrid>
        <w:gridCol w:w="2113"/>
        <w:gridCol w:w="2113"/>
        <w:gridCol w:w="2113"/>
        <w:gridCol w:w="2113"/>
      </w:tblGrid>
      <w:tr w:rsidR="00C46ABF" w:rsidRPr="00D94799" w14:paraId="69968A00" w14:textId="77777777" w:rsidTr="0008737B">
        <w:trPr>
          <w:trHeight w:val="278"/>
          <w:jc w:val="center"/>
        </w:trPr>
        <w:tc>
          <w:tcPr>
            <w:tcW w:w="2113" w:type="dxa"/>
            <w:vMerge w:val="restart"/>
            <w:vAlign w:val="center"/>
          </w:tcPr>
          <w:p w14:paraId="0F3A2805"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serial number</w:t>
            </w:r>
          </w:p>
        </w:tc>
        <w:tc>
          <w:tcPr>
            <w:tcW w:w="4226" w:type="dxa"/>
            <w:gridSpan w:val="2"/>
          </w:tcPr>
          <w:p w14:paraId="451E0A34"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various factors and levels</w:t>
            </w:r>
          </w:p>
        </w:tc>
        <w:tc>
          <w:tcPr>
            <w:tcW w:w="2113" w:type="dxa"/>
            <w:vMerge w:val="restart"/>
            <w:vAlign w:val="center"/>
          </w:tcPr>
          <w:p w14:paraId="2C7A442F"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hAnsiTheme="majorHAnsi" w:cstheme="majorHAnsi"/>
                <w:b/>
                <w:bCs/>
                <w:i/>
                <w:sz w:val="22"/>
                <w:szCs w:val="22"/>
              </w:rPr>
              <w:t xml:space="preserve">Y </w:t>
            </w:r>
            <w:r w:rsidRPr="00D94799">
              <w:rPr>
                <w:rFonts w:asciiTheme="majorHAnsi" w:eastAsiaTheme="minorEastAsia" w:hAnsiTheme="majorHAnsi" w:cstheme="majorHAnsi"/>
                <w:iCs/>
                <w:sz w:val="22"/>
                <w:szCs w:val="22"/>
                <w:lang w:eastAsia="zh-CN"/>
              </w:rPr>
              <w:t>(</w:t>
            </w:r>
            <w:r w:rsidRPr="00D94799">
              <w:rPr>
                <w:rFonts w:asciiTheme="majorHAnsi" w:hAnsiTheme="majorHAnsi" w:cstheme="majorHAnsi"/>
                <w:b/>
                <w:bCs/>
                <w:sz w:val="22"/>
                <w:szCs w:val="22"/>
              </w:rPr>
              <w:t>%</w:t>
            </w:r>
            <w:r w:rsidRPr="00D94799">
              <w:rPr>
                <w:rFonts w:asciiTheme="majorHAnsi" w:eastAsiaTheme="minorEastAsia" w:hAnsiTheme="majorHAnsi" w:cstheme="majorHAnsi"/>
                <w:b/>
                <w:bCs/>
                <w:sz w:val="22"/>
                <w:szCs w:val="22"/>
                <w:lang w:eastAsia="zh-CN"/>
              </w:rPr>
              <w:t>)</w:t>
            </w:r>
          </w:p>
        </w:tc>
      </w:tr>
      <w:tr w:rsidR="00C46ABF" w:rsidRPr="00D94799" w14:paraId="47A15B41" w14:textId="77777777" w:rsidTr="0008737B">
        <w:trPr>
          <w:trHeight w:val="155"/>
          <w:jc w:val="center"/>
        </w:trPr>
        <w:tc>
          <w:tcPr>
            <w:tcW w:w="2113" w:type="dxa"/>
            <w:vMerge/>
          </w:tcPr>
          <w:p w14:paraId="4F39146A" w14:textId="77777777" w:rsidR="00C46ABF" w:rsidRPr="00D94799" w:rsidRDefault="00C46ABF" w:rsidP="0008737B">
            <w:pPr>
              <w:jc w:val="center"/>
              <w:rPr>
                <w:rFonts w:asciiTheme="majorHAnsi" w:hAnsiTheme="majorHAnsi" w:cstheme="majorHAnsi"/>
                <w:sz w:val="22"/>
                <w:szCs w:val="22"/>
              </w:rPr>
            </w:pPr>
          </w:p>
        </w:tc>
        <w:tc>
          <w:tcPr>
            <w:tcW w:w="2113" w:type="dxa"/>
          </w:tcPr>
          <w:p w14:paraId="5BD10E5B"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hAnsiTheme="majorHAnsi" w:cstheme="majorHAnsi"/>
                <w:b/>
                <w:bCs/>
                <w:i/>
                <w:sz w:val="22"/>
                <w:szCs w:val="22"/>
              </w:rPr>
              <w:t>A</w:t>
            </w:r>
            <w:r w:rsidRPr="00D94799">
              <w:rPr>
                <w:rFonts w:asciiTheme="majorHAnsi" w:eastAsiaTheme="minorEastAsia" w:hAnsiTheme="majorHAnsi" w:cstheme="majorHAnsi"/>
                <w:b/>
                <w:bCs/>
                <w:sz w:val="22"/>
                <w:szCs w:val="22"/>
                <w:lang w:eastAsia="zh-CN"/>
              </w:rPr>
              <w:t xml:space="preserve">: </w:t>
            </w:r>
            <w:r w:rsidRPr="00D94799">
              <w:rPr>
                <w:rFonts w:asciiTheme="majorHAnsi" w:hAnsiTheme="majorHAnsi" w:cstheme="majorHAnsi"/>
                <w:b/>
                <w:bCs/>
                <w:sz w:val="22"/>
                <w:szCs w:val="22"/>
              </w:rPr>
              <w:t xml:space="preserve">Radius of Internal impeller </w:t>
            </w:r>
            <w:r w:rsidRPr="00D94799">
              <w:rPr>
                <w:rFonts w:asciiTheme="majorHAnsi" w:eastAsiaTheme="minorEastAsia" w:hAnsiTheme="majorHAnsi" w:cstheme="majorHAnsi"/>
                <w:sz w:val="22"/>
                <w:szCs w:val="22"/>
                <w:lang w:eastAsia="zh-CN"/>
              </w:rPr>
              <w:t>(</w:t>
            </w:r>
            <w:r w:rsidRPr="00D94799">
              <w:rPr>
                <w:rFonts w:asciiTheme="majorHAnsi" w:hAnsiTheme="majorHAnsi" w:cstheme="majorHAnsi"/>
                <w:sz w:val="22"/>
                <w:szCs w:val="22"/>
              </w:rPr>
              <w:t>mm</w:t>
            </w:r>
            <w:r w:rsidRPr="00D94799">
              <w:rPr>
                <w:rFonts w:asciiTheme="majorHAnsi" w:eastAsiaTheme="minorEastAsia" w:hAnsiTheme="majorHAnsi" w:cstheme="majorHAnsi"/>
                <w:sz w:val="22"/>
                <w:szCs w:val="22"/>
                <w:lang w:eastAsia="zh-CN"/>
              </w:rPr>
              <w:t>)</w:t>
            </w:r>
          </w:p>
        </w:tc>
        <w:tc>
          <w:tcPr>
            <w:tcW w:w="2113" w:type="dxa"/>
          </w:tcPr>
          <w:p w14:paraId="7E20AFD1"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hAnsiTheme="majorHAnsi" w:cstheme="majorHAnsi"/>
                <w:b/>
                <w:bCs/>
                <w:sz w:val="22"/>
                <w:szCs w:val="22"/>
              </w:rPr>
              <w:t>B</w:t>
            </w:r>
            <w:r w:rsidRPr="00D94799">
              <w:rPr>
                <w:rFonts w:asciiTheme="majorHAnsi" w:eastAsia="宋体" w:hAnsiTheme="majorHAnsi" w:cstheme="majorHAnsi"/>
                <w:b/>
                <w:bCs/>
                <w:sz w:val="22"/>
                <w:szCs w:val="22"/>
              </w:rPr>
              <w:t>：</w:t>
            </w:r>
            <w:r w:rsidRPr="00D94799">
              <w:rPr>
                <w:rFonts w:asciiTheme="majorHAnsi" w:hAnsiTheme="majorHAnsi" w:cstheme="majorHAnsi"/>
                <w:b/>
                <w:bCs/>
                <w:sz w:val="22"/>
                <w:szCs w:val="22"/>
              </w:rPr>
              <w:t xml:space="preserve"> Offset angle of inner impeller</w:t>
            </w:r>
            <w:r w:rsidRPr="00D94799">
              <w:rPr>
                <w:rFonts w:asciiTheme="majorHAnsi" w:hAnsiTheme="majorHAnsi" w:cstheme="majorHAnsi"/>
                <w:sz w:val="22"/>
                <w:szCs w:val="22"/>
              </w:rPr>
              <w:t xml:space="preserve"> </w:t>
            </w:r>
            <w:r w:rsidRPr="00D94799">
              <w:rPr>
                <w:rFonts w:asciiTheme="majorHAnsi" w:eastAsiaTheme="minorEastAsia" w:hAnsiTheme="majorHAnsi" w:cstheme="majorHAnsi"/>
                <w:sz w:val="22"/>
                <w:szCs w:val="22"/>
                <w:lang w:eastAsia="zh-CN"/>
              </w:rPr>
              <w:t>(</w:t>
            </w:r>
            <w:r w:rsidRPr="00D94799">
              <w:rPr>
                <w:rFonts w:asciiTheme="majorHAnsi" w:hAnsiTheme="majorHAnsi" w:cstheme="majorHAnsi"/>
                <w:sz w:val="22"/>
                <w:szCs w:val="22"/>
              </w:rPr>
              <w:t>°</w:t>
            </w:r>
            <w:r w:rsidRPr="00D94799">
              <w:rPr>
                <w:rFonts w:asciiTheme="majorHAnsi" w:eastAsiaTheme="minorEastAsia" w:hAnsiTheme="majorHAnsi" w:cstheme="majorHAnsi"/>
                <w:sz w:val="22"/>
                <w:szCs w:val="22"/>
                <w:lang w:eastAsia="zh-CN"/>
              </w:rPr>
              <w:t>)</w:t>
            </w:r>
          </w:p>
        </w:tc>
        <w:tc>
          <w:tcPr>
            <w:tcW w:w="2113" w:type="dxa"/>
            <w:vMerge/>
          </w:tcPr>
          <w:p w14:paraId="4705E14E" w14:textId="77777777" w:rsidR="00C46ABF" w:rsidRPr="00D94799" w:rsidRDefault="00C46ABF" w:rsidP="0008737B">
            <w:pPr>
              <w:jc w:val="center"/>
              <w:rPr>
                <w:rFonts w:asciiTheme="majorHAnsi" w:hAnsiTheme="majorHAnsi" w:cstheme="majorHAnsi"/>
                <w:sz w:val="22"/>
                <w:szCs w:val="22"/>
              </w:rPr>
            </w:pPr>
          </w:p>
        </w:tc>
      </w:tr>
      <w:tr w:rsidR="00C46ABF" w:rsidRPr="00D94799" w14:paraId="3693F0AB" w14:textId="77777777" w:rsidTr="0008737B">
        <w:trPr>
          <w:trHeight w:val="278"/>
          <w:jc w:val="center"/>
        </w:trPr>
        <w:tc>
          <w:tcPr>
            <w:tcW w:w="2113" w:type="dxa"/>
          </w:tcPr>
          <w:p w14:paraId="1436B85D"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2113" w:type="dxa"/>
          </w:tcPr>
          <w:p w14:paraId="124B82E8"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48</w:t>
            </w:r>
          </w:p>
        </w:tc>
        <w:tc>
          <w:tcPr>
            <w:tcW w:w="2113" w:type="dxa"/>
          </w:tcPr>
          <w:p w14:paraId="75E9BDD1"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10</w:t>
            </w:r>
          </w:p>
        </w:tc>
        <w:tc>
          <w:tcPr>
            <w:tcW w:w="2113" w:type="dxa"/>
          </w:tcPr>
          <w:p w14:paraId="2323FC5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85.86%</w:t>
            </w:r>
          </w:p>
        </w:tc>
      </w:tr>
      <w:tr w:rsidR="00C46ABF" w:rsidRPr="00D94799" w14:paraId="1438A3D9" w14:textId="77777777" w:rsidTr="0008737B">
        <w:trPr>
          <w:trHeight w:val="268"/>
          <w:jc w:val="center"/>
        </w:trPr>
        <w:tc>
          <w:tcPr>
            <w:tcW w:w="2113" w:type="dxa"/>
          </w:tcPr>
          <w:p w14:paraId="648494E7"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2</w:t>
            </w:r>
          </w:p>
        </w:tc>
        <w:tc>
          <w:tcPr>
            <w:tcW w:w="2113" w:type="dxa"/>
          </w:tcPr>
          <w:p w14:paraId="4D515861"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48</w:t>
            </w:r>
          </w:p>
        </w:tc>
        <w:tc>
          <w:tcPr>
            <w:tcW w:w="2113" w:type="dxa"/>
          </w:tcPr>
          <w:p w14:paraId="44B861BF"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15</w:t>
            </w:r>
          </w:p>
        </w:tc>
        <w:tc>
          <w:tcPr>
            <w:tcW w:w="2113" w:type="dxa"/>
          </w:tcPr>
          <w:p w14:paraId="708AB46D"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86.53%</w:t>
            </w:r>
          </w:p>
        </w:tc>
      </w:tr>
      <w:tr w:rsidR="00C46ABF" w:rsidRPr="00D94799" w14:paraId="44DFB5F2" w14:textId="77777777" w:rsidTr="0008737B">
        <w:trPr>
          <w:trHeight w:val="278"/>
          <w:jc w:val="center"/>
        </w:trPr>
        <w:tc>
          <w:tcPr>
            <w:tcW w:w="2113" w:type="dxa"/>
          </w:tcPr>
          <w:p w14:paraId="5BF2852F"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3</w:t>
            </w:r>
          </w:p>
        </w:tc>
        <w:tc>
          <w:tcPr>
            <w:tcW w:w="2113" w:type="dxa"/>
          </w:tcPr>
          <w:p w14:paraId="01EC559D"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48</w:t>
            </w:r>
          </w:p>
        </w:tc>
        <w:tc>
          <w:tcPr>
            <w:tcW w:w="2113" w:type="dxa"/>
          </w:tcPr>
          <w:p w14:paraId="629D0CF9"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20</w:t>
            </w:r>
          </w:p>
        </w:tc>
        <w:tc>
          <w:tcPr>
            <w:tcW w:w="2113" w:type="dxa"/>
          </w:tcPr>
          <w:p w14:paraId="3E079B5B"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80.75%</w:t>
            </w:r>
          </w:p>
        </w:tc>
      </w:tr>
      <w:tr w:rsidR="00C46ABF" w:rsidRPr="00D94799" w14:paraId="19920D5A" w14:textId="77777777" w:rsidTr="0008737B">
        <w:trPr>
          <w:trHeight w:val="268"/>
          <w:jc w:val="center"/>
        </w:trPr>
        <w:tc>
          <w:tcPr>
            <w:tcW w:w="2113" w:type="dxa"/>
          </w:tcPr>
          <w:p w14:paraId="5553CE1E"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4</w:t>
            </w:r>
          </w:p>
        </w:tc>
        <w:tc>
          <w:tcPr>
            <w:tcW w:w="2113" w:type="dxa"/>
          </w:tcPr>
          <w:p w14:paraId="0B174080"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52</w:t>
            </w:r>
          </w:p>
        </w:tc>
        <w:tc>
          <w:tcPr>
            <w:tcW w:w="2113" w:type="dxa"/>
          </w:tcPr>
          <w:p w14:paraId="16121BAF"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10</w:t>
            </w:r>
          </w:p>
        </w:tc>
        <w:tc>
          <w:tcPr>
            <w:tcW w:w="2113" w:type="dxa"/>
          </w:tcPr>
          <w:p w14:paraId="4FBCD05B"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87.54%</w:t>
            </w:r>
          </w:p>
        </w:tc>
      </w:tr>
      <w:tr w:rsidR="00C46ABF" w:rsidRPr="00D94799" w14:paraId="27CA1F31" w14:textId="77777777" w:rsidTr="0008737B">
        <w:trPr>
          <w:trHeight w:val="278"/>
          <w:jc w:val="center"/>
        </w:trPr>
        <w:tc>
          <w:tcPr>
            <w:tcW w:w="2113" w:type="dxa"/>
          </w:tcPr>
          <w:p w14:paraId="1316E47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5</w:t>
            </w:r>
          </w:p>
        </w:tc>
        <w:tc>
          <w:tcPr>
            <w:tcW w:w="2113" w:type="dxa"/>
          </w:tcPr>
          <w:p w14:paraId="7046F6CD"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52</w:t>
            </w:r>
          </w:p>
        </w:tc>
        <w:tc>
          <w:tcPr>
            <w:tcW w:w="2113" w:type="dxa"/>
          </w:tcPr>
          <w:p w14:paraId="6D770D4E"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15</w:t>
            </w:r>
          </w:p>
        </w:tc>
        <w:tc>
          <w:tcPr>
            <w:tcW w:w="2113" w:type="dxa"/>
          </w:tcPr>
          <w:p w14:paraId="0B466CD7"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89.72%</w:t>
            </w:r>
          </w:p>
        </w:tc>
      </w:tr>
      <w:tr w:rsidR="00C46ABF" w:rsidRPr="00D94799" w14:paraId="381CC06D" w14:textId="77777777" w:rsidTr="0008737B">
        <w:trPr>
          <w:trHeight w:val="268"/>
          <w:jc w:val="center"/>
        </w:trPr>
        <w:tc>
          <w:tcPr>
            <w:tcW w:w="2113" w:type="dxa"/>
          </w:tcPr>
          <w:p w14:paraId="101B5F4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6</w:t>
            </w:r>
          </w:p>
        </w:tc>
        <w:tc>
          <w:tcPr>
            <w:tcW w:w="2113" w:type="dxa"/>
          </w:tcPr>
          <w:p w14:paraId="05234E1D"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52</w:t>
            </w:r>
          </w:p>
        </w:tc>
        <w:tc>
          <w:tcPr>
            <w:tcW w:w="2113" w:type="dxa"/>
          </w:tcPr>
          <w:p w14:paraId="367852CD"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20</w:t>
            </w:r>
          </w:p>
        </w:tc>
        <w:tc>
          <w:tcPr>
            <w:tcW w:w="2113" w:type="dxa"/>
          </w:tcPr>
          <w:p w14:paraId="410D590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93.68%</w:t>
            </w:r>
          </w:p>
        </w:tc>
      </w:tr>
      <w:tr w:rsidR="00C46ABF" w:rsidRPr="00D94799" w14:paraId="6F210542" w14:textId="77777777" w:rsidTr="0008737B">
        <w:trPr>
          <w:trHeight w:val="278"/>
          <w:jc w:val="center"/>
        </w:trPr>
        <w:tc>
          <w:tcPr>
            <w:tcW w:w="2113" w:type="dxa"/>
          </w:tcPr>
          <w:p w14:paraId="420EE47F"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7</w:t>
            </w:r>
          </w:p>
        </w:tc>
        <w:tc>
          <w:tcPr>
            <w:tcW w:w="2113" w:type="dxa"/>
          </w:tcPr>
          <w:p w14:paraId="5060C03E"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56</w:t>
            </w:r>
          </w:p>
        </w:tc>
        <w:tc>
          <w:tcPr>
            <w:tcW w:w="2113" w:type="dxa"/>
          </w:tcPr>
          <w:p w14:paraId="2ABBD7C7"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10</w:t>
            </w:r>
          </w:p>
        </w:tc>
        <w:tc>
          <w:tcPr>
            <w:tcW w:w="2113" w:type="dxa"/>
          </w:tcPr>
          <w:p w14:paraId="0351AB30"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90.59%</w:t>
            </w:r>
          </w:p>
        </w:tc>
      </w:tr>
      <w:tr w:rsidR="00C46ABF" w:rsidRPr="00D94799" w14:paraId="1FD99F68" w14:textId="77777777" w:rsidTr="0008737B">
        <w:trPr>
          <w:trHeight w:val="268"/>
          <w:jc w:val="center"/>
        </w:trPr>
        <w:tc>
          <w:tcPr>
            <w:tcW w:w="2113" w:type="dxa"/>
          </w:tcPr>
          <w:p w14:paraId="60D3B75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w:t>
            </w:r>
          </w:p>
        </w:tc>
        <w:tc>
          <w:tcPr>
            <w:tcW w:w="2113" w:type="dxa"/>
          </w:tcPr>
          <w:p w14:paraId="352DEAB6"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56</w:t>
            </w:r>
          </w:p>
        </w:tc>
        <w:tc>
          <w:tcPr>
            <w:tcW w:w="2113" w:type="dxa"/>
          </w:tcPr>
          <w:p w14:paraId="3D921AFD"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15</w:t>
            </w:r>
          </w:p>
        </w:tc>
        <w:tc>
          <w:tcPr>
            <w:tcW w:w="2113" w:type="dxa"/>
          </w:tcPr>
          <w:p w14:paraId="292231B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96.41%</w:t>
            </w:r>
          </w:p>
        </w:tc>
      </w:tr>
      <w:tr w:rsidR="00C46ABF" w:rsidRPr="00D94799" w14:paraId="4EC5734E" w14:textId="77777777" w:rsidTr="0008737B">
        <w:trPr>
          <w:trHeight w:val="278"/>
          <w:jc w:val="center"/>
        </w:trPr>
        <w:tc>
          <w:tcPr>
            <w:tcW w:w="2113" w:type="dxa"/>
          </w:tcPr>
          <w:p w14:paraId="7AC52A86"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w:t>
            </w:r>
          </w:p>
        </w:tc>
        <w:tc>
          <w:tcPr>
            <w:tcW w:w="2113" w:type="dxa"/>
          </w:tcPr>
          <w:p w14:paraId="78FD5D66"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56</w:t>
            </w:r>
          </w:p>
        </w:tc>
        <w:tc>
          <w:tcPr>
            <w:tcW w:w="2113" w:type="dxa"/>
          </w:tcPr>
          <w:p w14:paraId="2AF502AC" w14:textId="77777777" w:rsidR="00C46ABF" w:rsidRPr="00D94799" w:rsidRDefault="00C46ABF" w:rsidP="0008737B">
            <w:pPr>
              <w:jc w:val="center"/>
              <w:rPr>
                <w:rFonts w:asciiTheme="majorHAnsi" w:eastAsiaTheme="minorEastAsia" w:hAnsiTheme="majorHAnsi" w:cstheme="majorHAnsi"/>
                <w:sz w:val="22"/>
                <w:szCs w:val="22"/>
                <w:lang w:eastAsia="zh-CN"/>
              </w:rPr>
            </w:pPr>
            <w:r w:rsidRPr="00D94799">
              <w:rPr>
                <w:rFonts w:asciiTheme="majorHAnsi" w:eastAsiaTheme="minorEastAsia" w:hAnsiTheme="majorHAnsi" w:cstheme="majorHAnsi"/>
                <w:sz w:val="22"/>
                <w:szCs w:val="22"/>
                <w:lang w:eastAsia="zh-CN"/>
              </w:rPr>
              <w:t>20</w:t>
            </w:r>
          </w:p>
        </w:tc>
        <w:tc>
          <w:tcPr>
            <w:tcW w:w="2113" w:type="dxa"/>
          </w:tcPr>
          <w:p w14:paraId="14745AA0"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98.00%</w:t>
            </w:r>
          </w:p>
        </w:tc>
      </w:tr>
    </w:tbl>
    <w:p w14:paraId="07E5669C"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b/>
          <w:bCs/>
        </w:rPr>
        <w:t>Table 1</w:t>
      </w:r>
      <w:r w:rsidRPr="00D94799">
        <w:rPr>
          <w:rFonts w:asciiTheme="majorHAnsi" w:eastAsia="黑体" w:hAnsiTheme="majorHAnsi" w:cstheme="majorHAnsi"/>
        </w:rPr>
        <w:t>. Full factorial test scheme and results</w:t>
      </w:r>
    </w:p>
    <w:p w14:paraId="069E1809" w14:textId="77777777" w:rsidR="00C46ABF" w:rsidRPr="00D94799" w:rsidRDefault="00C46ABF" w:rsidP="00C46ABF">
      <w:pPr>
        <w:rPr>
          <w:rFonts w:asciiTheme="majorHAnsi" w:eastAsia="黑体" w:hAnsiTheme="majorHAnsi" w:cstheme="majorHAnsi"/>
        </w:rPr>
      </w:pPr>
    </w:p>
    <w:p w14:paraId="7A0CCEEF"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The regression analysis of the test results in the Table 1 was carried out by using the Design-Expert software, and the regression model equation of the vaccination rate was obtained as follows:</w:t>
      </w:r>
    </w:p>
    <w:p w14:paraId="586B9378" w14:textId="77777777" w:rsidR="00C46ABF" w:rsidRPr="00D94799" w:rsidRDefault="00C46ABF" w:rsidP="00C46ABF">
      <w:pPr>
        <w:jc w:val="right"/>
        <w:rPr>
          <w:rFonts w:asciiTheme="majorHAnsi" w:hAnsiTheme="majorHAnsi" w:cstheme="majorHAnsi"/>
        </w:rPr>
      </w:pPr>
      <w:r w:rsidRPr="00D94799">
        <w:rPr>
          <w:rFonts w:asciiTheme="majorHAnsi" w:hAnsiTheme="majorHAnsi" w:cstheme="majorHAnsi"/>
          <w:position w:val="-6"/>
        </w:rPr>
        <w:object w:dxaOrig="7720" w:dyaOrig="320" w14:anchorId="04632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18pt" o:ole="">
            <v:imagedata r:id="rId4" o:title=""/>
          </v:shape>
          <o:OLEObject Type="Embed" ProgID="Equation.DSMT4" ShapeID="_x0000_i1025" DrawAspect="Content" ObjectID="_1771781735" r:id="rId5"/>
        </w:object>
      </w:r>
      <w:r w:rsidRPr="00D94799">
        <w:rPr>
          <w:rFonts w:asciiTheme="majorHAnsi" w:hAnsiTheme="majorHAnsi" w:cstheme="majorHAnsi"/>
        </w:rPr>
        <w:t xml:space="preserve">     </w:t>
      </w:r>
      <w:r w:rsidRPr="00D94799">
        <w:rPr>
          <w:rFonts w:asciiTheme="majorHAnsi" w:eastAsia="宋体" w:hAnsiTheme="majorHAnsi" w:cstheme="majorHAnsi"/>
        </w:rPr>
        <w:t>(18)</w:t>
      </w:r>
    </w:p>
    <w:p w14:paraId="32054B1F"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In the formula: A and B are the radius of the inner impeller and the blade offset angle respectively. The results of variance analysis are shown in the Table 2.</w:t>
      </w:r>
    </w:p>
    <w:p w14:paraId="101FA6A7" w14:textId="77777777" w:rsidR="00C46ABF" w:rsidRPr="00D94799" w:rsidRDefault="00C46ABF" w:rsidP="00C46ABF">
      <w:pPr>
        <w:rPr>
          <w:rFonts w:asciiTheme="majorHAnsi" w:hAnsiTheme="majorHAnsi" w:cstheme="majorHAnsi"/>
        </w:rPr>
      </w:pPr>
    </w:p>
    <w:tbl>
      <w:tblPr>
        <w:tblStyle w:val="a5"/>
        <w:tblW w:w="5000" w:type="pct"/>
        <w:tblCellMar>
          <w:top w:w="28" w:type="dxa"/>
          <w:bottom w:w="28" w:type="dxa"/>
        </w:tblCellMar>
        <w:tblLook w:val="04A0" w:firstRow="1" w:lastRow="0" w:firstColumn="1" w:lastColumn="0" w:noHBand="0" w:noVBand="1"/>
      </w:tblPr>
      <w:tblGrid>
        <w:gridCol w:w="1344"/>
        <w:gridCol w:w="1704"/>
        <w:gridCol w:w="1244"/>
        <w:gridCol w:w="1664"/>
        <w:gridCol w:w="1107"/>
        <w:gridCol w:w="1107"/>
        <w:gridCol w:w="1180"/>
      </w:tblGrid>
      <w:tr w:rsidR="00C46ABF" w:rsidRPr="00D94799" w14:paraId="547D236C" w14:textId="77777777" w:rsidTr="0008737B">
        <w:trPr>
          <w:trHeight w:val="327"/>
        </w:trPr>
        <w:tc>
          <w:tcPr>
            <w:tcW w:w="719" w:type="pct"/>
            <w:vAlign w:val="center"/>
          </w:tcPr>
          <w:p w14:paraId="29490599"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lastRenderedPageBreak/>
              <w:t>Source</w:t>
            </w:r>
          </w:p>
        </w:tc>
        <w:tc>
          <w:tcPr>
            <w:tcW w:w="911" w:type="pct"/>
            <w:vAlign w:val="center"/>
          </w:tcPr>
          <w:p w14:paraId="71688982"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Sum of Squares</w:t>
            </w:r>
          </w:p>
        </w:tc>
        <w:tc>
          <w:tcPr>
            <w:tcW w:w="665" w:type="pct"/>
            <w:vAlign w:val="center"/>
          </w:tcPr>
          <w:p w14:paraId="527032A4" w14:textId="77777777" w:rsidR="00C46ABF" w:rsidRPr="00D94799" w:rsidRDefault="00C46ABF" w:rsidP="0008737B">
            <w:pPr>
              <w:jc w:val="center"/>
              <w:rPr>
                <w:rFonts w:asciiTheme="majorHAnsi" w:hAnsiTheme="majorHAnsi" w:cstheme="majorHAnsi"/>
                <w:b/>
                <w:bCs/>
                <w:sz w:val="22"/>
                <w:szCs w:val="22"/>
              </w:rPr>
            </w:pPr>
            <w:proofErr w:type="spellStart"/>
            <w:r w:rsidRPr="00D94799">
              <w:rPr>
                <w:rFonts w:asciiTheme="majorHAnsi" w:hAnsiTheme="majorHAnsi" w:cstheme="majorHAnsi"/>
                <w:b/>
                <w:bCs/>
                <w:sz w:val="22"/>
                <w:szCs w:val="22"/>
              </w:rPr>
              <w:t>df</w:t>
            </w:r>
            <w:proofErr w:type="spellEnd"/>
          </w:p>
        </w:tc>
        <w:tc>
          <w:tcPr>
            <w:tcW w:w="890" w:type="pct"/>
            <w:vAlign w:val="center"/>
          </w:tcPr>
          <w:p w14:paraId="3553A581"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Mean Square</w:t>
            </w:r>
          </w:p>
        </w:tc>
        <w:tc>
          <w:tcPr>
            <w:tcW w:w="592" w:type="pct"/>
            <w:vAlign w:val="center"/>
          </w:tcPr>
          <w:p w14:paraId="65011D3A"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i/>
                <w:sz w:val="22"/>
                <w:szCs w:val="22"/>
              </w:rPr>
              <w:t>F</w:t>
            </w:r>
            <w:r w:rsidRPr="00D94799">
              <w:rPr>
                <w:rFonts w:asciiTheme="majorHAnsi" w:hAnsiTheme="majorHAnsi" w:cstheme="majorHAnsi"/>
                <w:b/>
                <w:bCs/>
                <w:sz w:val="22"/>
                <w:szCs w:val="22"/>
              </w:rPr>
              <w:t>-value</w:t>
            </w:r>
          </w:p>
        </w:tc>
        <w:tc>
          <w:tcPr>
            <w:tcW w:w="592" w:type="pct"/>
            <w:vAlign w:val="center"/>
          </w:tcPr>
          <w:p w14:paraId="76CB3254"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i/>
                <w:sz w:val="22"/>
                <w:szCs w:val="22"/>
              </w:rPr>
              <w:t>p</w:t>
            </w:r>
            <w:r w:rsidRPr="00D94799">
              <w:rPr>
                <w:rFonts w:asciiTheme="majorHAnsi" w:hAnsiTheme="majorHAnsi" w:cstheme="majorHAnsi"/>
                <w:b/>
                <w:bCs/>
                <w:sz w:val="22"/>
                <w:szCs w:val="22"/>
              </w:rPr>
              <w:t>-value</w:t>
            </w:r>
          </w:p>
        </w:tc>
        <w:tc>
          <w:tcPr>
            <w:tcW w:w="632" w:type="pct"/>
            <w:vAlign w:val="center"/>
          </w:tcPr>
          <w:p w14:paraId="6C56AECF" w14:textId="77777777" w:rsidR="00C46ABF" w:rsidRPr="00D94799" w:rsidRDefault="00C46ABF" w:rsidP="0008737B">
            <w:pPr>
              <w:jc w:val="center"/>
              <w:rPr>
                <w:rFonts w:asciiTheme="majorHAnsi" w:hAnsiTheme="majorHAnsi" w:cstheme="majorHAnsi"/>
                <w:b/>
                <w:bCs/>
                <w:sz w:val="22"/>
                <w:szCs w:val="22"/>
              </w:rPr>
            </w:pPr>
          </w:p>
        </w:tc>
      </w:tr>
      <w:tr w:rsidR="00C46ABF" w:rsidRPr="00D94799" w14:paraId="33B69E49" w14:textId="77777777" w:rsidTr="0008737B">
        <w:trPr>
          <w:trHeight w:val="258"/>
        </w:trPr>
        <w:tc>
          <w:tcPr>
            <w:tcW w:w="719" w:type="pct"/>
            <w:vAlign w:val="center"/>
          </w:tcPr>
          <w:p w14:paraId="5FC4D98C"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Model</w:t>
            </w:r>
          </w:p>
        </w:tc>
        <w:tc>
          <w:tcPr>
            <w:tcW w:w="911" w:type="pct"/>
            <w:vAlign w:val="center"/>
          </w:tcPr>
          <w:p w14:paraId="1DDABE9B"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0.0225</w:t>
            </w:r>
          </w:p>
        </w:tc>
        <w:tc>
          <w:tcPr>
            <w:tcW w:w="665" w:type="pct"/>
            <w:vAlign w:val="center"/>
          </w:tcPr>
          <w:p w14:paraId="6BCF059D"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5</w:t>
            </w:r>
          </w:p>
        </w:tc>
        <w:tc>
          <w:tcPr>
            <w:tcW w:w="890" w:type="pct"/>
            <w:vAlign w:val="center"/>
          </w:tcPr>
          <w:p w14:paraId="001758EB"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0.0045</w:t>
            </w:r>
          </w:p>
        </w:tc>
        <w:tc>
          <w:tcPr>
            <w:tcW w:w="592" w:type="pct"/>
            <w:vAlign w:val="center"/>
          </w:tcPr>
          <w:p w14:paraId="1ABACCAC"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9.43</w:t>
            </w:r>
          </w:p>
        </w:tc>
        <w:tc>
          <w:tcPr>
            <w:tcW w:w="592" w:type="pct"/>
            <w:vAlign w:val="center"/>
          </w:tcPr>
          <w:p w14:paraId="0B4A96C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0.0470</w:t>
            </w:r>
          </w:p>
        </w:tc>
        <w:tc>
          <w:tcPr>
            <w:tcW w:w="632" w:type="pct"/>
            <w:vAlign w:val="center"/>
          </w:tcPr>
          <w:p w14:paraId="47877C41"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significant</w:t>
            </w:r>
          </w:p>
        </w:tc>
      </w:tr>
      <w:tr w:rsidR="00C46ABF" w:rsidRPr="00D94799" w14:paraId="5C1B8053" w14:textId="77777777" w:rsidTr="0008737B">
        <w:trPr>
          <w:trHeight w:val="286"/>
        </w:trPr>
        <w:tc>
          <w:tcPr>
            <w:tcW w:w="719" w:type="pct"/>
            <w:vAlign w:val="center"/>
          </w:tcPr>
          <w:p w14:paraId="7FE313BB"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A</w:t>
            </w:r>
          </w:p>
        </w:tc>
        <w:tc>
          <w:tcPr>
            <w:tcW w:w="911" w:type="pct"/>
            <w:vAlign w:val="center"/>
          </w:tcPr>
          <w:p w14:paraId="4578FC7F"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0.0169</w:t>
            </w:r>
          </w:p>
        </w:tc>
        <w:tc>
          <w:tcPr>
            <w:tcW w:w="665" w:type="pct"/>
            <w:vAlign w:val="center"/>
          </w:tcPr>
          <w:p w14:paraId="4D7B6EE0"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890" w:type="pct"/>
            <w:vAlign w:val="center"/>
          </w:tcPr>
          <w:p w14:paraId="13595FF1"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0.0169</w:t>
            </w:r>
          </w:p>
        </w:tc>
        <w:tc>
          <w:tcPr>
            <w:tcW w:w="592" w:type="pct"/>
            <w:vAlign w:val="center"/>
          </w:tcPr>
          <w:p w14:paraId="66C26ED9"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35.38</w:t>
            </w:r>
          </w:p>
        </w:tc>
        <w:tc>
          <w:tcPr>
            <w:tcW w:w="592" w:type="pct"/>
            <w:vAlign w:val="center"/>
          </w:tcPr>
          <w:p w14:paraId="4C2373E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0.0095</w:t>
            </w:r>
          </w:p>
        </w:tc>
        <w:tc>
          <w:tcPr>
            <w:tcW w:w="632" w:type="pct"/>
            <w:vAlign w:val="center"/>
          </w:tcPr>
          <w:p w14:paraId="0722C63B" w14:textId="77777777" w:rsidR="00C46ABF" w:rsidRPr="00D94799" w:rsidRDefault="00C46ABF" w:rsidP="0008737B">
            <w:pPr>
              <w:jc w:val="center"/>
              <w:rPr>
                <w:rFonts w:asciiTheme="majorHAnsi" w:hAnsiTheme="majorHAnsi" w:cstheme="majorHAnsi"/>
                <w:sz w:val="22"/>
                <w:szCs w:val="22"/>
              </w:rPr>
            </w:pPr>
          </w:p>
        </w:tc>
      </w:tr>
      <w:tr w:rsidR="00C46ABF" w:rsidRPr="00D94799" w14:paraId="3BDCE55A" w14:textId="77777777" w:rsidTr="0008737B">
        <w:trPr>
          <w:trHeight w:val="276"/>
        </w:trPr>
        <w:tc>
          <w:tcPr>
            <w:tcW w:w="719" w:type="pct"/>
            <w:vAlign w:val="center"/>
          </w:tcPr>
          <w:p w14:paraId="2616E784"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B</w:t>
            </w:r>
          </w:p>
        </w:tc>
        <w:tc>
          <w:tcPr>
            <w:tcW w:w="911" w:type="pct"/>
            <w:vAlign w:val="center"/>
          </w:tcPr>
          <w:p w14:paraId="57BC73FD"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0.0012</w:t>
            </w:r>
          </w:p>
        </w:tc>
        <w:tc>
          <w:tcPr>
            <w:tcW w:w="665" w:type="pct"/>
            <w:vAlign w:val="center"/>
          </w:tcPr>
          <w:p w14:paraId="73BAA439"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890" w:type="pct"/>
            <w:vAlign w:val="center"/>
          </w:tcPr>
          <w:p w14:paraId="5A3B0D73"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0.0012</w:t>
            </w:r>
          </w:p>
        </w:tc>
        <w:tc>
          <w:tcPr>
            <w:tcW w:w="592" w:type="pct"/>
            <w:vAlign w:val="center"/>
          </w:tcPr>
          <w:p w14:paraId="267FE09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2.48</w:t>
            </w:r>
          </w:p>
        </w:tc>
        <w:tc>
          <w:tcPr>
            <w:tcW w:w="592" w:type="pct"/>
            <w:vAlign w:val="center"/>
          </w:tcPr>
          <w:p w14:paraId="12D83609"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0.2132</w:t>
            </w:r>
          </w:p>
        </w:tc>
        <w:tc>
          <w:tcPr>
            <w:tcW w:w="632" w:type="pct"/>
            <w:vAlign w:val="center"/>
          </w:tcPr>
          <w:p w14:paraId="0B9DB2B1" w14:textId="77777777" w:rsidR="00C46ABF" w:rsidRPr="00D94799" w:rsidRDefault="00C46ABF" w:rsidP="0008737B">
            <w:pPr>
              <w:jc w:val="center"/>
              <w:rPr>
                <w:rFonts w:asciiTheme="majorHAnsi" w:hAnsiTheme="majorHAnsi" w:cstheme="majorHAnsi"/>
                <w:sz w:val="22"/>
                <w:szCs w:val="22"/>
              </w:rPr>
            </w:pPr>
          </w:p>
        </w:tc>
      </w:tr>
      <w:tr w:rsidR="00C46ABF" w:rsidRPr="00D94799" w14:paraId="2B3A3039" w14:textId="77777777" w:rsidTr="0008737B">
        <w:trPr>
          <w:trHeight w:val="266"/>
        </w:trPr>
        <w:tc>
          <w:tcPr>
            <w:tcW w:w="719" w:type="pct"/>
            <w:vAlign w:val="center"/>
          </w:tcPr>
          <w:p w14:paraId="24577840"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AB</w:t>
            </w:r>
          </w:p>
        </w:tc>
        <w:tc>
          <w:tcPr>
            <w:tcW w:w="911" w:type="pct"/>
            <w:vAlign w:val="center"/>
          </w:tcPr>
          <w:p w14:paraId="4AACFED3"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0.0039</w:t>
            </w:r>
          </w:p>
        </w:tc>
        <w:tc>
          <w:tcPr>
            <w:tcW w:w="665" w:type="pct"/>
            <w:vAlign w:val="center"/>
          </w:tcPr>
          <w:p w14:paraId="69B8BABE"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890" w:type="pct"/>
            <w:vAlign w:val="center"/>
          </w:tcPr>
          <w:p w14:paraId="6EE0FFE9"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0.0039</w:t>
            </w:r>
          </w:p>
        </w:tc>
        <w:tc>
          <w:tcPr>
            <w:tcW w:w="592" w:type="pct"/>
            <w:vAlign w:val="center"/>
          </w:tcPr>
          <w:p w14:paraId="48C67545"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8.20</w:t>
            </w:r>
          </w:p>
        </w:tc>
        <w:tc>
          <w:tcPr>
            <w:tcW w:w="592" w:type="pct"/>
            <w:vAlign w:val="center"/>
          </w:tcPr>
          <w:p w14:paraId="008DBA00"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0.0644</w:t>
            </w:r>
          </w:p>
        </w:tc>
        <w:tc>
          <w:tcPr>
            <w:tcW w:w="632" w:type="pct"/>
            <w:vAlign w:val="center"/>
          </w:tcPr>
          <w:p w14:paraId="582554FC" w14:textId="77777777" w:rsidR="00C46ABF" w:rsidRPr="00D94799" w:rsidRDefault="00C46ABF" w:rsidP="0008737B">
            <w:pPr>
              <w:jc w:val="center"/>
              <w:rPr>
                <w:rFonts w:asciiTheme="majorHAnsi" w:hAnsiTheme="majorHAnsi" w:cstheme="majorHAnsi"/>
                <w:sz w:val="22"/>
                <w:szCs w:val="22"/>
              </w:rPr>
            </w:pPr>
          </w:p>
        </w:tc>
      </w:tr>
      <w:tr w:rsidR="00C46ABF" w:rsidRPr="00D94799" w14:paraId="766860E3" w14:textId="77777777" w:rsidTr="0008737B">
        <w:trPr>
          <w:trHeight w:val="270"/>
        </w:trPr>
        <w:tc>
          <w:tcPr>
            <w:tcW w:w="719" w:type="pct"/>
            <w:vAlign w:val="center"/>
          </w:tcPr>
          <w:p w14:paraId="7258D67E" w14:textId="77777777" w:rsidR="00C46ABF" w:rsidRPr="00D94799" w:rsidRDefault="00C46ABF" w:rsidP="0008737B">
            <w:pPr>
              <w:jc w:val="center"/>
              <w:rPr>
                <w:rFonts w:asciiTheme="majorHAnsi" w:hAnsiTheme="majorHAnsi" w:cstheme="majorHAnsi"/>
                <w:b/>
                <w:bCs/>
                <w:sz w:val="22"/>
                <w:szCs w:val="22"/>
              </w:rPr>
            </w:pPr>
            <m:oMathPara>
              <m:oMath>
                <m:sSup>
                  <m:sSupPr>
                    <m:ctrlPr>
                      <w:rPr>
                        <w:rFonts w:ascii="Cambria Math" w:hAnsi="Cambria Math" w:cstheme="majorHAnsi"/>
                        <w:b/>
                        <w:bCs/>
                        <w:i/>
                        <w:sz w:val="22"/>
                        <w:szCs w:val="22"/>
                      </w:rPr>
                    </m:ctrlPr>
                  </m:sSupPr>
                  <m:e>
                    <m:r>
                      <m:rPr>
                        <m:sty m:val="bi"/>
                      </m:rPr>
                      <w:rPr>
                        <w:rFonts w:ascii="Cambria Math" w:hAnsi="Cambria Math" w:cstheme="majorHAnsi"/>
                        <w:sz w:val="22"/>
                        <w:szCs w:val="22"/>
                      </w:rPr>
                      <m:t>A</m:t>
                    </m:r>
                  </m:e>
                  <m:sup>
                    <m:r>
                      <m:rPr>
                        <m:sty m:val="bi"/>
                      </m:rPr>
                      <w:rPr>
                        <w:rFonts w:ascii="Cambria Math" w:hAnsi="Cambria Math" w:cstheme="majorHAnsi"/>
                        <w:sz w:val="22"/>
                        <w:szCs w:val="22"/>
                      </w:rPr>
                      <m:t>2</m:t>
                    </m:r>
                  </m:sup>
                </m:sSup>
              </m:oMath>
            </m:oMathPara>
          </w:p>
        </w:tc>
        <w:tc>
          <w:tcPr>
            <w:tcW w:w="911" w:type="pct"/>
            <w:vAlign w:val="center"/>
          </w:tcPr>
          <w:p w14:paraId="55298D2B"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0.0001</w:t>
            </w:r>
          </w:p>
        </w:tc>
        <w:tc>
          <w:tcPr>
            <w:tcW w:w="665" w:type="pct"/>
            <w:vAlign w:val="center"/>
          </w:tcPr>
          <w:p w14:paraId="36198BF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890" w:type="pct"/>
            <w:vAlign w:val="center"/>
          </w:tcPr>
          <w:p w14:paraId="0D1AE79C"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0.0001</w:t>
            </w:r>
          </w:p>
        </w:tc>
        <w:tc>
          <w:tcPr>
            <w:tcW w:w="592" w:type="pct"/>
            <w:vAlign w:val="center"/>
          </w:tcPr>
          <w:p w14:paraId="5C340896"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0.1625</w:t>
            </w:r>
          </w:p>
        </w:tc>
        <w:tc>
          <w:tcPr>
            <w:tcW w:w="592" w:type="pct"/>
            <w:vAlign w:val="center"/>
          </w:tcPr>
          <w:p w14:paraId="533A562E"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0.7138</w:t>
            </w:r>
          </w:p>
        </w:tc>
        <w:tc>
          <w:tcPr>
            <w:tcW w:w="632" w:type="pct"/>
            <w:vAlign w:val="center"/>
          </w:tcPr>
          <w:p w14:paraId="00090DF0" w14:textId="77777777" w:rsidR="00C46ABF" w:rsidRPr="00D94799" w:rsidRDefault="00C46ABF" w:rsidP="0008737B">
            <w:pPr>
              <w:jc w:val="center"/>
              <w:rPr>
                <w:rFonts w:asciiTheme="majorHAnsi" w:hAnsiTheme="majorHAnsi" w:cstheme="majorHAnsi"/>
                <w:sz w:val="22"/>
                <w:szCs w:val="22"/>
              </w:rPr>
            </w:pPr>
          </w:p>
        </w:tc>
      </w:tr>
      <w:tr w:rsidR="00C46ABF" w:rsidRPr="00D94799" w14:paraId="2C4DE7F5" w14:textId="77777777" w:rsidTr="0008737B">
        <w:trPr>
          <w:trHeight w:val="132"/>
        </w:trPr>
        <w:tc>
          <w:tcPr>
            <w:tcW w:w="719" w:type="pct"/>
            <w:vAlign w:val="center"/>
          </w:tcPr>
          <w:p w14:paraId="1D59E738" w14:textId="77777777" w:rsidR="00C46ABF" w:rsidRPr="00D94799" w:rsidRDefault="00C46ABF" w:rsidP="0008737B">
            <w:pPr>
              <w:jc w:val="center"/>
              <w:rPr>
                <w:rFonts w:asciiTheme="majorHAnsi" w:hAnsiTheme="majorHAnsi" w:cstheme="majorHAnsi"/>
                <w:b/>
                <w:bCs/>
                <w:sz w:val="22"/>
                <w:szCs w:val="22"/>
              </w:rPr>
            </w:pPr>
            <m:oMathPara>
              <m:oMath>
                <m:sSup>
                  <m:sSupPr>
                    <m:ctrlPr>
                      <w:rPr>
                        <w:rFonts w:ascii="Cambria Math" w:hAnsi="Cambria Math" w:cstheme="majorHAnsi"/>
                        <w:b/>
                        <w:bCs/>
                        <w:i/>
                        <w:sz w:val="22"/>
                        <w:szCs w:val="22"/>
                      </w:rPr>
                    </m:ctrlPr>
                  </m:sSupPr>
                  <m:e>
                    <m:r>
                      <m:rPr>
                        <m:sty m:val="bi"/>
                      </m:rPr>
                      <w:rPr>
                        <w:rFonts w:ascii="Cambria Math" w:hAnsi="Cambria Math" w:cstheme="majorHAnsi"/>
                        <w:sz w:val="22"/>
                        <w:szCs w:val="22"/>
                      </w:rPr>
                      <m:t>B</m:t>
                    </m:r>
                  </m:e>
                  <m:sup>
                    <m:r>
                      <m:rPr>
                        <m:sty m:val="bi"/>
                      </m:rPr>
                      <w:rPr>
                        <w:rFonts w:ascii="Cambria Math" w:hAnsi="Cambria Math" w:cstheme="majorHAnsi"/>
                        <w:sz w:val="22"/>
                        <w:szCs w:val="22"/>
                      </w:rPr>
                      <m:t>2</m:t>
                    </m:r>
                  </m:sup>
                </m:sSup>
              </m:oMath>
            </m:oMathPara>
          </w:p>
        </w:tc>
        <w:tc>
          <w:tcPr>
            <w:tcW w:w="911" w:type="pct"/>
            <w:vAlign w:val="center"/>
          </w:tcPr>
          <w:p w14:paraId="1D080F1C"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0.0004</w:t>
            </w:r>
          </w:p>
        </w:tc>
        <w:tc>
          <w:tcPr>
            <w:tcW w:w="665" w:type="pct"/>
            <w:vAlign w:val="center"/>
          </w:tcPr>
          <w:p w14:paraId="59386EC0"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1</w:t>
            </w:r>
          </w:p>
        </w:tc>
        <w:tc>
          <w:tcPr>
            <w:tcW w:w="890" w:type="pct"/>
            <w:vAlign w:val="center"/>
          </w:tcPr>
          <w:p w14:paraId="64FDA3D3"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0.0004</w:t>
            </w:r>
          </w:p>
        </w:tc>
        <w:tc>
          <w:tcPr>
            <w:tcW w:w="592" w:type="pct"/>
            <w:vAlign w:val="center"/>
          </w:tcPr>
          <w:p w14:paraId="7182BAF4"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0.9204</w:t>
            </w:r>
          </w:p>
        </w:tc>
        <w:tc>
          <w:tcPr>
            <w:tcW w:w="592" w:type="pct"/>
            <w:vAlign w:val="center"/>
          </w:tcPr>
          <w:p w14:paraId="3F4B12A9"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0.4081</w:t>
            </w:r>
          </w:p>
        </w:tc>
        <w:tc>
          <w:tcPr>
            <w:tcW w:w="632" w:type="pct"/>
            <w:vAlign w:val="center"/>
          </w:tcPr>
          <w:p w14:paraId="3E17A626" w14:textId="77777777" w:rsidR="00C46ABF" w:rsidRPr="00D94799" w:rsidRDefault="00C46ABF" w:rsidP="0008737B">
            <w:pPr>
              <w:jc w:val="center"/>
              <w:rPr>
                <w:rFonts w:asciiTheme="majorHAnsi" w:hAnsiTheme="majorHAnsi" w:cstheme="majorHAnsi"/>
                <w:sz w:val="22"/>
                <w:szCs w:val="22"/>
              </w:rPr>
            </w:pPr>
          </w:p>
        </w:tc>
      </w:tr>
      <w:tr w:rsidR="00C46ABF" w:rsidRPr="00D94799" w14:paraId="53F127F2" w14:textId="77777777" w:rsidTr="0008737B">
        <w:trPr>
          <w:trHeight w:val="136"/>
        </w:trPr>
        <w:tc>
          <w:tcPr>
            <w:tcW w:w="719" w:type="pct"/>
            <w:vAlign w:val="center"/>
          </w:tcPr>
          <w:p w14:paraId="43C867E9"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Residual</w:t>
            </w:r>
          </w:p>
        </w:tc>
        <w:tc>
          <w:tcPr>
            <w:tcW w:w="911" w:type="pct"/>
            <w:vAlign w:val="center"/>
          </w:tcPr>
          <w:p w14:paraId="7A47418A"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0.0014</w:t>
            </w:r>
          </w:p>
        </w:tc>
        <w:tc>
          <w:tcPr>
            <w:tcW w:w="665" w:type="pct"/>
            <w:vAlign w:val="center"/>
          </w:tcPr>
          <w:p w14:paraId="1AAA3A8E"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3</w:t>
            </w:r>
          </w:p>
        </w:tc>
        <w:tc>
          <w:tcPr>
            <w:tcW w:w="890" w:type="pct"/>
            <w:vAlign w:val="center"/>
          </w:tcPr>
          <w:p w14:paraId="0F9510F6"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0.0005</w:t>
            </w:r>
          </w:p>
        </w:tc>
        <w:tc>
          <w:tcPr>
            <w:tcW w:w="592" w:type="pct"/>
            <w:vAlign w:val="center"/>
          </w:tcPr>
          <w:p w14:paraId="64B869C2" w14:textId="77777777" w:rsidR="00C46ABF" w:rsidRPr="00D94799" w:rsidRDefault="00C46ABF" w:rsidP="0008737B">
            <w:pPr>
              <w:jc w:val="center"/>
              <w:rPr>
                <w:rFonts w:asciiTheme="majorHAnsi" w:hAnsiTheme="majorHAnsi" w:cstheme="majorHAnsi"/>
                <w:sz w:val="22"/>
                <w:szCs w:val="22"/>
              </w:rPr>
            </w:pPr>
          </w:p>
        </w:tc>
        <w:tc>
          <w:tcPr>
            <w:tcW w:w="592" w:type="pct"/>
            <w:vAlign w:val="center"/>
          </w:tcPr>
          <w:p w14:paraId="11BE20C1" w14:textId="77777777" w:rsidR="00C46ABF" w:rsidRPr="00D94799" w:rsidRDefault="00C46ABF" w:rsidP="0008737B">
            <w:pPr>
              <w:jc w:val="center"/>
              <w:rPr>
                <w:rFonts w:asciiTheme="majorHAnsi" w:hAnsiTheme="majorHAnsi" w:cstheme="majorHAnsi"/>
                <w:sz w:val="22"/>
                <w:szCs w:val="22"/>
              </w:rPr>
            </w:pPr>
          </w:p>
        </w:tc>
        <w:tc>
          <w:tcPr>
            <w:tcW w:w="632" w:type="pct"/>
            <w:vAlign w:val="center"/>
          </w:tcPr>
          <w:p w14:paraId="45FB4775" w14:textId="77777777" w:rsidR="00C46ABF" w:rsidRPr="00D94799" w:rsidRDefault="00C46ABF" w:rsidP="0008737B">
            <w:pPr>
              <w:jc w:val="center"/>
              <w:rPr>
                <w:rFonts w:asciiTheme="majorHAnsi" w:hAnsiTheme="majorHAnsi" w:cstheme="majorHAnsi"/>
                <w:sz w:val="22"/>
                <w:szCs w:val="22"/>
              </w:rPr>
            </w:pPr>
          </w:p>
        </w:tc>
      </w:tr>
      <w:tr w:rsidR="00C46ABF" w:rsidRPr="00D94799" w14:paraId="3A07814A" w14:textId="77777777" w:rsidTr="0008737B">
        <w:trPr>
          <w:trHeight w:val="42"/>
        </w:trPr>
        <w:tc>
          <w:tcPr>
            <w:tcW w:w="719" w:type="pct"/>
            <w:vAlign w:val="center"/>
          </w:tcPr>
          <w:p w14:paraId="659663F3" w14:textId="77777777" w:rsidR="00C46ABF" w:rsidRPr="00D94799" w:rsidRDefault="00C46ABF" w:rsidP="0008737B">
            <w:pPr>
              <w:jc w:val="center"/>
              <w:rPr>
                <w:rFonts w:asciiTheme="majorHAnsi" w:hAnsiTheme="majorHAnsi" w:cstheme="majorHAnsi"/>
                <w:b/>
                <w:bCs/>
                <w:sz w:val="22"/>
                <w:szCs w:val="22"/>
              </w:rPr>
            </w:pPr>
            <w:r w:rsidRPr="00D94799">
              <w:rPr>
                <w:rFonts w:asciiTheme="majorHAnsi" w:hAnsiTheme="majorHAnsi" w:cstheme="majorHAnsi"/>
                <w:b/>
                <w:bCs/>
                <w:sz w:val="22"/>
                <w:szCs w:val="22"/>
              </w:rPr>
              <w:t>Cor Total</w:t>
            </w:r>
          </w:p>
        </w:tc>
        <w:tc>
          <w:tcPr>
            <w:tcW w:w="911" w:type="pct"/>
            <w:vAlign w:val="center"/>
          </w:tcPr>
          <w:p w14:paraId="558556D7"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0.0240</w:t>
            </w:r>
          </w:p>
        </w:tc>
        <w:tc>
          <w:tcPr>
            <w:tcW w:w="665" w:type="pct"/>
            <w:vAlign w:val="center"/>
          </w:tcPr>
          <w:p w14:paraId="77614FB7" w14:textId="77777777" w:rsidR="00C46ABF" w:rsidRPr="00D94799" w:rsidRDefault="00C46ABF" w:rsidP="0008737B">
            <w:pPr>
              <w:jc w:val="center"/>
              <w:rPr>
                <w:rFonts w:asciiTheme="majorHAnsi" w:hAnsiTheme="majorHAnsi" w:cstheme="majorHAnsi"/>
                <w:sz w:val="22"/>
                <w:szCs w:val="22"/>
              </w:rPr>
            </w:pPr>
            <w:r w:rsidRPr="00D94799">
              <w:rPr>
                <w:rFonts w:asciiTheme="majorHAnsi" w:hAnsiTheme="majorHAnsi" w:cstheme="majorHAnsi"/>
                <w:sz w:val="22"/>
                <w:szCs w:val="22"/>
              </w:rPr>
              <w:t>8</w:t>
            </w:r>
          </w:p>
        </w:tc>
        <w:tc>
          <w:tcPr>
            <w:tcW w:w="890" w:type="pct"/>
            <w:vAlign w:val="center"/>
          </w:tcPr>
          <w:p w14:paraId="6B3C28F9" w14:textId="77777777" w:rsidR="00C46ABF" w:rsidRPr="00D94799" w:rsidRDefault="00C46ABF" w:rsidP="0008737B">
            <w:pPr>
              <w:jc w:val="center"/>
              <w:rPr>
                <w:rFonts w:asciiTheme="majorHAnsi" w:hAnsiTheme="majorHAnsi" w:cstheme="majorHAnsi"/>
                <w:sz w:val="22"/>
                <w:szCs w:val="22"/>
              </w:rPr>
            </w:pPr>
          </w:p>
        </w:tc>
        <w:tc>
          <w:tcPr>
            <w:tcW w:w="592" w:type="pct"/>
            <w:vAlign w:val="center"/>
          </w:tcPr>
          <w:p w14:paraId="7DFCBE48" w14:textId="77777777" w:rsidR="00C46ABF" w:rsidRPr="00D94799" w:rsidRDefault="00C46ABF" w:rsidP="0008737B">
            <w:pPr>
              <w:jc w:val="center"/>
              <w:rPr>
                <w:rFonts w:asciiTheme="majorHAnsi" w:hAnsiTheme="majorHAnsi" w:cstheme="majorHAnsi"/>
                <w:sz w:val="22"/>
                <w:szCs w:val="22"/>
              </w:rPr>
            </w:pPr>
          </w:p>
        </w:tc>
        <w:tc>
          <w:tcPr>
            <w:tcW w:w="592" w:type="pct"/>
            <w:vAlign w:val="center"/>
          </w:tcPr>
          <w:p w14:paraId="641CCAAA" w14:textId="77777777" w:rsidR="00C46ABF" w:rsidRPr="00D94799" w:rsidRDefault="00C46ABF" w:rsidP="0008737B">
            <w:pPr>
              <w:jc w:val="center"/>
              <w:rPr>
                <w:rFonts w:asciiTheme="majorHAnsi" w:hAnsiTheme="majorHAnsi" w:cstheme="majorHAnsi"/>
                <w:sz w:val="22"/>
                <w:szCs w:val="22"/>
              </w:rPr>
            </w:pPr>
          </w:p>
        </w:tc>
        <w:tc>
          <w:tcPr>
            <w:tcW w:w="632" w:type="pct"/>
            <w:vAlign w:val="center"/>
          </w:tcPr>
          <w:p w14:paraId="3F97B4FF" w14:textId="77777777" w:rsidR="00C46ABF" w:rsidRPr="00D94799" w:rsidRDefault="00C46ABF" w:rsidP="0008737B">
            <w:pPr>
              <w:jc w:val="center"/>
              <w:rPr>
                <w:rFonts w:asciiTheme="majorHAnsi" w:hAnsiTheme="majorHAnsi" w:cstheme="majorHAnsi"/>
                <w:sz w:val="22"/>
                <w:szCs w:val="22"/>
              </w:rPr>
            </w:pPr>
          </w:p>
        </w:tc>
      </w:tr>
    </w:tbl>
    <w:p w14:paraId="4CF7C7E1" w14:textId="77777777" w:rsidR="00C46ABF" w:rsidRPr="00D94799" w:rsidRDefault="00C46ABF" w:rsidP="00C46ABF">
      <w:pPr>
        <w:rPr>
          <w:rFonts w:asciiTheme="majorHAnsi" w:hAnsiTheme="majorHAnsi" w:cstheme="majorHAnsi"/>
        </w:rPr>
      </w:pPr>
      <w:r w:rsidRPr="00D94799">
        <w:rPr>
          <w:rFonts w:asciiTheme="majorHAnsi" w:hAnsiTheme="majorHAnsi" w:cstheme="majorHAnsi"/>
          <w:b/>
          <w:bCs/>
        </w:rPr>
        <w:t>Table 2.</w:t>
      </w:r>
      <w:r w:rsidRPr="00D94799">
        <w:rPr>
          <w:rFonts w:asciiTheme="majorHAnsi" w:hAnsiTheme="majorHAnsi" w:cstheme="majorHAnsi"/>
        </w:rPr>
        <w:t xml:space="preserve"> Factor test analysis of variance results</w:t>
      </w:r>
    </w:p>
    <w:p w14:paraId="58BBCDF7" w14:textId="77777777" w:rsidR="00C46ABF" w:rsidRPr="00D94799" w:rsidRDefault="00C46ABF" w:rsidP="00C46ABF">
      <w:pPr>
        <w:rPr>
          <w:rFonts w:asciiTheme="majorHAnsi" w:hAnsiTheme="majorHAnsi" w:cstheme="majorHAnsi"/>
        </w:rPr>
      </w:pPr>
    </w:p>
    <w:p w14:paraId="37D964A8"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It can be seen from the table that the regression model is extremely significant, indicating that the regression model has high fitting accuracy with the actual results and can be used for the analysis and prediction of the seed-grouping performance. In addition, the radius of the internal impeller has a significant effect on the vaccination rate, while the blade offset angle has no significant effect on the vaccination rate within the range of test parameters, and the interaction between the two has no significant effect on the vaccination rate.</w:t>
      </w:r>
    </w:p>
    <w:bookmarkEnd w:id="1"/>
    <w:p w14:paraId="29F75866" w14:textId="77777777" w:rsidR="00C46ABF" w:rsidRPr="00D94799" w:rsidRDefault="00C46ABF" w:rsidP="00C46ABF">
      <w:pPr>
        <w:ind w:right="40"/>
        <w:rPr>
          <w:rFonts w:asciiTheme="majorHAnsi" w:hAnsiTheme="majorHAnsi" w:cstheme="majorHAnsi"/>
          <w:color w:val="1C1D1E"/>
          <w:shd w:val="clear" w:color="auto" w:fill="FFFFFF"/>
        </w:rPr>
      </w:pPr>
    </w:p>
    <w:p w14:paraId="110712F4" w14:textId="77777777" w:rsidR="00C46ABF" w:rsidRPr="00D94799" w:rsidRDefault="00C46ABF" w:rsidP="00C46ABF">
      <w:pPr>
        <w:pStyle w:val="3"/>
        <w:rPr>
          <w:rFonts w:asciiTheme="majorHAnsi" w:hAnsiTheme="majorHAnsi" w:cstheme="majorHAnsi"/>
          <w:sz w:val="22"/>
          <w:szCs w:val="22"/>
        </w:rPr>
      </w:pPr>
      <w:r w:rsidRPr="00D94799">
        <w:rPr>
          <w:rFonts w:asciiTheme="majorHAnsi" w:hAnsiTheme="majorHAnsi" w:cstheme="majorHAnsi"/>
          <w:sz w:val="22"/>
          <w:szCs w:val="22"/>
        </w:rPr>
        <w:t>Parameter optimization</w:t>
      </w:r>
    </w:p>
    <w:p w14:paraId="576EE292" w14:textId="77777777" w:rsidR="00C46ABF" w:rsidRPr="00D94799" w:rsidRDefault="00C46ABF" w:rsidP="00C46ABF">
      <w:pPr>
        <w:rPr>
          <w:rFonts w:asciiTheme="majorHAnsi" w:hAnsiTheme="majorHAnsi" w:cstheme="majorHAnsi"/>
        </w:rPr>
      </w:pPr>
      <w:bookmarkStart w:id="2" w:name="_Hlk161087383"/>
      <w:proofErr w:type="gramStart"/>
      <w:r w:rsidRPr="00D94799">
        <w:rPr>
          <w:rFonts w:asciiTheme="majorHAnsi" w:hAnsiTheme="majorHAnsi" w:cstheme="majorHAnsi"/>
        </w:rPr>
        <w:t>In order to</w:t>
      </w:r>
      <w:proofErr w:type="gramEnd"/>
      <w:r w:rsidRPr="00D94799">
        <w:rPr>
          <w:rFonts w:asciiTheme="majorHAnsi" w:hAnsiTheme="majorHAnsi" w:cstheme="majorHAnsi"/>
        </w:rPr>
        <w:t xml:space="preserve"> clarify the optimal parameter combination of inner impeller radius and blade offset angle, a single-objective optimization model (formula) of vaccination rate was established. The Design-Expert software was used to optimize the target within the range of test parameters. The inner impeller radius was 55.92 mm, the blade offset angle was 19.43 °, and the vaccination rate was up to 98.71%.</w:t>
      </w:r>
    </w:p>
    <w:p w14:paraId="53F6E343" w14:textId="77777777" w:rsidR="00C46ABF" w:rsidRPr="00D94799" w:rsidRDefault="00C46ABF" w:rsidP="00C46ABF">
      <w:pPr>
        <w:rPr>
          <w:rFonts w:asciiTheme="majorHAnsi" w:hAnsiTheme="majorHAnsi" w:cstheme="majorHAnsi"/>
        </w:rPr>
      </w:pPr>
      <w:proofErr w:type="gramStart"/>
      <w:r w:rsidRPr="00D94799">
        <w:rPr>
          <w:rFonts w:asciiTheme="majorHAnsi" w:hAnsiTheme="majorHAnsi" w:cstheme="majorHAnsi"/>
        </w:rPr>
        <w:t>In order to</w:t>
      </w:r>
      <w:proofErr w:type="gramEnd"/>
      <w:r w:rsidRPr="00D94799">
        <w:rPr>
          <w:rFonts w:asciiTheme="majorHAnsi" w:hAnsiTheme="majorHAnsi" w:cstheme="majorHAnsi"/>
        </w:rPr>
        <w:t xml:space="preserve"> verify the accuracy of the solution results of the optimization model, an internal impeller with a radius of 56 mm was used, and the offset angle of the blade was set to 19.45 °, and the seed-grouping rate </w:t>
      </w:r>
      <w:r w:rsidRPr="00D94799">
        <w:rPr>
          <w:rFonts w:asciiTheme="majorHAnsi" w:hAnsiTheme="majorHAnsi" w:cstheme="majorHAnsi"/>
          <w:i/>
          <w:iCs/>
        </w:rPr>
        <w:t>Y</w:t>
      </w:r>
      <w:r w:rsidRPr="00D94799">
        <w:rPr>
          <w:rFonts w:asciiTheme="majorHAnsi" w:hAnsiTheme="majorHAnsi" w:cstheme="majorHAnsi"/>
        </w:rPr>
        <w:t xml:space="preserve"> was measured. Through the Eq. (18), the theoretical seed-grouping rate </w:t>
      </w:r>
      <w:r w:rsidRPr="00D94799">
        <w:rPr>
          <w:rFonts w:asciiTheme="majorHAnsi" w:hAnsiTheme="majorHAnsi" w:cstheme="majorHAnsi"/>
          <w:i/>
          <w:iCs/>
        </w:rPr>
        <w:t>Y</w:t>
      </w:r>
      <w:r w:rsidRPr="00D94799">
        <w:rPr>
          <w:rFonts w:asciiTheme="majorHAnsi" w:hAnsiTheme="majorHAnsi" w:cstheme="majorHAnsi"/>
        </w:rPr>
        <w:t xml:space="preserve"> can be calculated be 98.63%. The results are showing in the Table 3, and the average vaccination rate of the three verification tests was 98.60%, and there was only a relative error with the solution value of the optimization model, indicating that the optimization model was reliable. The best parameter combination was the inner impeller radius of 56 mm and the blade offset angle of 19.5 °.</w:t>
      </w:r>
    </w:p>
    <w:bookmarkEnd w:id="2"/>
    <w:p w14:paraId="41797494" w14:textId="77777777" w:rsidR="00C46ABF" w:rsidRPr="00D94799" w:rsidRDefault="00C46ABF" w:rsidP="00C46ABF">
      <w:pPr>
        <w:rPr>
          <w:rFonts w:asciiTheme="majorHAnsi" w:hAnsiTheme="majorHAnsi" w:cstheme="majorHAnsi"/>
        </w:rPr>
      </w:pPr>
    </w:p>
    <w:p w14:paraId="6B7A398A" w14:textId="77777777" w:rsidR="00C46ABF" w:rsidRPr="00D94799" w:rsidRDefault="00C46ABF" w:rsidP="00C46ABF">
      <w:pPr>
        <w:pStyle w:val="2"/>
        <w:rPr>
          <w:rFonts w:asciiTheme="majorHAnsi" w:hAnsiTheme="majorHAnsi" w:cstheme="majorHAnsi"/>
          <w:sz w:val="22"/>
          <w:szCs w:val="22"/>
        </w:rPr>
      </w:pPr>
      <w:r w:rsidRPr="00D94799">
        <w:rPr>
          <w:rFonts w:asciiTheme="majorHAnsi" w:hAnsiTheme="majorHAnsi" w:cstheme="majorHAnsi"/>
          <w:sz w:val="22"/>
          <w:szCs w:val="22"/>
        </w:rPr>
        <w:t>Single factor test of seeding angle</w:t>
      </w:r>
    </w:p>
    <w:p w14:paraId="4AFE52ED" w14:textId="77777777" w:rsidR="00C46ABF" w:rsidRPr="00D94799" w:rsidRDefault="00C46ABF" w:rsidP="00C46ABF">
      <w:pPr>
        <w:pStyle w:val="a3"/>
        <w:rPr>
          <w:rFonts w:asciiTheme="majorHAnsi" w:hAnsiTheme="majorHAnsi" w:cstheme="majorHAnsi"/>
          <w:sz w:val="22"/>
        </w:rPr>
      </w:pPr>
      <w:bookmarkStart w:id="3" w:name="_Hlk161087403"/>
      <w:r w:rsidRPr="00D94799">
        <w:rPr>
          <w:rFonts w:asciiTheme="majorHAnsi" w:hAnsiTheme="majorHAnsi" w:cstheme="majorHAnsi"/>
          <w:sz w:val="22"/>
        </w:rPr>
        <w:t xml:space="preserve">The experimental design and results are shown in Table </w:t>
      </w:r>
      <w:r w:rsidRPr="00D94799">
        <w:rPr>
          <w:rFonts w:asciiTheme="majorHAnsi" w:eastAsiaTheme="minorEastAsia" w:hAnsiTheme="majorHAnsi" w:cstheme="majorHAnsi"/>
          <w:sz w:val="22"/>
          <w:lang w:eastAsia="zh-CN"/>
        </w:rPr>
        <w:t>3</w:t>
      </w:r>
      <w:r w:rsidRPr="00D94799">
        <w:rPr>
          <w:rFonts w:asciiTheme="majorHAnsi" w:hAnsiTheme="majorHAnsi" w:cstheme="majorHAnsi"/>
          <w:sz w:val="22"/>
        </w:rPr>
        <w:t>.</w:t>
      </w:r>
    </w:p>
    <w:p w14:paraId="19C0283D" w14:textId="77777777" w:rsidR="00C46ABF" w:rsidRPr="00D94799" w:rsidRDefault="00C46ABF" w:rsidP="00C46ABF">
      <w:pPr>
        <w:pStyle w:val="a6"/>
        <w:ind w:firstLine="420"/>
        <w:jc w:val="cente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77"/>
        <w:gridCol w:w="1890"/>
        <w:gridCol w:w="2121"/>
        <w:gridCol w:w="1834"/>
        <w:gridCol w:w="2328"/>
      </w:tblGrid>
      <w:tr w:rsidR="00C46ABF" w:rsidRPr="00D94799" w14:paraId="3F593F81" w14:textId="77777777" w:rsidTr="0008737B">
        <w:trPr>
          <w:cantSplit/>
          <w:trHeight w:val="387"/>
          <w:jc w:val="center"/>
        </w:trPr>
        <w:tc>
          <w:tcPr>
            <w:tcW w:w="0" w:type="auto"/>
            <w:shd w:val="clear" w:color="auto" w:fill="auto"/>
            <w:vAlign w:val="center"/>
            <w:hideMark/>
          </w:tcPr>
          <w:p w14:paraId="7BD47357" w14:textId="77777777" w:rsidR="00C46ABF" w:rsidRPr="00D94799" w:rsidRDefault="00C46ABF" w:rsidP="0008737B">
            <w:pPr>
              <w:jc w:val="center"/>
              <w:rPr>
                <w:rFonts w:asciiTheme="majorHAnsi" w:hAnsiTheme="majorHAnsi" w:cstheme="majorHAnsi"/>
                <w:b/>
                <w:bCs/>
                <w:color w:val="000000"/>
              </w:rPr>
            </w:pPr>
            <w:r w:rsidRPr="00D94799">
              <w:rPr>
                <w:rFonts w:asciiTheme="majorHAnsi" w:hAnsiTheme="majorHAnsi" w:cstheme="majorHAnsi"/>
                <w:b/>
                <w:bCs/>
                <w:color w:val="000000"/>
              </w:rPr>
              <w:t>seeding angle</w:t>
            </w:r>
          </w:p>
        </w:tc>
        <w:tc>
          <w:tcPr>
            <w:tcW w:w="0" w:type="auto"/>
            <w:shd w:val="clear" w:color="auto" w:fill="auto"/>
            <w:vAlign w:val="center"/>
            <w:hideMark/>
          </w:tcPr>
          <w:p w14:paraId="2059BFE0" w14:textId="77777777" w:rsidR="00C46ABF" w:rsidRPr="00D94799" w:rsidRDefault="00C46ABF" w:rsidP="0008737B">
            <w:pPr>
              <w:jc w:val="center"/>
              <w:rPr>
                <w:rFonts w:asciiTheme="majorHAnsi" w:hAnsiTheme="majorHAnsi" w:cstheme="majorHAnsi"/>
                <w:b/>
                <w:bCs/>
                <w:color w:val="000000"/>
              </w:rPr>
            </w:pPr>
            <w:r w:rsidRPr="00D94799">
              <w:rPr>
                <w:rFonts w:asciiTheme="majorHAnsi" w:hAnsiTheme="majorHAnsi" w:cstheme="majorHAnsi"/>
                <w:b/>
                <w:bCs/>
                <w:color w:val="000000"/>
              </w:rPr>
              <w:t xml:space="preserve">Average hole diameter </w:t>
            </w:r>
            <w:r w:rsidRPr="00D94799">
              <w:rPr>
                <w:rFonts w:asciiTheme="majorHAnsi" w:hAnsiTheme="majorHAnsi" w:cstheme="majorHAnsi"/>
                <w:color w:val="000000"/>
              </w:rPr>
              <w:t>(mm)</w:t>
            </w:r>
          </w:p>
        </w:tc>
        <w:tc>
          <w:tcPr>
            <w:tcW w:w="0" w:type="auto"/>
            <w:shd w:val="clear" w:color="auto" w:fill="auto"/>
            <w:vAlign w:val="center"/>
            <w:hideMark/>
          </w:tcPr>
          <w:p w14:paraId="2E22C42D" w14:textId="77777777" w:rsidR="00C46ABF" w:rsidRPr="00D94799" w:rsidRDefault="00C46ABF" w:rsidP="0008737B">
            <w:pPr>
              <w:jc w:val="center"/>
              <w:rPr>
                <w:rFonts w:asciiTheme="majorHAnsi" w:hAnsiTheme="majorHAnsi" w:cstheme="majorHAnsi"/>
                <w:b/>
                <w:bCs/>
                <w:color w:val="000000"/>
              </w:rPr>
            </w:pPr>
            <w:r w:rsidRPr="00D94799">
              <w:rPr>
                <w:rFonts w:asciiTheme="majorHAnsi" w:hAnsiTheme="majorHAnsi" w:cstheme="majorHAnsi"/>
                <w:b/>
                <w:bCs/>
                <w:color w:val="000000"/>
              </w:rPr>
              <w:t>Qualified rate of hole diameter</w:t>
            </w:r>
            <w:r w:rsidRPr="00D94799">
              <w:rPr>
                <w:rFonts w:asciiTheme="majorHAnsi" w:hAnsiTheme="majorHAnsi" w:cstheme="majorHAnsi"/>
                <w:color w:val="000000"/>
              </w:rPr>
              <w:t xml:space="preserve"> (%)</w:t>
            </w:r>
          </w:p>
        </w:tc>
        <w:tc>
          <w:tcPr>
            <w:tcW w:w="0" w:type="auto"/>
            <w:shd w:val="clear" w:color="auto" w:fill="auto"/>
            <w:vAlign w:val="center"/>
            <w:hideMark/>
          </w:tcPr>
          <w:p w14:paraId="06CCB6FC" w14:textId="77777777" w:rsidR="00C46ABF" w:rsidRPr="00D94799" w:rsidRDefault="00C46ABF" w:rsidP="0008737B">
            <w:pPr>
              <w:jc w:val="center"/>
              <w:rPr>
                <w:rFonts w:asciiTheme="majorHAnsi" w:hAnsiTheme="majorHAnsi" w:cstheme="majorHAnsi"/>
                <w:b/>
                <w:bCs/>
                <w:color w:val="000000"/>
              </w:rPr>
            </w:pPr>
            <w:r w:rsidRPr="00D94799">
              <w:rPr>
                <w:rFonts w:asciiTheme="majorHAnsi" w:hAnsiTheme="majorHAnsi" w:cstheme="majorHAnsi"/>
                <w:b/>
                <w:bCs/>
                <w:color w:val="000000"/>
              </w:rPr>
              <w:t xml:space="preserve">Average hole distance </w:t>
            </w:r>
            <w:r w:rsidRPr="00D94799">
              <w:rPr>
                <w:rFonts w:asciiTheme="majorHAnsi" w:hAnsiTheme="majorHAnsi" w:cstheme="majorHAnsi"/>
                <w:color w:val="000000"/>
              </w:rPr>
              <w:t>(mm)</w:t>
            </w:r>
          </w:p>
        </w:tc>
        <w:tc>
          <w:tcPr>
            <w:tcW w:w="2328" w:type="dxa"/>
            <w:shd w:val="clear" w:color="auto" w:fill="auto"/>
            <w:vAlign w:val="center"/>
            <w:hideMark/>
          </w:tcPr>
          <w:p w14:paraId="7694A3B5" w14:textId="77777777" w:rsidR="00C46ABF" w:rsidRPr="00D94799" w:rsidRDefault="00C46ABF" w:rsidP="0008737B">
            <w:pPr>
              <w:jc w:val="center"/>
              <w:rPr>
                <w:rFonts w:asciiTheme="majorHAnsi" w:hAnsiTheme="majorHAnsi" w:cstheme="majorHAnsi"/>
                <w:b/>
                <w:bCs/>
                <w:color w:val="000000"/>
              </w:rPr>
            </w:pPr>
            <w:r w:rsidRPr="00D94799">
              <w:rPr>
                <w:rFonts w:asciiTheme="majorHAnsi" w:hAnsiTheme="majorHAnsi" w:cstheme="majorHAnsi"/>
                <w:b/>
                <w:bCs/>
                <w:color w:val="000000"/>
              </w:rPr>
              <w:t xml:space="preserve">Coefficient of variation of hole distance </w:t>
            </w:r>
            <w:r w:rsidRPr="00D94799">
              <w:rPr>
                <w:rFonts w:asciiTheme="majorHAnsi" w:hAnsiTheme="majorHAnsi" w:cstheme="majorHAnsi"/>
                <w:color w:val="000000"/>
              </w:rPr>
              <w:t>(%)</w:t>
            </w:r>
          </w:p>
        </w:tc>
      </w:tr>
      <w:tr w:rsidR="00C46ABF" w:rsidRPr="00D94799" w14:paraId="6FEA2BA3" w14:textId="77777777" w:rsidTr="0008737B">
        <w:trPr>
          <w:cantSplit/>
          <w:trHeight w:val="112"/>
          <w:jc w:val="center"/>
        </w:trPr>
        <w:tc>
          <w:tcPr>
            <w:tcW w:w="0" w:type="auto"/>
            <w:shd w:val="clear" w:color="auto" w:fill="auto"/>
            <w:noWrap/>
            <w:vAlign w:val="center"/>
            <w:hideMark/>
          </w:tcPr>
          <w:p w14:paraId="5DE60F4E"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26 ° </w:t>
            </w:r>
          </w:p>
        </w:tc>
        <w:tc>
          <w:tcPr>
            <w:tcW w:w="0" w:type="auto"/>
            <w:shd w:val="clear" w:color="auto" w:fill="auto"/>
            <w:noWrap/>
            <w:vAlign w:val="center"/>
            <w:hideMark/>
          </w:tcPr>
          <w:p w14:paraId="5DE5FC33"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27.0 </w:t>
            </w:r>
          </w:p>
        </w:tc>
        <w:tc>
          <w:tcPr>
            <w:tcW w:w="0" w:type="auto"/>
            <w:shd w:val="clear" w:color="auto" w:fill="auto"/>
            <w:noWrap/>
            <w:vAlign w:val="center"/>
            <w:hideMark/>
          </w:tcPr>
          <w:p w14:paraId="5B091AB3"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90.4 </w:t>
            </w:r>
          </w:p>
        </w:tc>
        <w:tc>
          <w:tcPr>
            <w:tcW w:w="0" w:type="auto"/>
            <w:shd w:val="clear" w:color="auto" w:fill="auto"/>
            <w:noWrap/>
            <w:vAlign w:val="center"/>
            <w:hideMark/>
          </w:tcPr>
          <w:p w14:paraId="07522DA2"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200.4 </w:t>
            </w:r>
          </w:p>
        </w:tc>
        <w:tc>
          <w:tcPr>
            <w:tcW w:w="2328" w:type="dxa"/>
            <w:shd w:val="clear" w:color="auto" w:fill="auto"/>
            <w:noWrap/>
            <w:vAlign w:val="center"/>
            <w:hideMark/>
          </w:tcPr>
          <w:p w14:paraId="76AD42D7"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12.0 </w:t>
            </w:r>
          </w:p>
        </w:tc>
      </w:tr>
      <w:tr w:rsidR="00C46ABF" w:rsidRPr="00D94799" w14:paraId="46D3B165" w14:textId="77777777" w:rsidTr="0008737B">
        <w:trPr>
          <w:cantSplit/>
          <w:trHeight w:val="22"/>
          <w:jc w:val="center"/>
        </w:trPr>
        <w:tc>
          <w:tcPr>
            <w:tcW w:w="0" w:type="auto"/>
            <w:shd w:val="clear" w:color="auto" w:fill="auto"/>
            <w:noWrap/>
            <w:vAlign w:val="center"/>
            <w:hideMark/>
          </w:tcPr>
          <w:p w14:paraId="0598FE09"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lastRenderedPageBreak/>
              <w:t xml:space="preserve">31 ° </w:t>
            </w:r>
          </w:p>
        </w:tc>
        <w:tc>
          <w:tcPr>
            <w:tcW w:w="0" w:type="auto"/>
            <w:shd w:val="clear" w:color="auto" w:fill="auto"/>
            <w:noWrap/>
            <w:vAlign w:val="center"/>
            <w:hideMark/>
          </w:tcPr>
          <w:p w14:paraId="59564F72"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25.3 </w:t>
            </w:r>
          </w:p>
        </w:tc>
        <w:tc>
          <w:tcPr>
            <w:tcW w:w="0" w:type="auto"/>
            <w:shd w:val="clear" w:color="auto" w:fill="auto"/>
            <w:noWrap/>
            <w:vAlign w:val="center"/>
            <w:hideMark/>
          </w:tcPr>
          <w:p w14:paraId="5F32C0BF"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91.7 </w:t>
            </w:r>
          </w:p>
        </w:tc>
        <w:tc>
          <w:tcPr>
            <w:tcW w:w="0" w:type="auto"/>
            <w:shd w:val="clear" w:color="auto" w:fill="auto"/>
            <w:noWrap/>
            <w:vAlign w:val="center"/>
            <w:hideMark/>
          </w:tcPr>
          <w:p w14:paraId="391954A6"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201.2 </w:t>
            </w:r>
          </w:p>
        </w:tc>
        <w:tc>
          <w:tcPr>
            <w:tcW w:w="2328" w:type="dxa"/>
            <w:shd w:val="clear" w:color="auto" w:fill="auto"/>
            <w:noWrap/>
            <w:vAlign w:val="center"/>
            <w:hideMark/>
          </w:tcPr>
          <w:p w14:paraId="1BD14869"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11.4 </w:t>
            </w:r>
          </w:p>
        </w:tc>
      </w:tr>
      <w:tr w:rsidR="00C46ABF" w:rsidRPr="00D94799" w14:paraId="5F2B3BE8" w14:textId="77777777" w:rsidTr="0008737B">
        <w:trPr>
          <w:cantSplit/>
          <w:trHeight w:val="22"/>
          <w:jc w:val="center"/>
        </w:trPr>
        <w:tc>
          <w:tcPr>
            <w:tcW w:w="0" w:type="auto"/>
            <w:shd w:val="clear" w:color="auto" w:fill="auto"/>
            <w:noWrap/>
            <w:vAlign w:val="center"/>
            <w:hideMark/>
          </w:tcPr>
          <w:p w14:paraId="424953F2"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36 ° </w:t>
            </w:r>
          </w:p>
        </w:tc>
        <w:tc>
          <w:tcPr>
            <w:tcW w:w="0" w:type="auto"/>
            <w:shd w:val="clear" w:color="auto" w:fill="auto"/>
            <w:noWrap/>
            <w:vAlign w:val="center"/>
            <w:hideMark/>
          </w:tcPr>
          <w:p w14:paraId="1226461B"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19.7 </w:t>
            </w:r>
          </w:p>
        </w:tc>
        <w:tc>
          <w:tcPr>
            <w:tcW w:w="0" w:type="auto"/>
            <w:shd w:val="clear" w:color="auto" w:fill="auto"/>
            <w:noWrap/>
            <w:vAlign w:val="center"/>
            <w:hideMark/>
          </w:tcPr>
          <w:p w14:paraId="615C2F75"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96.1 </w:t>
            </w:r>
          </w:p>
        </w:tc>
        <w:tc>
          <w:tcPr>
            <w:tcW w:w="0" w:type="auto"/>
            <w:shd w:val="clear" w:color="auto" w:fill="auto"/>
            <w:noWrap/>
            <w:vAlign w:val="center"/>
            <w:hideMark/>
          </w:tcPr>
          <w:p w14:paraId="28957771"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201.5 </w:t>
            </w:r>
          </w:p>
        </w:tc>
        <w:tc>
          <w:tcPr>
            <w:tcW w:w="2328" w:type="dxa"/>
            <w:shd w:val="clear" w:color="auto" w:fill="auto"/>
            <w:noWrap/>
            <w:vAlign w:val="center"/>
            <w:hideMark/>
          </w:tcPr>
          <w:p w14:paraId="0913FF06"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10.1 </w:t>
            </w:r>
          </w:p>
        </w:tc>
      </w:tr>
      <w:tr w:rsidR="00C46ABF" w:rsidRPr="00D94799" w14:paraId="2CCCF31C" w14:textId="77777777" w:rsidTr="0008737B">
        <w:trPr>
          <w:cantSplit/>
          <w:trHeight w:val="22"/>
          <w:jc w:val="center"/>
        </w:trPr>
        <w:tc>
          <w:tcPr>
            <w:tcW w:w="0" w:type="auto"/>
            <w:shd w:val="clear" w:color="auto" w:fill="auto"/>
            <w:noWrap/>
            <w:vAlign w:val="center"/>
            <w:hideMark/>
          </w:tcPr>
          <w:p w14:paraId="18A60C00"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41 ° </w:t>
            </w:r>
          </w:p>
        </w:tc>
        <w:tc>
          <w:tcPr>
            <w:tcW w:w="0" w:type="auto"/>
            <w:shd w:val="clear" w:color="auto" w:fill="auto"/>
            <w:noWrap/>
            <w:vAlign w:val="center"/>
            <w:hideMark/>
          </w:tcPr>
          <w:p w14:paraId="352711E0"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21.0 </w:t>
            </w:r>
          </w:p>
        </w:tc>
        <w:tc>
          <w:tcPr>
            <w:tcW w:w="0" w:type="auto"/>
            <w:shd w:val="clear" w:color="auto" w:fill="auto"/>
            <w:noWrap/>
            <w:vAlign w:val="center"/>
            <w:hideMark/>
          </w:tcPr>
          <w:p w14:paraId="36E588DB"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96.5 </w:t>
            </w:r>
          </w:p>
        </w:tc>
        <w:tc>
          <w:tcPr>
            <w:tcW w:w="0" w:type="auto"/>
            <w:shd w:val="clear" w:color="auto" w:fill="auto"/>
            <w:noWrap/>
            <w:vAlign w:val="center"/>
            <w:hideMark/>
          </w:tcPr>
          <w:p w14:paraId="1EC0022B"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200.5 </w:t>
            </w:r>
          </w:p>
        </w:tc>
        <w:tc>
          <w:tcPr>
            <w:tcW w:w="2328" w:type="dxa"/>
            <w:shd w:val="clear" w:color="auto" w:fill="auto"/>
            <w:noWrap/>
            <w:vAlign w:val="center"/>
            <w:hideMark/>
          </w:tcPr>
          <w:p w14:paraId="471FDF79" w14:textId="77777777" w:rsidR="00C46ABF" w:rsidRPr="00D94799" w:rsidRDefault="00C46ABF" w:rsidP="0008737B">
            <w:pPr>
              <w:jc w:val="center"/>
              <w:rPr>
                <w:rFonts w:asciiTheme="majorHAnsi" w:hAnsiTheme="majorHAnsi" w:cstheme="majorHAnsi"/>
                <w:color w:val="000000"/>
              </w:rPr>
            </w:pPr>
            <w:r w:rsidRPr="00D94799">
              <w:rPr>
                <w:rFonts w:asciiTheme="majorHAnsi" w:hAnsiTheme="majorHAnsi" w:cstheme="majorHAnsi"/>
                <w:color w:val="000000"/>
              </w:rPr>
              <w:t xml:space="preserve">12.3 </w:t>
            </w:r>
          </w:p>
        </w:tc>
      </w:tr>
    </w:tbl>
    <w:p w14:paraId="4D973DF5" w14:textId="77777777" w:rsidR="00C46ABF" w:rsidRPr="00D94799" w:rsidRDefault="00C46ABF" w:rsidP="00C46ABF">
      <w:pPr>
        <w:pStyle w:val="a6"/>
        <w:rPr>
          <w:rFonts w:asciiTheme="majorHAnsi" w:hAnsiTheme="majorHAnsi" w:cstheme="majorHAnsi"/>
        </w:rPr>
      </w:pPr>
      <w:r w:rsidRPr="00D94799">
        <w:rPr>
          <w:rFonts w:asciiTheme="majorHAnsi" w:hAnsiTheme="majorHAnsi" w:cstheme="majorHAnsi"/>
          <w:b/>
          <w:bCs/>
        </w:rPr>
        <w:t>T</w:t>
      </w:r>
      <w:r w:rsidRPr="00D94799">
        <w:rPr>
          <w:rFonts w:asciiTheme="majorHAnsi" w:eastAsiaTheme="minorEastAsia" w:hAnsiTheme="majorHAnsi" w:cstheme="majorHAnsi"/>
          <w:b/>
          <w:bCs/>
          <w:lang w:eastAsia="zh-CN"/>
        </w:rPr>
        <w:t>able</w:t>
      </w:r>
      <w:r w:rsidRPr="00D94799">
        <w:rPr>
          <w:rFonts w:asciiTheme="majorHAnsi" w:hAnsiTheme="majorHAnsi" w:cstheme="majorHAnsi"/>
          <w:b/>
          <w:bCs/>
        </w:rPr>
        <w:t xml:space="preserve"> </w:t>
      </w:r>
      <w:r w:rsidRPr="00D94799">
        <w:rPr>
          <w:rFonts w:asciiTheme="majorHAnsi" w:eastAsiaTheme="minorEastAsia" w:hAnsiTheme="majorHAnsi" w:cstheme="majorHAnsi"/>
          <w:b/>
          <w:bCs/>
          <w:lang w:eastAsia="zh-CN"/>
        </w:rPr>
        <w:t>3</w:t>
      </w:r>
      <w:r w:rsidRPr="00D94799">
        <w:rPr>
          <w:rFonts w:asciiTheme="majorHAnsi" w:hAnsiTheme="majorHAnsi" w:cstheme="majorHAnsi"/>
          <w:b/>
          <w:bCs/>
        </w:rPr>
        <w:t>.</w:t>
      </w:r>
      <w:r w:rsidRPr="00D94799">
        <w:rPr>
          <w:rFonts w:asciiTheme="majorHAnsi" w:hAnsiTheme="majorHAnsi" w:cstheme="majorHAnsi"/>
        </w:rPr>
        <w:t xml:space="preserve"> Single factor </w:t>
      </w:r>
      <w:proofErr w:type="gramStart"/>
      <w:r w:rsidRPr="00D94799">
        <w:rPr>
          <w:rFonts w:asciiTheme="majorHAnsi" w:hAnsiTheme="majorHAnsi" w:cstheme="majorHAnsi"/>
        </w:rPr>
        <w:t>experiment</w:t>
      </w:r>
      <w:proofErr w:type="gramEnd"/>
      <w:r w:rsidRPr="00D94799">
        <w:rPr>
          <w:rFonts w:asciiTheme="majorHAnsi" w:hAnsiTheme="majorHAnsi" w:cstheme="majorHAnsi"/>
        </w:rPr>
        <w:t xml:space="preserve"> of seeding angle</w:t>
      </w:r>
    </w:p>
    <w:p w14:paraId="3E30B01A" w14:textId="77777777" w:rsidR="00C46ABF" w:rsidRPr="00D94799" w:rsidRDefault="00C46ABF" w:rsidP="00C46ABF">
      <w:pPr>
        <w:rPr>
          <w:rFonts w:asciiTheme="majorHAnsi" w:eastAsia="黑体" w:hAnsiTheme="majorHAnsi" w:cstheme="majorHAnsi"/>
        </w:rPr>
      </w:pPr>
    </w:p>
    <w:p w14:paraId="6CE0B5F3"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 xml:space="preserve">From the analysis of Table 3, </w:t>
      </w:r>
      <w:proofErr w:type="gramStart"/>
      <w:r w:rsidRPr="00D94799">
        <w:rPr>
          <w:rFonts w:asciiTheme="majorHAnsi" w:eastAsia="黑体" w:hAnsiTheme="majorHAnsi" w:cstheme="majorHAnsi"/>
        </w:rPr>
        <w:t>it can be seen that with</w:t>
      </w:r>
      <w:proofErr w:type="gramEnd"/>
      <w:r w:rsidRPr="00D94799">
        <w:rPr>
          <w:rFonts w:asciiTheme="majorHAnsi" w:eastAsia="黑体" w:hAnsiTheme="majorHAnsi" w:cstheme="majorHAnsi"/>
        </w:rPr>
        <w:t xml:space="preserve"> the increase of the seeding angle, the average value of the hole distance fluctuates on the theoretical hole distance of 200 mm, and the average value of the hole diameter and the coefficient of variation of the hole distance show a trend of decreasing first and then increasing. When the seeding angle is 36 °, the minimum value is obtained, and the qualified rate of the hole diameter shows an increasing trend. When the seeding angle increases from 36 ° to 41 °, the growth of the qualified rate of the hole diameter tends to be gentle. This is because when the seeding angle is small, the convergence distance of rice seeds in the outer plate is longer. Due to the influence of factors such as the shape and size of rice seeds and random collision, the time of arrival of multiple rice seeds in one hole to the seed outlet is quite different. With the increase of seeding angle, the convergence distance of rice seeds gradually became shorter, the consistency of seeding was improved, and the hole formation and hole spacing uniformity of seeding were significantly improved. However, when the seeding angle was too large, the multi-grain rice seeds in one hole failed to achieve effective convergence, and the uniformity of seeding and hole spacing decreased again.</w:t>
      </w:r>
    </w:p>
    <w:p w14:paraId="03B129AF" w14:textId="77777777" w:rsidR="00C46ABF" w:rsidRPr="00D94799" w:rsidRDefault="00C46ABF" w:rsidP="00C46ABF">
      <w:pPr>
        <w:ind w:right="40"/>
        <w:rPr>
          <w:rFonts w:asciiTheme="majorHAnsi" w:hAnsiTheme="majorHAnsi" w:cstheme="majorHAnsi"/>
          <w:color w:val="1C1D1E"/>
          <w:shd w:val="clear" w:color="auto" w:fill="FFFFFF"/>
        </w:rPr>
      </w:pPr>
    </w:p>
    <w:bookmarkEnd w:id="3"/>
    <w:p w14:paraId="3E98E289" w14:textId="77777777" w:rsidR="00C46ABF" w:rsidRPr="00D94799" w:rsidRDefault="00C46ABF" w:rsidP="00C46ABF">
      <w:pPr>
        <w:pStyle w:val="2"/>
        <w:rPr>
          <w:rFonts w:asciiTheme="majorHAnsi" w:hAnsiTheme="majorHAnsi" w:cstheme="majorHAnsi"/>
          <w:sz w:val="22"/>
          <w:szCs w:val="22"/>
        </w:rPr>
      </w:pPr>
      <w:r w:rsidRPr="00D94799">
        <w:rPr>
          <w:rFonts w:asciiTheme="majorHAnsi" w:hAnsiTheme="majorHAnsi" w:cstheme="majorHAnsi"/>
          <w:sz w:val="22"/>
          <w:szCs w:val="22"/>
        </w:rPr>
        <w:t>Comparative test</w:t>
      </w:r>
    </w:p>
    <w:p w14:paraId="0A3771F2"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The results of the comparative test of the performance using different seed guide device are shown in Fig.5.</w:t>
      </w:r>
    </w:p>
    <w:p w14:paraId="0C1B1208" w14:textId="77777777" w:rsidR="00C46ABF" w:rsidRPr="00D94799" w:rsidRDefault="00C46ABF" w:rsidP="00C46ABF">
      <w:pPr>
        <w:pStyle w:val="a6"/>
        <w:rPr>
          <w:rStyle w:val="ListLabel4"/>
          <w:rFonts w:asciiTheme="majorHAnsi" w:eastAsia="Calibri" w:hAnsiTheme="majorHAnsi" w:cstheme="majorHAnsi"/>
        </w:rPr>
      </w:pPr>
    </w:p>
    <w:p w14:paraId="058F6A77" w14:textId="77777777" w:rsidR="00C46ABF" w:rsidRPr="00D94799" w:rsidRDefault="00C46ABF" w:rsidP="00C46ABF">
      <w:pPr>
        <w:jc w:val="center"/>
        <w:rPr>
          <w:rFonts w:asciiTheme="majorHAnsi" w:eastAsia="黑体" w:hAnsiTheme="majorHAnsi" w:cstheme="majorHAnsi"/>
        </w:rPr>
      </w:pPr>
      <w:r w:rsidRPr="00D94799">
        <w:rPr>
          <w:rFonts w:asciiTheme="majorHAnsi" w:eastAsia="黑体" w:hAnsiTheme="majorHAnsi" w:cstheme="majorHAnsi"/>
          <w:noProof/>
        </w:rPr>
        <w:drawing>
          <wp:inline distT="0" distB="0" distL="0" distR="0" wp14:anchorId="6EC44AF8" wp14:editId="7B7CF18B">
            <wp:extent cx="4282803" cy="3181291"/>
            <wp:effectExtent l="0" t="0" r="3810" b="635"/>
            <wp:docPr id="980900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13075" name="图片 1068313075"/>
                    <pic:cNvPicPr/>
                  </pic:nvPicPr>
                  <pic:blipFill rotWithShape="1">
                    <a:blip r:embed="rId6"/>
                    <a:srcRect t="596" r="2555" b="2893"/>
                    <a:stretch/>
                  </pic:blipFill>
                  <pic:spPr bwMode="auto">
                    <a:xfrm>
                      <a:off x="0" y="0"/>
                      <a:ext cx="4297594" cy="3192278"/>
                    </a:xfrm>
                    <a:prstGeom prst="rect">
                      <a:avLst/>
                    </a:prstGeom>
                    <a:ln>
                      <a:noFill/>
                    </a:ln>
                    <a:extLst>
                      <a:ext uri="{53640926-AAD7-44D8-BBD7-CCE9431645EC}">
                        <a14:shadowObscured xmlns:a14="http://schemas.microsoft.com/office/drawing/2010/main"/>
                      </a:ext>
                    </a:extLst>
                  </pic:spPr>
                </pic:pic>
              </a:graphicData>
            </a:graphic>
          </wp:inline>
        </w:drawing>
      </w:r>
    </w:p>
    <w:p w14:paraId="69F41B7D" w14:textId="77777777" w:rsidR="00C46ABF" w:rsidRPr="00D94799" w:rsidRDefault="00C46ABF" w:rsidP="00C46ABF">
      <w:pPr>
        <w:rPr>
          <w:rFonts w:asciiTheme="majorHAnsi" w:eastAsia="黑体" w:hAnsiTheme="majorHAnsi" w:cstheme="majorHAnsi"/>
          <w:b/>
          <w:bCs/>
        </w:rPr>
      </w:pPr>
      <w:r w:rsidRPr="00D94799">
        <w:rPr>
          <w:rFonts w:asciiTheme="majorHAnsi" w:eastAsia="黑体" w:hAnsiTheme="majorHAnsi" w:cstheme="majorHAnsi"/>
          <w:b/>
          <w:bCs/>
        </w:rPr>
        <w:t>Fig</w:t>
      </w:r>
      <w:r>
        <w:rPr>
          <w:rFonts w:asciiTheme="majorHAnsi" w:eastAsia="黑体" w:hAnsiTheme="majorHAnsi" w:cstheme="majorHAnsi" w:hint="eastAsia"/>
          <w:b/>
          <w:bCs/>
        </w:rPr>
        <w:t>ture</w:t>
      </w:r>
      <w:r w:rsidRPr="00D94799">
        <w:rPr>
          <w:rFonts w:asciiTheme="majorHAnsi" w:eastAsia="黑体" w:hAnsiTheme="majorHAnsi" w:cstheme="majorHAnsi"/>
          <w:b/>
          <w:bCs/>
        </w:rPr>
        <w:t xml:space="preserve">.5. </w:t>
      </w:r>
      <w:r w:rsidRPr="00D94799">
        <w:rPr>
          <w:rFonts w:asciiTheme="majorHAnsi" w:eastAsia="黑体" w:hAnsiTheme="majorHAnsi" w:cstheme="majorHAnsi"/>
        </w:rPr>
        <w:t>The hole seeding performance using different seed guide device</w:t>
      </w:r>
    </w:p>
    <w:p w14:paraId="54CF7675" w14:textId="77777777" w:rsidR="00C46ABF" w:rsidRPr="00D94799" w:rsidRDefault="00C46ABF" w:rsidP="00C46ABF">
      <w:pPr>
        <w:jc w:val="center"/>
        <w:rPr>
          <w:rFonts w:asciiTheme="majorHAnsi" w:eastAsia="黑体" w:hAnsiTheme="majorHAnsi" w:cstheme="majorHAnsi"/>
          <w:b/>
          <w:bCs/>
        </w:rPr>
      </w:pPr>
    </w:p>
    <w:p w14:paraId="36003D7F"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From Fig.5,</w:t>
      </w:r>
      <w:r w:rsidRPr="00D94799">
        <w:rPr>
          <w:rFonts w:asciiTheme="majorHAnsi" w:hAnsiTheme="majorHAnsi" w:cstheme="majorHAnsi"/>
        </w:rPr>
        <w:t xml:space="preserve"> </w:t>
      </w:r>
      <w:r w:rsidRPr="00D94799">
        <w:rPr>
          <w:rFonts w:asciiTheme="majorHAnsi" w:eastAsia="黑体" w:hAnsiTheme="majorHAnsi" w:cstheme="majorHAnsi"/>
        </w:rPr>
        <w:t>Taking the same kind of rice seeds as the seeding object, the average hole distance</w:t>
      </w:r>
      <w:r>
        <w:rPr>
          <w:rFonts w:asciiTheme="majorHAnsi" w:eastAsia="黑体" w:hAnsiTheme="majorHAnsi" w:cstheme="majorHAnsi" w:hint="eastAsia"/>
        </w:rPr>
        <w:t xml:space="preserve"> </w:t>
      </w:r>
      <w:r w:rsidRPr="00D94799">
        <w:rPr>
          <w:rFonts w:asciiTheme="majorHAnsi" w:eastAsia="黑体" w:hAnsiTheme="majorHAnsi" w:cstheme="majorHAnsi"/>
        </w:rPr>
        <w:t xml:space="preserve">(Fig.5c) of </w:t>
      </w:r>
      <w:r w:rsidRPr="00D94799">
        <w:rPr>
          <w:rFonts w:asciiTheme="majorHAnsi" w:eastAsia="黑体" w:hAnsiTheme="majorHAnsi" w:cstheme="majorHAnsi"/>
        </w:rPr>
        <w:lastRenderedPageBreak/>
        <w:t>the seed-metering device is extremely close to the theoretical hole spacing of 200 mm under different seed guiding methods. However, the average hole diameter</w:t>
      </w:r>
      <w:r>
        <w:rPr>
          <w:rFonts w:asciiTheme="majorHAnsi" w:eastAsia="黑体" w:hAnsiTheme="majorHAnsi" w:cstheme="majorHAnsi" w:hint="eastAsia"/>
        </w:rPr>
        <w:t xml:space="preserve"> </w:t>
      </w:r>
      <w:r w:rsidRPr="00D94799">
        <w:rPr>
          <w:rFonts w:asciiTheme="majorHAnsi" w:eastAsia="黑体" w:hAnsiTheme="majorHAnsi" w:cstheme="majorHAnsi"/>
        </w:rPr>
        <w:t xml:space="preserve">(Fig.5b) and the coefficient of variation of hole </w:t>
      </w:r>
      <w:proofErr w:type="gramStart"/>
      <w:r w:rsidRPr="00D94799">
        <w:rPr>
          <w:rFonts w:asciiTheme="majorHAnsi" w:eastAsia="黑体" w:hAnsiTheme="majorHAnsi" w:cstheme="majorHAnsi"/>
        </w:rPr>
        <w:t>distance(</w:t>
      </w:r>
      <w:proofErr w:type="gramEnd"/>
      <w:r w:rsidRPr="00D94799">
        <w:rPr>
          <w:rFonts w:asciiTheme="majorHAnsi" w:eastAsia="黑体" w:hAnsiTheme="majorHAnsi" w:cstheme="majorHAnsi"/>
        </w:rPr>
        <w:t>Fig.5d) under the impeller seed guiding method are low, and the qualified rate of hole diameter(Fig.5a) is high. The reason may be that the multi-grain rice seeds in the same hole have a large degree of freedom of movement in the seed guiding tube. Under the influence of mechanical vibration and random collision between rice seeds and rice seeds, rice seeds and pipe wall, it is difficult to maintain good seed setting and hole spacing uniformity. The impeller seed guiding device always maintains the synchronization of the movement of multi-grain rice seeds in a hole and the uniformity of the hole spacing by using the blade compartment during the seed guiding process. At the same time, the impeller seed guiding reduces the height of the seed, which is also conducive to the uniformity of the seeding. Therefore, compared with the seed guide tube, the impeller seed guide has good cavitation and hole spacing uniformity.</w:t>
      </w:r>
    </w:p>
    <w:p w14:paraId="4244068E"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 xml:space="preserve">Under the impeller seeding method, the average hole diameter and the qualified rate of the hole diameter of the three varieties of rice seeds were similar. Compared with the other two rice varieties, the coefficient of variation of the hole spacing of </w:t>
      </w:r>
      <w:proofErr w:type="spellStart"/>
      <w:r w:rsidRPr="00D94799">
        <w:rPr>
          <w:rFonts w:asciiTheme="majorHAnsi" w:eastAsia="黑体" w:hAnsiTheme="majorHAnsi" w:cstheme="majorHAnsi"/>
        </w:rPr>
        <w:t>Chuangliangyou</w:t>
      </w:r>
      <w:proofErr w:type="spellEnd"/>
      <w:r w:rsidRPr="00D94799">
        <w:rPr>
          <w:rFonts w:asciiTheme="majorHAnsi" w:eastAsia="黑体" w:hAnsiTheme="majorHAnsi" w:cstheme="majorHAnsi"/>
        </w:rPr>
        <w:t xml:space="preserve"> 4418 was relatively large. The main reason was that the rice seed of </w:t>
      </w:r>
      <w:proofErr w:type="spellStart"/>
      <w:r w:rsidRPr="00D94799">
        <w:rPr>
          <w:rFonts w:asciiTheme="majorHAnsi" w:eastAsia="黑体" w:hAnsiTheme="majorHAnsi" w:cstheme="majorHAnsi"/>
        </w:rPr>
        <w:t>Chuangliangyou</w:t>
      </w:r>
      <w:proofErr w:type="spellEnd"/>
      <w:r w:rsidRPr="00D94799">
        <w:rPr>
          <w:rFonts w:asciiTheme="majorHAnsi" w:eastAsia="黑体" w:hAnsiTheme="majorHAnsi" w:cstheme="majorHAnsi"/>
        </w:rPr>
        <w:t xml:space="preserve"> 4418 was more slender than other rice varieties, which made the consistency of the seed input poor, and the seed input trajectory was more seriously affected by its own flip. </w:t>
      </w:r>
      <w:proofErr w:type="gramStart"/>
      <w:r w:rsidRPr="00D94799">
        <w:rPr>
          <w:rFonts w:asciiTheme="majorHAnsi" w:eastAsia="黑体" w:hAnsiTheme="majorHAnsi" w:cstheme="majorHAnsi"/>
        </w:rPr>
        <w:t>It can be seen that no</w:t>
      </w:r>
      <w:proofErr w:type="gramEnd"/>
      <w:r w:rsidRPr="00D94799">
        <w:rPr>
          <w:rFonts w:asciiTheme="majorHAnsi" w:eastAsia="黑体" w:hAnsiTheme="majorHAnsi" w:cstheme="majorHAnsi"/>
        </w:rPr>
        <w:t xml:space="preserve"> matter what kind of guidance method, the shorter and rounder the rice seed, the more conducive to the hole formation and hole spacing uniformity of the seeding.</w:t>
      </w:r>
    </w:p>
    <w:p w14:paraId="46BC521F"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Although the uniform effect of the impeller seed guiding device is also adversely affected by the shape of the slender rice seed, the coefficient of variation of the hole distance is basically less than 10%, and the average hole diameter is not higher than 21.7 mm, and the qualified rate of the hole diameter is not less than 96.1%. It can better meet the requirements of fixed-distance hole seeding for rice seeds of different shapes and sizes.</w:t>
      </w:r>
    </w:p>
    <w:p w14:paraId="41A7559D"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 xml:space="preserve">Taking the same kind of rice seeds as the seeding object, comparing the two seeding methods, </w:t>
      </w:r>
      <w:proofErr w:type="gramStart"/>
      <w:r w:rsidRPr="00D94799">
        <w:rPr>
          <w:rFonts w:asciiTheme="majorHAnsi" w:eastAsia="黑体" w:hAnsiTheme="majorHAnsi" w:cstheme="majorHAnsi"/>
        </w:rPr>
        <w:t>it can be seen that the</w:t>
      </w:r>
      <w:proofErr w:type="gramEnd"/>
      <w:r w:rsidRPr="00D94799">
        <w:rPr>
          <w:rFonts w:asciiTheme="majorHAnsi" w:eastAsia="黑体" w:hAnsiTheme="majorHAnsi" w:cstheme="majorHAnsi"/>
        </w:rPr>
        <w:t xml:space="preserve"> average hole diameter and the coefficient of variation of the hole spacing are lower under the impeller seeding method, and the qualified rate of the hole diameter is higher. The reason may be that the multi-grain rice seeds in the same hole have a large degree of freedom of motion in the seeding tube. Under the influence of mechanical vibration and the collision between rice seeds and rice seeds, rice seeds and pipe walls, it is difficult to maintain good seeding and hole formation and hole spacing uniformity. In the process of seeding, the impeller seeding device always maintains the synchronization of the movement of multi-grain rice seeds in one hole and the hole formation of seeding, and the uniformity of hole spacing. At the same time, the impeller seeding reduces the seeding height and is also beneficial to the uniformity of seeding.</w:t>
      </w:r>
    </w:p>
    <w:p w14:paraId="4B8C4685" w14:textId="77777777" w:rsidR="00C46ABF" w:rsidRPr="00D94799" w:rsidRDefault="00C46ABF" w:rsidP="00C46ABF">
      <w:pPr>
        <w:rPr>
          <w:rFonts w:asciiTheme="majorHAnsi" w:eastAsia="黑体" w:hAnsiTheme="majorHAnsi" w:cstheme="majorHAnsi"/>
        </w:rPr>
      </w:pPr>
      <w:r w:rsidRPr="00D94799">
        <w:rPr>
          <w:rFonts w:asciiTheme="majorHAnsi" w:eastAsia="黑体" w:hAnsiTheme="majorHAnsi" w:cstheme="majorHAnsi"/>
        </w:rPr>
        <w:t>Therefore, compared with the seed guide tube, the impeller seed guide has good cavitation and hole spacing uniformity.</w:t>
      </w:r>
    </w:p>
    <w:p w14:paraId="5F7A3807" w14:textId="77777777" w:rsidR="00C46ABF" w:rsidRPr="00D94799" w:rsidRDefault="00C46ABF" w:rsidP="00C46ABF">
      <w:pPr>
        <w:rPr>
          <w:rFonts w:asciiTheme="majorHAnsi" w:hAnsiTheme="majorHAnsi" w:cstheme="majorHAnsi"/>
        </w:rPr>
      </w:pPr>
    </w:p>
    <w:p w14:paraId="6CABBD6F" w14:textId="77777777" w:rsidR="00C42A95" w:rsidRPr="00C46ABF" w:rsidRDefault="00C42A95"/>
    <w:sectPr w:rsidR="00C42A95" w:rsidRPr="00C46ABF" w:rsidSect="00F41C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BF"/>
    <w:rsid w:val="005B2E80"/>
    <w:rsid w:val="00C42A95"/>
    <w:rsid w:val="00C46ABF"/>
    <w:rsid w:val="00E80D16"/>
    <w:rsid w:val="00F41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B250"/>
  <w15:chartTrackingRefBased/>
  <w15:docId w15:val="{E174217D-6093-4A52-990C-73600FD4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46ABF"/>
    <w:pPr>
      <w:keepNext/>
      <w:keepLines/>
      <w:widowControl/>
      <w:spacing w:before="400" w:after="120" w:line="276" w:lineRule="auto"/>
      <w:jc w:val="left"/>
      <w:outlineLvl w:val="0"/>
    </w:pPr>
    <w:rPr>
      <w:rFonts w:ascii="Arial" w:hAnsi="Arial" w:cs="Arial"/>
      <w:kern w:val="0"/>
      <w:sz w:val="40"/>
      <w:szCs w:val="40"/>
      <w:lang w:val="en"/>
    </w:rPr>
  </w:style>
  <w:style w:type="paragraph" w:styleId="2">
    <w:name w:val="heading 2"/>
    <w:basedOn w:val="a"/>
    <w:next w:val="a"/>
    <w:link w:val="20"/>
    <w:uiPriority w:val="9"/>
    <w:unhideWhenUsed/>
    <w:qFormat/>
    <w:rsid w:val="00C46ABF"/>
    <w:pPr>
      <w:keepNext/>
      <w:keepLines/>
      <w:widowControl/>
      <w:spacing w:before="360" w:after="120" w:line="276" w:lineRule="auto"/>
      <w:jc w:val="left"/>
      <w:outlineLvl w:val="1"/>
    </w:pPr>
    <w:rPr>
      <w:rFonts w:ascii="Arial" w:hAnsi="Arial" w:cs="Arial"/>
      <w:kern w:val="0"/>
      <w:sz w:val="32"/>
      <w:szCs w:val="32"/>
      <w:lang w:val="en"/>
    </w:rPr>
  </w:style>
  <w:style w:type="paragraph" w:styleId="3">
    <w:name w:val="heading 3"/>
    <w:basedOn w:val="a"/>
    <w:next w:val="a"/>
    <w:link w:val="30"/>
    <w:uiPriority w:val="9"/>
    <w:unhideWhenUsed/>
    <w:qFormat/>
    <w:rsid w:val="00C46ABF"/>
    <w:pPr>
      <w:keepNext/>
      <w:keepLines/>
      <w:widowControl/>
      <w:spacing w:before="320" w:after="80" w:line="276" w:lineRule="auto"/>
      <w:jc w:val="left"/>
      <w:outlineLvl w:val="2"/>
    </w:pPr>
    <w:rPr>
      <w:rFonts w:ascii="Arial" w:hAnsi="Arial" w:cs="Arial"/>
      <w:color w:val="434343"/>
      <w:kern w:val="0"/>
      <w:sz w:val="28"/>
      <w:szCs w:val="28"/>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6ABF"/>
    <w:rPr>
      <w:rFonts w:ascii="Arial" w:hAnsi="Arial" w:cs="Arial"/>
      <w:kern w:val="0"/>
      <w:sz w:val="40"/>
      <w:szCs w:val="40"/>
      <w:lang w:val="en"/>
    </w:rPr>
  </w:style>
  <w:style w:type="character" w:customStyle="1" w:styleId="20">
    <w:name w:val="标题 2 字符"/>
    <w:basedOn w:val="a0"/>
    <w:link w:val="2"/>
    <w:uiPriority w:val="9"/>
    <w:rsid w:val="00C46ABF"/>
    <w:rPr>
      <w:rFonts w:ascii="Arial" w:hAnsi="Arial" w:cs="Arial"/>
      <w:kern w:val="0"/>
      <w:sz w:val="32"/>
      <w:szCs w:val="32"/>
      <w:lang w:val="en"/>
    </w:rPr>
  </w:style>
  <w:style w:type="character" w:customStyle="1" w:styleId="30">
    <w:name w:val="标题 3 字符"/>
    <w:basedOn w:val="a0"/>
    <w:link w:val="3"/>
    <w:uiPriority w:val="9"/>
    <w:rsid w:val="00C46ABF"/>
    <w:rPr>
      <w:rFonts w:ascii="Arial" w:hAnsi="Arial" w:cs="Arial"/>
      <w:color w:val="434343"/>
      <w:kern w:val="0"/>
      <w:sz w:val="28"/>
      <w:szCs w:val="28"/>
      <w:lang w:val="en"/>
    </w:rPr>
  </w:style>
  <w:style w:type="paragraph" w:styleId="a3">
    <w:name w:val="Body Text"/>
    <w:basedOn w:val="a"/>
    <w:link w:val="a4"/>
    <w:uiPriority w:val="1"/>
    <w:qFormat/>
    <w:rsid w:val="00C46ABF"/>
    <w:pPr>
      <w:autoSpaceDE w:val="0"/>
      <w:autoSpaceDN w:val="0"/>
      <w:spacing w:after="538" w:line="242" w:lineRule="auto"/>
      <w:ind w:left="74" w:right="91" w:firstLine="6"/>
    </w:pPr>
    <w:rPr>
      <w:rFonts w:ascii="Calibri" w:eastAsia="Calibri" w:hAnsi="Calibri" w:cs="Times New Roman"/>
      <w:kern w:val="0"/>
      <w:sz w:val="20"/>
      <w:lang w:eastAsia="en-US" w:bidi="en-US"/>
    </w:rPr>
  </w:style>
  <w:style w:type="character" w:customStyle="1" w:styleId="a4">
    <w:name w:val="正文文本 字符"/>
    <w:basedOn w:val="a0"/>
    <w:link w:val="a3"/>
    <w:uiPriority w:val="1"/>
    <w:rsid w:val="00C46ABF"/>
    <w:rPr>
      <w:rFonts w:ascii="Calibri" w:eastAsia="Calibri" w:hAnsi="Calibri" w:cs="Times New Roman"/>
      <w:kern w:val="0"/>
      <w:sz w:val="20"/>
      <w:lang w:eastAsia="en-US" w:bidi="en-US"/>
    </w:rPr>
  </w:style>
  <w:style w:type="character" w:customStyle="1" w:styleId="ListLabel4">
    <w:name w:val="ListLabel 4"/>
    <w:qFormat/>
    <w:rsid w:val="00C46ABF"/>
    <w:rPr>
      <w:rFonts w:eastAsia="Times New Roman"/>
      <w:sz w:val="22"/>
      <w:lang w:val="en-US" w:eastAsia="en-US" w:bidi="en-US"/>
    </w:rPr>
  </w:style>
  <w:style w:type="table" w:styleId="a5">
    <w:name w:val="Table Grid"/>
    <w:aliases w:val="JACC"/>
    <w:basedOn w:val="a1"/>
    <w:uiPriority w:val="39"/>
    <w:qFormat/>
    <w:rsid w:val="00C46ABF"/>
    <w:pPr>
      <w:jc w:val="right"/>
    </w:pPr>
    <w:rPr>
      <w:rFonts w:ascii="Times New Roman" w:eastAsia="MS Mincho"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图标格式"/>
    <w:uiPriority w:val="1"/>
    <w:qFormat/>
    <w:rsid w:val="00C46ABF"/>
    <w:rPr>
      <w:rFonts w:ascii="Calibri" w:eastAsia="Calibri"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8308</Characters>
  <Application>Microsoft Office Word</Application>
  <DocSecurity>0</DocSecurity>
  <Lines>69</Lines>
  <Paragraphs>19</Paragraphs>
  <ScaleCrop>false</ScaleCrop>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 s</dc:creator>
  <cp:keywords/>
  <dc:description/>
  <cp:lastModifiedBy>ys s</cp:lastModifiedBy>
  <cp:revision>1</cp:revision>
  <dcterms:created xsi:type="dcterms:W3CDTF">2024-03-12T12:48:00Z</dcterms:created>
  <dcterms:modified xsi:type="dcterms:W3CDTF">2024-03-12T12:48:00Z</dcterms:modified>
</cp:coreProperties>
</file>