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59B2B3" w14:textId="77777777" w:rsidR="009B0E45" w:rsidRPr="006A0F86" w:rsidRDefault="009B0E45" w:rsidP="009B0E45">
      <w:pPr>
        <w:spacing w:after="0" w:line="480" w:lineRule="auto"/>
        <w:jc w:val="center"/>
        <w:rPr>
          <w:rFonts w:ascii="Arial" w:hAnsi="Arial" w:cs="Arial"/>
          <w:b/>
          <w:lang w:val="en-GB"/>
        </w:rPr>
      </w:pPr>
      <w:r w:rsidRPr="006A0F86">
        <w:rPr>
          <w:rFonts w:ascii="Arial" w:hAnsi="Arial" w:cs="Arial"/>
          <w:b/>
          <w:lang w:val="en-GB"/>
        </w:rPr>
        <w:t xml:space="preserve">Title: </w:t>
      </w:r>
      <w:bookmarkStart w:id="0" w:name="_Hlk160530209"/>
      <w:r w:rsidRPr="006A0F86">
        <w:rPr>
          <w:rFonts w:ascii="Arial" w:hAnsi="Arial" w:cs="Arial"/>
          <w:b/>
          <w:lang w:val="en-GB"/>
        </w:rPr>
        <w:t xml:space="preserve">A multimethod approach to assess arbuscular mycorrhizal fungal diversity in a hot arid </w:t>
      </w:r>
      <w:r>
        <w:rPr>
          <w:rFonts w:ascii="Arial" w:hAnsi="Arial" w:cs="Arial"/>
          <w:b/>
          <w:lang w:val="en-GB"/>
        </w:rPr>
        <w:t xml:space="preserve">and </w:t>
      </w:r>
      <w:r w:rsidRPr="006A0F86">
        <w:rPr>
          <w:rFonts w:ascii="Arial" w:hAnsi="Arial" w:cs="Arial"/>
          <w:b/>
          <w:lang w:val="en-GB"/>
        </w:rPr>
        <w:t>hyperalkaline region</w:t>
      </w:r>
    </w:p>
    <w:bookmarkEnd w:id="0"/>
    <w:p w14:paraId="60297177" w14:textId="77777777" w:rsidR="009B0E45" w:rsidRPr="006A0F86" w:rsidRDefault="009B0E45" w:rsidP="009B0E45">
      <w:pPr>
        <w:spacing w:after="0" w:line="480" w:lineRule="auto"/>
        <w:jc w:val="both"/>
        <w:rPr>
          <w:rFonts w:ascii="Arial" w:hAnsi="Arial" w:cs="Arial"/>
          <w:b/>
          <w:u w:val="single"/>
          <w:lang w:val="en-GB"/>
        </w:rPr>
      </w:pPr>
    </w:p>
    <w:p w14:paraId="30F2C669" w14:textId="77777777" w:rsidR="009B0E45" w:rsidRPr="006A0F86" w:rsidRDefault="009B0E45" w:rsidP="009B0E45">
      <w:pPr>
        <w:spacing w:after="0" w:line="480" w:lineRule="auto"/>
        <w:jc w:val="both"/>
        <w:rPr>
          <w:rFonts w:ascii="Arial" w:hAnsi="Arial" w:cs="Arial"/>
          <w:vertAlign w:val="superscript"/>
          <w:lang w:val="en-GB"/>
        </w:rPr>
      </w:pPr>
      <w:r w:rsidRPr="006A0F86">
        <w:rPr>
          <w:rFonts w:ascii="Arial" w:hAnsi="Arial" w:cs="Arial"/>
          <w:b/>
          <w:bCs/>
          <w:lang w:val="en-GB"/>
        </w:rPr>
        <w:t>Authors</w:t>
      </w:r>
      <w:r w:rsidRPr="006A0F86">
        <w:rPr>
          <w:rFonts w:ascii="Arial" w:hAnsi="Arial" w:cs="Arial"/>
          <w:lang w:val="en-GB"/>
        </w:rPr>
        <w:t>: Alexandre Robin-Soriano</w:t>
      </w:r>
      <w:bookmarkStart w:id="1" w:name="_Hlk160630878"/>
      <w:r w:rsidRPr="006A0F86">
        <w:rPr>
          <w:rFonts w:ascii="Arial" w:hAnsi="Arial" w:cs="Arial"/>
          <w:vertAlign w:val="superscript"/>
          <w:lang w:val="en-GB"/>
        </w:rPr>
        <w:t>1</w:t>
      </w:r>
      <w:bookmarkEnd w:id="1"/>
      <w:r w:rsidRPr="006A0F86">
        <w:rPr>
          <w:rFonts w:ascii="Arial" w:hAnsi="Arial" w:cs="Arial"/>
          <w:lang w:val="en-GB"/>
        </w:rPr>
        <w:t>, Kenji Maurice</w:t>
      </w:r>
      <w:r w:rsidRPr="006A0F86">
        <w:rPr>
          <w:rFonts w:ascii="Arial" w:hAnsi="Arial" w:cs="Arial"/>
          <w:vertAlign w:val="superscript"/>
          <w:lang w:val="en-GB"/>
        </w:rPr>
        <w:t>1</w:t>
      </w:r>
      <w:r w:rsidRPr="006A0F86">
        <w:rPr>
          <w:rFonts w:ascii="Arial" w:hAnsi="Arial" w:cs="Arial"/>
          <w:lang w:val="en-GB"/>
        </w:rPr>
        <w:t>, Stéphane Boivin</w:t>
      </w:r>
      <w:bookmarkStart w:id="2" w:name="_Hlk160630893"/>
      <w:r w:rsidRPr="006A0F86">
        <w:rPr>
          <w:rFonts w:ascii="Arial" w:hAnsi="Arial" w:cs="Arial"/>
          <w:vertAlign w:val="superscript"/>
          <w:lang w:val="en-GB"/>
        </w:rPr>
        <w:t>2</w:t>
      </w:r>
      <w:bookmarkEnd w:id="2"/>
      <w:r w:rsidRPr="006A0F86">
        <w:rPr>
          <w:rFonts w:ascii="Arial" w:hAnsi="Arial" w:cs="Arial"/>
          <w:lang w:val="en-GB"/>
        </w:rPr>
        <w:t>, Amelia Bourceret</w:t>
      </w:r>
      <w:r w:rsidRPr="006A0F86">
        <w:rPr>
          <w:rFonts w:ascii="Arial" w:hAnsi="Arial" w:cs="Arial"/>
          <w:vertAlign w:val="superscript"/>
          <w:lang w:val="en-GB"/>
        </w:rPr>
        <w:t>3</w:t>
      </w:r>
      <w:r w:rsidRPr="006A0F86">
        <w:rPr>
          <w:rFonts w:ascii="Arial" w:hAnsi="Arial" w:cs="Arial"/>
          <w:lang w:val="en-GB"/>
        </w:rPr>
        <w:t>, Liam Laurent-Webb</w:t>
      </w:r>
      <w:r w:rsidRPr="006A0F86">
        <w:rPr>
          <w:rFonts w:ascii="Arial" w:hAnsi="Arial" w:cs="Arial"/>
          <w:vertAlign w:val="superscript"/>
          <w:lang w:val="en-GB"/>
        </w:rPr>
        <w:t>3</w:t>
      </w:r>
      <w:r w:rsidRPr="006A0F86">
        <w:rPr>
          <w:rFonts w:ascii="Arial" w:hAnsi="Arial" w:cs="Arial"/>
          <w:lang w:val="en-GB"/>
        </w:rPr>
        <w:t>, Sami Youssef</w:t>
      </w:r>
      <w:r w:rsidRPr="006A0F86">
        <w:rPr>
          <w:rFonts w:ascii="Arial" w:hAnsi="Arial" w:cs="Arial"/>
          <w:vertAlign w:val="superscript"/>
          <w:lang w:val="en-GB"/>
        </w:rPr>
        <w:t>2</w:t>
      </w:r>
      <w:r w:rsidRPr="006A0F86">
        <w:rPr>
          <w:rFonts w:ascii="Arial" w:hAnsi="Arial" w:cs="Arial"/>
          <w:lang w:val="en-GB"/>
        </w:rPr>
        <w:t>, Jérôme Nespoulous</w:t>
      </w:r>
      <w:r w:rsidRPr="006A0F86">
        <w:rPr>
          <w:rFonts w:ascii="Arial" w:hAnsi="Arial" w:cs="Arial"/>
          <w:vertAlign w:val="superscript"/>
          <w:lang w:val="en-GB"/>
        </w:rPr>
        <w:t>2</w:t>
      </w:r>
      <w:r w:rsidRPr="006A0F86">
        <w:rPr>
          <w:rFonts w:ascii="Arial" w:hAnsi="Arial" w:cs="Arial"/>
          <w:lang w:val="en-GB"/>
        </w:rPr>
        <w:t xml:space="preserve">, </w:t>
      </w:r>
      <w:proofErr w:type="spellStart"/>
      <w:r w:rsidRPr="006A0F86">
        <w:rPr>
          <w:rFonts w:ascii="Arial" w:hAnsi="Arial" w:cs="Arial"/>
          <w:lang w:val="en-GB"/>
        </w:rPr>
        <w:t>Inès</w:t>
      </w:r>
      <w:proofErr w:type="spellEnd"/>
      <w:r w:rsidRPr="006A0F86">
        <w:rPr>
          <w:rFonts w:ascii="Arial" w:hAnsi="Arial" w:cs="Arial"/>
          <w:lang w:val="en-GB"/>
        </w:rPr>
        <w:t xml:space="preserve"> Boussière</w:t>
      </w:r>
      <w:r w:rsidRPr="006A0F86">
        <w:rPr>
          <w:rFonts w:ascii="Arial" w:hAnsi="Arial" w:cs="Arial"/>
          <w:vertAlign w:val="superscript"/>
          <w:lang w:val="en-GB"/>
        </w:rPr>
        <w:t>1</w:t>
      </w:r>
      <w:r w:rsidRPr="006A0F86">
        <w:rPr>
          <w:rFonts w:ascii="Arial" w:hAnsi="Arial" w:cs="Arial"/>
          <w:lang w:val="en-GB"/>
        </w:rPr>
        <w:t>, Julie Berder</w:t>
      </w:r>
      <w:r w:rsidRPr="006A0F86">
        <w:rPr>
          <w:rFonts w:ascii="Arial" w:hAnsi="Arial" w:cs="Arial"/>
          <w:vertAlign w:val="superscript"/>
          <w:lang w:val="en-GB"/>
        </w:rPr>
        <w:t>2</w:t>
      </w:r>
      <w:r w:rsidRPr="006A0F86">
        <w:rPr>
          <w:rFonts w:ascii="Arial" w:hAnsi="Arial" w:cs="Arial"/>
          <w:lang w:val="en-GB"/>
        </w:rPr>
        <w:t>, Coraline Damasio</w:t>
      </w:r>
      <w:r w:rsidRPr="006A0F86">
        <w:rPr>
          <w:rFonts w:ascii="Arial" w:hAnsi="Arial" w:cs="Arial"/>
          <w:vertAlign w:val="superscript"/>
          <w:lang w:val="en-GB"/>
        </w:rPr>
        <w:t>1</w:t>
      </w:r>
      <w:r w:rsidRPr="006A0F86">
        <w:rPr>
          <w:rFonts w:ascii="Arial" w:hAnsi="Arial" w:cs="Arial"/>
          <w:lang w:val="en-GB"/>
        </w:rPr>
        <w:t>, Bryan Vincent</w:t>
      </w:r>
      <w:r w:rsidRPr="006A0F86">
        <w:rPr>
          <w:rFonts w:ascii="Arial" w:hAnsi="Arial" w:cs="Arial"/>
          <w:vertAlign w:val="superscript"/>
          <w:lang w:val="en-GB"/>
        </w:rPr>
        <w:t>1</w:t>
      </w:r>
      <w:r w:rsidRPr="006A0F86">
        <w:rPr>
          <w:rFonts w:ascii="Arial" w:hAnsi="Arial" w:cs="Arial"/>
          <w:lang w:val="en-GB"/>
        </w:rPr>
        <w:t>, Hassan Boukcim</w:t>
      </w:r>
      <w:r w:rsidRPr="006A0F86">
        <w:rPr>
          <w:rFonts w:ascii="Arial" w:hAnsi="Arial" w:cs="Arial"/>
          <w:vertAlign w:val="superscript"/>
          <w:lang w:val="en-GB"/>
        </w:rPr>
        <w:t>2</w:t>
      </w:r>
      <w:bookmarkStart w:id="3" w:name="_Hlk160630911"/>
      <w:r w:rsidRPr="006A0F86">
        <w:rPr>
          <w:rFonts w:ascii="Arial" w:hAnsi="Arial" w:cs="Arial"/>
          <w:vertAlign w:val="superscript"/>
          <w:lang w:val="en-GB"/>
        </w:rPr>
        <w:t>,5</w:t>
      </w:r>
      <w:bookmarkEnd w:id="3"/>
      <w:r w:rsidRPr="006A0F86">
        <w:rPr>
          <w:rFonts w:ascii="Arial" w:hAnsi="Arial" w:cs="Arial"/>
          <w:lang w:val="en-GB"/>
        </w:rPr>
        <w:t>, Marc Ducousso</w:t>
      </w:r>
      <w:r w:rsidRPr="006A0F86">
        <w:rPr>
          <w:rFonts w:ascii="Arial" w:hAnsi="Arial" w:cs="Arial"/>
          <w:vertAlign w:val="superscript"/>
          <w:lang w:val="en-GB"/>
        </w:rPr>
        <w:t>1</w:t>
      </w:r>
      <w:r w:rsidRPr="006A0F86">
        <w:rPr>
          <w:rFonts w:ascii="Arial" w:hAnsi="Arial" w:cs="Arial"/>
          <w:lang w:val="en-GB"/>
        </w:rPr>
        <w:t>, Muriel Gros-Balthazard</w:t>
      </w:r>
      <w:bookmarkStart w:id="4" w:name="_Hlk160630920"/>
      <w:r w:rsidRPr="006A0F86">
        <w:rPr>
          <w:rFonts w:ascii="Arial" w:hAnsi="Arial" w:cs="Arial"/>
          <w:vertAlign w:val="superscript"/>
          <w:lang w:val="en-GB"/>
        </w:rPr>
        <w:t>4</w:t>
      </w:r>
      <w:bookmarkEnd w:id="4"/>
    </w:p>
    <w:p w14:paraId="6CB27E5D" w14:textId="77777777" w:rsidR="009B0E45" w:rsidRPr="0077694C" w:rsidRDefault="009B0E45" w:rsidP="009B0E45">
      <w:pPr>
        <w:spacing w:after="0" w:line="480" w:lineRule="auto"/>
        <w:jc w:val="both"/>
        <w:rPr>
          <w:rFonts w:ascii="Arial" w:hAnsi="Arial" w:cs="Arial"/>
          <w:lang w:val="en-GB"/>
        </w:rPr>
      </w:pPr>
      <w:r w:rsidRPr="0077694C">
        <w:rPr>
          <w:rFonts w:ascii="Arial" w:hAnsi="Arial" w:cs="Arial"/>
          <w:b/>
          <w:lang w:val="en-GB"/>
        </w:rPr>
        <w:t>Corresponding Author:</w:t>
      </w:r>
      <w:r>
        <w:rPr>
          <w:rFonts w:ascii="Arial" w:hAnsi="Arial" w:cs="Arial"/>
          <w:lang w:val="en-GB"/>
        </w:rPr>
        <w:t xml:space="preserve"> Alexandre Robin-Soriano (alexandrerobinsoriano@gmail.com)</w:t>
      </w:r>
    </w:p>
    <w:p w14:paraId="16A695EC" w14:textId="77777777" w:rsidR="009B0E45" w:rsidRPr="006A0F86" w:rsidRDefault="009B0E45" w:rsidP="009B0E45">
      <w:pPr>
        <w:spacing w:after="0" w:line="480" w:lineRule="auto"/>
        <w:jc w:val="both"/>
        <w:rPr>
          <w:rFonts w:ascii="Arial" w:hAnsi="Arial" w:cs="Arial"/>
          <w:vertAlign w:val="superscript"/>
          <w:lang w:val="en-GB"/>
        </w:rPr>
      </w:pPr>
    </w:p>
    <w:p w14:paraId="0FD23403" w14:textId="77777777" w:rsidR="009B0E45" w:rsidRPr="006A0F86" w:rsidRDefault="009B0E45" w:rsidP="009B0E45">
      <w:pPr>
        <w:spacing w:after="0" w:line="480" w:lineRule="auto"/>
        <w:jc w:val="both"/>
        <w:rPr>
          <w:rFonts w:ascii="Arial" w:hAnsi="Arial" w:cs="Arial"/>
          <w:lang w:val="en-GB"/>
        </w:rPr>
      </w:pPr>
      <w:bookmarkStart w:id="5" w:name="_Hlk160630926"/>
      <w:r w:rsidRPr="006A0F86">
        <w:rPr>
          <w:rFonts w:ascii="Arial" w:hAnsi="Arial" w:cs="Arial"/>
          <w:b/>
          <w:bCs/>
          <w:lang w:val="en-GB"/>
        </w:rPr>
        <w:t>Affiliations</w:t>
      </w:r>
      <w:r w:rsidRPr="006A0F86">
        <w:rPr>
          <w:rFonts w:ascii="Arial" w:hAnsi="Arial" w:cs="Arial"/>
          <w:lang w:val="en-GB"/>
        </w:rPr>
        <w:t>:</w:t>
      </w:r>
    </w:p>
    <w:p w14:paraId="0E221030" w14:textId="77777777" w:rsidR="009B0E45" w:rsidRPr="006A0F86" w:rsidRDefault="009B0E45" w:rsidP="009B0E45">
      <w:pPr>
        <w:spacing w:after="0" w:line="480" w:lineRule="auto"/>
        <w:ind w:left="708" w:hanging="708"/>
        <w:jc w:val="both"/>
        <w:rPr>
          <w:rFonts w:ascii="Arial" w:hAnsi="Arial" w:cs="Arial"/>
          <w:lang w:val="en-GB"/>
        </w:rPr>
      </w:pPr>
      <w:r w:rsidRPr="006A0F86">
        <w:rPr>
          <w:rFonts w:ascii="Arial" w:hAnsi="Arial" w:cs="Arial"/>
          <w:vertAlign w:val="superscript"/>
          <w:lang w:val="en-GB"/>
        </w:rPr>
        <w:t>1</w:t>
      </w:r>
      <w:r w:rsidRPr="006A0F86">
        <w:rPr>
          <w:rFonts w:ascii="Arial" w:hAnsi="Arial" w:cs="Arial"/>
          <w:lang w:val="en-GB"/>
        </w:rPr>
        <w:t xml:space="preserve"> LSTM, </w:t>
      </w:r>
      <w:proofErr w:type="spellStart"/>
      <w:r w:rsidRPr="006A0F86">
        <w:rPr>
          <w:rFonts w:ascii="Arial" w:hAnsi="Arial" w:cs="Arial"/>
          <w:lang w:val="en-GB"/>
        </w:rPr>
        <w:t>Univ</w:t>
      </w:r>
      <w:proofErr w:type="spellEnd"/>
      <w:r w:rsidRPr="006A0F86">
        <w:rPr>
          <w:rFonts w:ascii="Arial" w:hAnsi="Arial" w:cs="Arial"/>
          <w:lang w:val="en-GB"/>
        </w:rPr>
        <w:t xml:space="preserve"> Montpellier, CIRAD, INRAE, IRD, </w:t>
      </w:r>
      <w:proofErr w:type="spellStart"/>
      <w:r w:rsidRPr="006A0F86">
        <w:rPr>
          <w:rFonts w:ascii="Arial" w:hAnsi="Arial" w:cs="Arial"/>
          <w:lang w:val="en-GB"/>
        </w:rPr>
        <w:t>SupAgro</w:t>
      </w:r>
      <w:proofErr w:type="spellEnd"/>
      <w:r w:rsidRPr="006A0F86">
        <w:rPr>
          <w:rFonts w:ascii="Arial" w:hAnsi="Arial" w:cs="Arial"/>
          <w:lang w:val="en-GB"/>
        </w:rPr>
        <w:t>, Montpellier, France</w:t>
      </w:r>
    </w:p>
    <w:p w14:paraId="4BD3C4A6" w14:textId="77777777" w:rsidR="009B0E45" w:rsidRPr="006A0F86" w:rsidRDefault="009B0E45" w:rsidP="009B0E45">
      <w:pPr>
        <w:spacing w:after="0" w:line="480" w:lineRule="auto"/>
        <w:jc w:val="both"/>
        <w:rPr>
          <w:rFonts w:ascii="Arial" w:hAnsi="Arial" w:cs="Arial"/>
          <w:lang w:val="en-GB"/>
        </w:rPr>
      </w:pPr>
      <w:r w:rsidRPr="006A0F86">
        <w:rPr>
          <w:rFonts w:ascii="Arial" w:hAnsi="Arial" w:cs="Arial"/>
          <w:vertAlign w:val="superscript"/>
          <w:lang w:val="en-GB"/>
        </w:rPr>
        <w:t>2</w:t>
      </w:r>
      <w:r w:rsidRPr="006A0F86">
        <w:rPr>
          <w:rFonts w:ascii="Arial" w:hAnsi="Arial" w:cs="Arial"/>
          <w:lang w:val="en-GB"/>
        </w:rPr>
        <w:t xml:space="preserve"> Department of Research and Development, VALORHIZ, </w:t>
      </w:r>
      <w:proofErr w:type="spellStart"/>
      <w:r w:rsidRPr="006A0F86">
        <w:rPr>
          <w:rFonts w:ascii="Arial" w:hAnsi="Arial" w:cs="Arial"/>
          <w:lang w:val="en-GB"/>
        </w:rPr>
        <w:t>Montferrier</w:t>
      </w:r>
      <w:proofErr w:type="spellEnd"/>
      <w:r w:rsidRPr="006A0F86">
        <w:rPr>
          <w:rFonts w:ascii="Arial" w:hAnsi="Arial" w:cs="Arial"/>
          <w:lang w:val="en-GB"/>
        </w:rPr>
        <w:t xml:space="preserve"> sur Lez, France</w:t>
      </w:r>
    </w:p>
    <w:p w14:paraId="162BEB86" w14:textId="77777777" w:rsidR="009B0E45" w:rsidRPr="006A0F86" w:rsidRDefault="009B0E45" w:rsidP="009B0E45">
      <w:pPr>
        <w:spacing w:after="0" w:line="480" w:lineRule="auto"/>
        <w:jc w:val="both"/>
        <w:rPr>
          <w:rFonts w:ascii="Arial" w:hAnsi="Arial" w:cs="Arial"/>
        </w:rPr>
      </w:pPr>
      <w:r w:rsidRPr="006A0F86">
        <w:rPr>
          <w:rFonts w:ascii="Arial" w:hAnsi="Arial" w:cs="Arial"/>
          <w:vertAlign w:val="superscript"/>
        </w:rPr>
        <w:t>3</w:t>
      </w:r>
      <w:r w:rsidRPr="006A0F86">
        <w:rPr>
          <w:rFonts w:ascii="Arial" w:hAnsi="Arial" w:cs="Arial"/>
        </w:rPr>
        <w:t xml:space="preserve"> ISYEB, Muséum national d’Histoire naturelle, CNRS, EPHE-PSL, Sorbonne Université, Paris, France</w:t>
      </w:r>
    </w:p>
    <w:p w14:paraId="2DF737A4" w14:textId="77777777" w:rsidR="009B0E45" w:rsidRPr="006A0F86" w:rsidRDefault="009B0E45" w:rsidP="009B0E45">
      <w:pPr>
        <w:spacing w:after="0" w:line="480" w:lineRule="auto"/>
        <w:jc w:val="both"/>
        <w:rPr>
          <w:rFonts w:ascii="Arial" w:hAnsi="Arial" w:cs="Arial"/>
          <w:lang w:val="en-GB"/>
        </w:rPr>
      </w:pPr>
      <w:r w:rsidRPr="006A0F86">
        <w:rPr>
          <w:rFonts w:ascii="Arial" w:hAnsi="Arial" w:cs="Arial"/>
          <w:vertAlign w:val="superscript"/>
          <w:lang w:val="en-GB"/>
        </w:rPr>
        <w:t xml:space="preserve">4 </w:t>
      </w:r>
      <w:r w:rsidRPr="006A0F86">
        <w:rPr>
          <w:rFonts w:ascii="Arial" w:hAnsi="Arial" w:cs="Arial"/>
          <w:shd w:val="clear" w:color="auto" w:fill="FDFDFC"/>
          <w:lang w:val="en-GB"/>
        </w:rPr>
        <w:t xml:space="preserve">DIADE, </w:t>
      </w:r>
      <w:proofErr w:type="spellStart"/>
      <w:r w:rsidRPr="006A0F86">
        <w:rPr>
          <w:rFonts w:ascii="Arial" w:hAnsi="Arial" w:cs="Arial"/>
          <w:shd w:val="clear" w:color="auto" w:fill="FDFDFC"/>
          <w:lang w:val="en-GB"/>
        </w:rPr>
        <w:t>Univ</w:t>
      </w:r>
      <w:proofErr w:type="spellEnd"/>
      <w:r w:rsidRPr="006A0F86">
        <w:rPr>
          <w:rFonts w:ascii="Arial" w:hAnsi="Arial" w:cs="Arial"/>
          <w:shd w:val="clear" w:color="auto" w:fill="FDFDFC"/>
          <w:lang w:val="en-GB"/>
        </w:rPr>
        <w:t xml:space="preserve"> Montpellier, CIRAD, IRD, Montpellier, France</w:t>
      </w:r>
    </w:p>
    <w:p w14:paraId="001E5EC1" w14:textId="13BE0C43" w:rsidR="009B0E45" w:rsidRDefault="009B0E45" w:rsidP="009B0E45">
      <w:pPr>
        <w:spacing w:after="0" w:line="480" w:lineRule="auto"/>
        <w:ind w:left="708" w:hanging="708"/>
        <w:rPr>
          <w:rFonts w:ascii="Arial" w:eastAsia="Times New Roman" w:hAnsi="Arial" w:cs="Arial"/>
          <w:color w:val="000000"/>
          <w:lang w:val="en-GB" w:eastAsia="fr-FR"/>
        </w:rPr>
      </w:pPr>
      <w:r w:rsidRPr="006A0F86">
        <w:rPr>
          <w:rFonts w:ascii="Arial" w:eastAsia="Times New Roman" w:hAnsi="Arial" w:cs="Arial"/>
          <w:color w:val="000000"/>
          <w:vertAlign w:val="superscript"/>
          <w:lang w:val="en-GB" w:eastAsia="fr-FR"/>
        </w:rPr>
        <w:t xml:space="preserve">5 </w:t>
      </w:r>
      <w:r w:rsidRPr="006A0F86">
        <w:rPr>
          <w:rFonts w:ascii="Arial" w:eastAsia="Times New Roman" w:hAnsi="Arial" w:cs="Arial"/>
          <w:color w:val="000000"/>
          <w:lang w:val="en-GB" w:eastAsia="fr-FR"/>
        </w:rPr>
        <w:t xml:space="preserve">ASARI, Mohammed VI Polytechnic University, </w:t>
      </w:r>
      <w:proofErr w:type="spellStart"/>
      <w:r w:rsidRPr="006A0F86">
        <w:rPr>
          <w:rFonts w:ascii="Arial" w:eastAsia="Times New Roman" w:hAnsi="Arial" w:cs="Arial"/>
          <w:color w:val="000000"/>
          <w:lang w:val="en-GB" w:eastAsia="fr-FR"/>
        </w:rPr>
        <w:t>Laâyoune</w:t>
      </w:r>
      <w:proofErr w:type="spellEnd"/>
      <w:r w:rsidRPr="006A0F86">
        <w:rPr>
          <w:rFonts w:ascii="Arial" w:eastAsia="Times New Roman" w:hAnsi="Arial" w:cs="Arial"/>
          <w:color w:val="000000"/>
          <w:lang w:val="en-GB" w:eastAsia="fr-FR"/>
        </w:rPr>
        <w:t>, Morocco</w:t>
      </w:r>
    </w:p>
    <w:p w14:paraId="7CE921D4" w14:textId="5225E7B3" w:rsidR="009B0E45" w:rsidRDefault="009B0E45" w:rsidP="009B0E45">
      <w:pPr>
        <w:spacing w:after="0" w:line="480" w:lineRule="auto"/>
        <w:ind w:left="708" w:hanging="708"/>
        <w:rPr>
          <w:rFonts w:ascii="Arial" w:eastAsia="Times New Roman" w:hAnsi="Arial" w:cs="Arial"/>
          <w:color w:val="000000"/>
          <w:lang w:val="en-GB" w:eastAsia="fr-FR"/>
        </w:rPr>
      </w:pPr>
    </w:p>
    <w:p w14:paraId="13369EB0" w14:textId="7249BAA3" w:rsidR="009B0E45" w:rsidRPr="009B0E45" w:rsidRDefault="009B0E45" w:rsidP="009B0E45">
      <w:pPr>
        <w:spacing w:after="0" w:line="480" w:lineRule="auto"/>
        <w:ind w:left="708" w:hanging="708"/>
        <w:rPr>
          <w:rFonts w:ascii="Arial" w:eastAsia="Times New Roman" w:hAnsi="Arial" w:cs="Arial"/>
          <w:b/>
          <w:color w:val="000000"/>
          <w:lang w:val="en-GB" w:eastAsia="fr-FR"/>
        </w:rPr>
      </w:pPr>
      <w:r w:rsidRPr="009B0E45">
        <w:rPr>
          <w:rFonts w:ascii="Arial" w:eastAsia="Times New Roman" w:hAnsi="Arial" w:cs="Arial"/>
          <w:b/>
          <w:color w:val="000000"/>
          <w:lang w:val="en-GB" w:eastAsia="fr-FR"/>
        </w:rPr>
        <w:t>Mycorrhiza</w:t>
      </w:r>
    </w:p>
    <w:bookmarkEnd w:id="5"/>
    <w:p w14:paraId="7EADC4D6" w14:textId="22CE07B0" w:rsidR="009B0E45" w:rsidRDefault="009B0E45" w:rsidP="009B0E45">
      <w:pPr>
        <w:spacing w:after="0" w:line="480" w:lineRule="auto"/>
        <w:ind w:left="360"/>
        <w:jc w:val="both"/>
        <w:rPr>
          <w:rFonts w:ascii="Arial" w:hAnsi="Arial" w:cs="Arial"/>
          <w:b/>
          <w:bCs/>
          <w:lang w:val="en-GB"/>
        </w:rPr>
      </w:pPr>
    </w:p>
    <w:p w14:paraId="5509ABF9" w14:textId="6172D885" w:rsidR="009B0E45" w:rsidRDefault="009B0E45" w:rsidP="009B0E45">
      <w:pPr>
        <w:spacing w:after="0" w:line="480" w:lineRule="auto"/>
        <w:ind w:left="360"/>
        <w:jc w:val="both"/>
        <w:rPr>
          <w:rFonts w:ascii="Arial" w:hAnsi="Arial" w:cs="Arial"/>
          <w:b/>
          <w:bCs/>
          <w:lang w:val="en-GB"/>
        </w:rPr>
      </w:pPr>
    </w:p>
    <w:p w14:paraId="0DE94ED8" w14:textId="4A8276DB" w:rsidR="009B0E45" w:rsidRDefault="009B0E45" w:rsidP="009B0E45">
      <w:pPr>
        <w:spacing w:after="0" w:line="480" w:lineRule="auto"/>
        <w:ind w:left="360"/>
        <w:jc w:val="both"/>
        <w:rPr>
          <w:rFonts w:ascii="Arial" w:hAnsi="Arial" w:cs="Arial"/>
          <w:b/>
          <w:bCs/>
          <w:lang w:val="en-GB"/>
        </w:rPr>
      </w:pPr>
    </w:p>
    <w:p w14:paraId="0A1686DB" w14:textId="1D402420" w:rsidR="009B0E45" w:rsidRDefault="009B0E45" w:rsidP="009B0E45">
      <w:pPr>
        <w:spacing w:after="0" w:line="480" w:lineRule="auto"/>
        <w:ind w:left="360"/>
        <w:jc w:val="both"/>
        <w:rPr>
          <w:rFonts w:ascii="Arial" w:hAnsi="Arial" w:cs="Arial"/>
          <w:b/>
          <w:bCs/>
          <w:lang w:val="en-GB"/>
        </w:rPr>
      </w:pPr>
    </w:p>
    <w:p w14:paraId="40B6ABAD" w14:textId="3AE4F3B3" w:rsidR="009B0E45" w:rsidRDefault="009B0E45" w:rsidP="009B0E45">
      <w:pPr>
        <w:spacing w:after="0" w:line="480" w:lineRule="auto"/>
        <w:ind w:left="360"/>
        <w:jc w:val="both"/>
        <w:rPr>
          <w:rFonts w:ascii="Arial" w:hAnsi="Arial" w:cs="Arial"/>
          <w:b/>
          <w:bCs/>
          <w:lang w:val="en-GB"/>
        </w:rPr>
      </w:pPr>
    </w:p>
    <w:p w14:paraId="7C65EA6C" w14:textId="6CDF2D9D" w:rsidR="009B0E45" w:rsidRDefault="009B0E45" w:rsidP="009B0E45">
      <w:pPr>
        <w:spacing w:after="0" w:line="480" w:lineRule="auto"/>
        <w:ind w:left="360"/>
        <w:jc w:val="both"/>
        <w:rPr>
          <w:rFonts w:ascii="Arial" w:hAnsi="Arial" w:cs="Arial"/>
          <w:b/>
          <w:bCs/>
          <w:lang w:val="en-GB"/>
        </w:rPr>
      </w:pPr>
    </w:p>
    <w:p w14:paraId="48E5CDF4" w14:textId="331AF577" w:rsidR="009B0E45" w:rsidRDefault="009B0E45" w:rsidP="009B0E45">
      <w:pPr>
        <w:spacing w:after="0" w:line="480" w:lineRule="auto"/>
        <w:ind w:left="360"/>
        <w:jc w:val="both"/>
        <w:rPr>
          <w:rFonts w:ascii="Arial" w:hAnsi="Arial" w:cs="Arial"/>
          <w:b/>
          <w:bCs/>
          <w:lang w:val="en-GB"/>
        </w:rPr>
      </w:pPr>
    </w:p>
    <w:p w14:paraId="2C479852" w14:textId="51AB3D35" w:rsidR="009B0E45" w:rsidRDefault="009B0E45" w:rsidP="009B0E45">
      <w:pPr>
        <w:spacing w:after="0" w:line="480" w:lineRule="auto"/>
        <w:ind w:left="360"/>
        <w:jc w:val="both"/>
        <w:rPr>
          <w:rFonts w:ascii="Arial" w:hAnsi="Arial" w:cs="Arial"/>
          <w:b/>
          <w:bCs/>
          <w:lang w:val="en-GB"/>
        </w:rPr>
      </w:pPr>
    </w:p>
    <w:p w14:paraId="3157F5AB" w14:textId="16786BAD" w:rsidR="009B0E45" w:rsidRDefault="009B0E45" w:rsidP="009B0E45">
      <w:pPr>
        <w:spacing w:after="0" w:line="480" w:lineRule="auto"/>
        <w:ind w:left="360"/>
        <w:jc w:val="both"/>
        <w:rPr>
          <w:rFonts w:ascii="Arial" w:hAnsi="Arial" w:cs="Arial"/>
          <w:b/>
          <w:bCs/>
          <w:lang w:val="en-GB"/>
        </w:rPr>
      </w:pPr>
    </w:p>
    <w:p w14:paraId="24C79B6C" w14:textId="18A25454" w:rsidR="009B0E45" w:rsidRDefault="009B0E45" w:rsidP="009B0E45">
      <w:pPr>
        <w:spacing w:after="0" w:line="480" w:lineRule="auto"/>
        <w:ind w:left="360"/>
        <w:jc w:val="both"/>
        <w:rPr>
          <w:rFonts w:ascii="Arial" w:hAnsi="Arial" w:cs="Arial"/>
          <w:b/>
          <w:bCs/>
          <w:lang w:val="en-GB"/>
        </w:rPr>
      </w:pPr>
    </w:p>
    <w:p w14:paraId="426A30BA" w14:textId="062E8584" w:rsidR="009B0E45" w:rsidRPr="0010139B" w:rsidRDefault="009B0E45" w:rsidP="0010139B">
      <w:pPr>
        <w:pStyle w:val="Paragraphedeliste"/>
        <w:numPr>
          <w:ilvl w:val="0"/>
          <w:numId w:val="3"/>
        </w:numPr>
        <w:spacing w:after="0" w:line="480" w:lineRule="auto"/>
        <w:jc w:val="both"/>
        <w:rPr>
          <w:rFonts w:ascii="Arial" w:hAnsi="Arial" w:cs="Arial"/>
          <w:b/>
          <w:bCs/>
          <w:lang w:val="en-GB"/>
        </w:rPr>
      </w:pPr>
      <w:r w:rsidRPr="0010139B">
        <w:rPr>
          <w:rFonts w:ascii="Arial" w:hAnsi="Arial" w:cs="Arial"/>
          <w:b/>
          <w:bCs/>
          <w:lang w:val="en-GB"/>
        </w:rPr>
        <w:lastRenderedPageBreak/>
        <w:t>Metabarcoding datasets, library preparation and sequencing</w:t>
      </w:r>
    </w:p>
    <w:p w14:paraId="19843DF6" w14:textId="74CE446A" w:rsidR="009B0E45" w:rsidRPr="007F7D58" w:rsidRDefault="00494961" w:rsidP="009B0E45">
      <w:pPr>
        <w:spacing w:after="0" w:line="480" w:lineRule="auto"/>
        <w:jc w:val="both"/>
        <w:rPr>
          <w:rFonts w:ascii="Arial" w:hAnsi="Arial" w:cs="Arial"/>
          <w:lang w:val="en-GB"/>
        </w:rPr>
      </w:pPr>
      <w:r>
        <w:rPr>
          <w:rFonts w:ascii="Arial" w:hAnsi="Arial" w:cs="Arial"/>
          <w:lang w:val="en-GB"/>
        </w:rPr>
        <w:t>Two</w:t>
      </w:r>
      <w:r w:rsidR="009B0E45" w:rsidRPr="007F7D58">
        <w:rPr>
          <w:rFonts w:ascii="Arial" w:hAnsi="Arial" w:cs="Arial"/>
          <w:lang w:val="en-GB"/>
        </w:rPr>
        <w:t xml:space="preserve"> protocols</w:t>
      </w:r>
      <w:r w:rsidR="009B0E45" w:rsidRPr="007F7D58" w:rsidDel="00AA771D">
        <w:rPr>
          <w:rFonts w:ascii="Arial" w:hAnsi="Arial" w:cs="Arial"/>
          <w:lang w:val="en-GB"/>
        </w:rPr>
        <w:t xml:space="preserve"> </w:t>
      </w:r>
      <w:r w:rsidR="009B0E45" w:rsidRPr="007F7D58">
        <w:rPr>
          <w:rFonts w:ascii="Arial" w:hAnsi="Arial" w:cs="Arial"/>
          <w:lang w:val="en-GB"/>
        </w:rPr>
        <w:t xml:space="preserve">were used for root and soil sample preparation for DNA extraction: 1) root samples were rinsed with sterile water,  flash frozen in liquid nitrogen, and ground with a ceramic ball for three 30 s cycles at 5.0 speed in a FastPrep-24™ 5G instrument from MP Biomedicals™ (Irvine, California, USA); 2) for the soil samples, a 5 mL volume of soil was added to 20 mL of sterile water, </w:t>
      </w:r>
      <w:r w:rsidR="009B0E45">
        <w:rPr>
          <w:rFonts w:ascii="Arial" w:hAnsi="Arial" w:cs="Arial"/>
          <w:lang w:val="en-GB"/>
        </w:rPr>
        <w:t>agitated</w:t>
      </w:r>
      <w:r w:rsidR="009B0E45" w:rsidRPr="007F7D58">
        <w:rPr>
          <w:rFonts w:ascii="Arial" w:hAnsi="Arial" w:cs="Arial"/>
          <w:lang w:val="en-GB"/>
        </w:rPr>
        <w:t xml:space="preserve">, centrifuged for 5 min at 12,000 g and the pellet was used for extraction in order to </w:t>
      </w:r>
      <w:r w:rsidR="009B0E45">
        <w:rPr>
          <w:rFonts w:ascii="Arial" w:hAnsi="Arial" w:cs="Arial"/>
          <w:lang w:val="en-GB"/>
        </w:rPr>
        <w:t>enhance</w:t>
      </w:r>
      <w:r w:rsidR="009B0E45" w:rsidRPr="007F7D58">
        <w:rPr>
          <w:rFonts w:ascii="Arial" w:hAnsi="Arial" w:cs="Arial"/>
          <w:lang w:val="en-GB"/>
        </w:rPr>
        <w:t xml:space="preserve"> </w:t>
      </w:r>
      <w:r w:rsidR="009B0E45" w:rsidRPr="007F7D58">
        <w:rPr>
          <w:rFonts w:ascii="Arial" w:hAnsi="Arial" w:cs="Arial" w:hint="eastAsia"/>
          <w:lang w:val="en-GB"/>
        </w:rPr>
        <w:t xml:space="preserve">the DNA concentration. Soil and root DNA were extracted using the </w:t>
      </w:r>
      <w:bookmarkStart w:id="6" w:name="_Hlk160629438"/>
      <w:proofErr w:type="spellStart"/>
      <w:r w:rsidR="009B0E45" w:rsidRPr="007F7D58">
        <w:rPr>
          <w:rFonts w:ascii="Arial" w:hAnsi="Arial" w:cs="Arial" w:hint="eastAsia"/>
          <w:lang w:val="en-GB"/>
        </w:rPr>
        <w:t>FastDNA</w:t>
      </w:r>
      <w:proofErr w:type="spellEnd"/>
      <w:r w:rsidR="009B0E45" w:rsidRPr="007F7D58">
        <w:rPr>
          <w:rFonts w:ascii="Arial" w:hAnsi="Arial" w:cs="Arial" w:hint="eastAsia"/>
          <w:lang w:val="en-GB"/>
        </w:rPr>
        <w:t xml:space="preserve"> Spin Kit for Soil (MP Biomedicals, Solon, USA)</w:t>
      </w:r>
      <w:bookmarkEnd w:id="6"/>
      <w:r w:rsidR="009B0E45" w:rsidRPr="007F7D58">
        <w:rPr>
          <w:rFonts w:ascii="Arial" w:hAnsi="Arial" w:cs="Arial" w:hint="eastAsia"/>
          <w:lang w:val="en-GB"/>
        </w:rPr>
        <w:t>, according to the manufacturer</w:t>
      </w:r>
      <w:r w:rsidR="009B0E45" w:rsidRPr="007F7D58">
        <w:rPr>
          <w:rFonts w:ascii="Arial" w:hAnsi="Arial" w:cs="Arial" w:hint="eastAsia"/>
          <w:lang w:val="en-GB"/>
        </w:rPr>
        <w:t>’</w:t>
      </w:r>
      <w:r w:rsidR="009B0E45" w:rsidRPr="007F7D58">
        <w:rPr>
          <w:rFonts w:ascii="Arial" w:hAnsi="Arial" w:cs="Arial" w:hint="eastAsia"/>
          <w:lang w:val="en-GB"/>
        </w:rPr>
        <w:t xml:space="preserve">s instructions. DNA concentrations were assessed </w:t>
      </w:r>
      <w:bookmarkStart w:id="7" w:name="_Hlk160629617"/>
      <w:r w:rsidR="009B0E45" w:rsidRPr="007F7D58">
        <w:rPr>
          <w:rFonts w:ascii="Arial" w:hAnsi="Arial" w:cs="Arial" w:hint="eastAsia"/>
          <w:lang w:val="en-GB"/>
        </w:rPr>
        <w:t>with the Quant-</w:t>
      </w:r>
      <w:proofErr w:type="spellStart"/>
      <w:r w:rsidR="009B0E45" w:rsidRPr="007F7D58">
        <w:rPr>
          <w:rFonts w:ascii="Arial" w:hAnsi="Arial" w:cs="Arial" w:hint="eastAsia"/>
          <w:lang w:val="en-GB"/>
        </w:rPr>
        <w:t>iT</w:t>
      </w:r>
      <w:proofErr w:type="spellEnd"/>
      <w:r w:rsidR="009B0E45" w:rsidRPr="007F7D58">
        <w:rPr>
          <w:rFonts w:ascii="Arial" w:hAnsi="Arial" w:cs="Arial" w:hint="eastAsia"/>
          <w:lang w:val="en-GB"/>
        </w:rPr>
        <w:t>™</w:t>
      </w:r>
      <w:r w:rsidR="009B0E45" w:rsidRPr="007F7D58">
        <w:rPr>
          <w:rFonts w:ascii="Arial" w:hAnsi="Arial" w:cs="Arial" w:hint="eastAsia"/>
          <w:lang w:val="en-GB"/>
        </w:rPr>
        <w:t xml:space="preserve"> </w:t>
      </w:r>
      <w:proofErr w:type="spellStart"/>
      <w:r w:rsidR="009B0E45" w:rsidRPr="007F7D58">
        <w:rPr>
          <w:rFonts w:ascii="Arial" w:hAnsi="Arial" w:cs="Arial" w:hint="eastAsia"/>
          <w:lang w:val="en-GB"/>
        </w:rPr>
        <w:t>PicoGreen</w:t>
      </w:r>
      <w:proofErr w:type="spellEnd"/>
      <w:r w:rsidR="009B0E45" w:rsidRPr="007F7D58">
        <w:rPr>
          <w:rFonts w:ascii="Arial" w:hAnsi="Arial" w:cs="Arial" w:hint="eastAsia"/>
          <w:lang w:val="en-GB"/>
        </w:rPr>
        <w:t>™</w:t>
      </w:r>
      <w:r w:rsidR="009B0E45" w:rsidRPr="007F7D58">
        <w:rPr>
          <w:rFonts w:ascii="Arial" w:hAnsi="Arial" w:cs="Arial" w:hint="eastAsia"/>
          <w:lang w:val="en-GB"/>
        </w:rPr>
        <w:t xml:space="preserve"> fluorophore (dsDNA Assay Kits, </w:t>
      </w:r>
      <w:proofErr w:type="spellStart"/>
      <w:r w:rsidR="009B0E45" w:rsidRPr="007F7D58">
        <w:rPr>
          <w:rFonts w:ascii="Arial" w:hAnsi="Arial" w:cs="Arial" w:hint="eastAsia"/>
          <w:lang w:val="en-GB"/>
        </w:rPr>
        <w:t>ThermoFisher</w:t>
      </w:r>
      <w:proofErr w:type="spellEnd"/>
      <w:r w:rsidR="009B0E45" w:rsidRPr="007F7D58">
        <w:rPr>
          <w:rFonts w:ascii="Arial" w:hAnsi="Arial" w:cs="Arial" w:hint="eastAsia"/>
          <w:lang w:val="en-GB"/>
        </w:rPr>
        <w:t xml:space="preserve"> scientific, USA) using a TECAN Spark multi-mode reader (TECAN, Switzerland)</w:t>
      </w:r>
      <w:bookmarkEnd w:id="7"/>
      <w:r w:rsidR="009B0E45" w:rsidRPr="007F7D58">
        <w:rPr>
          <w:rFonts w:ascii="Arial" w:hAnsi="Arial" w:cs="Arial" w:hint="eastAsia"/>
          <w:lang w:val="en-GB"/>
        </w:rPr>
        <w:t>. ITS86F (5</w:t>
      </w:r>
      <w:r w:rsidR="009B0E45" w:rsidRPr="007F7D58">
        <w:rPr>
          <w:rFonts w:ascii="Arial" w:hAnsi="Arial" w:cs="Arial" w:hint="eastAsia"/>
          <w:lang w:val="en-GB"/>
        </w:rPr>
        <w:t>′</w:t>
      </w:r>
      <w:r w:rsidR="009B0E45" w:rsidRPr="007F7D58">
        <w:rPr>
          <w:rFonts w:ascii="Arial" w:hAnsi="Arial" w:cs="Arial" w:hint="eastAsia"/>
          <w:lang w:val="en-GB"/>
        </w:rPr>
        <w:t xml:space="preserve"> GTGAATCATCGAATCTTTGAA 3</w:t>
      </w:r>
      <w:r w:rsidR="009B0E45" w:rsidRPr="007F7D58">
        <w:rPr>
          <w:rFonts w:ascii="Arial" w:hAnsi="Arial" w:cs="Arial" w:hint="eastAsia"/>
          <w:lang w:val="en-GB"/>
        </w:rPr>
        <w:t>′</w:t>
      </w:r>
      <w:r w:rsidR="009B0E45" w:rsidRPr="007F7D58">
        <w:rPr>
          <w:rFonts w:ascii="Arial" w:hAnsi="Arial" w:cs="Arial" w:hint="eastAsia"/>
          <w:lang w:val="en-GB"/>
        </w:rPr>
        <w:t>) and ITS4 (5</w:t>
      </w:r>
      <w:r w:rsidR="009B0E45" w:rsidRPr="007F7D58">
        <w:rPr>
          <w:rFonts w:ascii="Arial" w:hAnsi="Arial" w:cs="Arial" w:hint="eastAsia"/>
          <w:lang w:val="en-GB"/>
        </w:rPr>
        <w:t>′</w:t>
      </w:r>
      <w:r w:rsidR="009B0E45" w:rsidRPr="007F7D58">
        <w:rPr>
          <w:rFonts w:ascii="Arial" w:hAnsi="Arial" w:cs="Arial" w:hint="eastAsia"/>
          <w:lang w:val="en-GB"/>
        </w:rPr>
        <w:t xml:space="preserve"> TCCTCCGCTTATTGATATGC 3</w:t>
      </w:r>
      <w:r w:rsidR="009B0E45" w:rsidRPr="007F7D58">
        <w:rPr>
          <w:rFonts w:ascii="Arial" w:hAnsi="Arial" w:cs="Arial" w:hint="eastAsia"/>
          <w:lang w:val="en-GB"/>
        </w:rPr>
        <w:t>′</w:t>
      </w:r>
      <w:r w:rsidR="009B0E45" w:rsidRPr="007F7D58">
        <w:rPr>
          <w:rFonts w:ascii="Arial" w:hAnsi="Arial" w:cs="Arial" w:hint="eastAsia"/>
          <w:lang w:val="en-GB"/>
        </w:rPr>
        <w:t xml:space="preserve">) primers were used to amplify the fungal ITS2 region </w:t>
      </w:r>
      <w:r w:rsidR="009B0E45" w:rsidRPr="007F7D58">
        <w:rPr>
          <w:rFonts w:ascii="Arial" w:hAnsi="Arial" w:cs="Arial"/>
          <w:lang w:val="en-GB"/>
        </w:rPr>
        <w:t xml:space="preserve">(Op de </w:t>
      </w:r>
      <w:proofErr w:type="spellStart"/>
      <w:r w:rsidR="009B0E45" w:rsidRPr="007F7D58">
        <w:rPr>
          <w:rFonts w:ascii="Arial" w:hAnsi="Arial" w:cs="Arial"/>
          <w:lang w:val="en-GB"/>
        </w:rPr>
        <w:t>Beeck</w:t>
      </w:r>
      <w:proofErr w:type="spellEnd"/>
      <w:r w:rsidR="009B0E45" w:rsidRPr="007F7D58">
        <w:rPr>
          <w:rFonts w:ascii="Arial" w:hAnsi="Arial" w:cs="Arial"/>
          <w:lang w:val="en-GB"/>
        </w:rPr>
        <w:t xml:space="preserve"> et al. 2014)</w:t>
      </w:r>
      <w:r w:rsidR="009B0E45" w:rsidRPr="007F7D58">
        <w:rPr>
          <w:rFonts w:ascii="Arial" w:hAnsi="Arial" w:cs="Arial" w:hint="eastAsia"/>
          <w:lang w:val="en-GB"/>
        </w:rPr>
        <w:t xml:space="preserve"> for both the Grid and SPS dataset samples. </w:t>
      </w:r>
      <w:bookmarkStart w:id="8" w:name="_Hlk160629527"/>
      <w:proofErr w:type="spellStart"/>
      <w:r w:rsidR="009B0E45" w:rsidRPr="007F7D58">
        <w:rPr>
          <w:rFonts w:ascii="Arial" w:hAnsi="Arial" w:cs="Arial" w:hint="eastAsia"/>
          <w:lang w:val="en-GB"/>
        </w:rPr>
        <w:t>AMADf</w:t>
      </w:r>
      <w:proofErr w:type="spellEnd"/>
      <w:r w:rsidR="009B0E45" w:rsidRPr="007F7D58">
        <w:rPr>
          <w:rFonts w:ascii="Arial" w:hAnsi="Arial" w:cs="Arial" w:hint="eastAsia"/>
          <w:lang w:val="en-GB"/>
        </w:rPr>
        <w:t xml:space="preserve"> (5</w:t>
      </w:r>
      <w:r w:rsidR="009B0E45" w:rsidRPr="007F7D58">
        <w:rPr>
          <w:rFonts w:ascii="Arial" w:hAnsi="Arial" w:cs="Arial" w:hint="eastAsia"/>
          <w:lang w:val="en-GB"/>
        </w:rPr>
        <w:t>′</w:t>
      </w:r>
      <w:r w:rsidR="009B0E45" w:rsidRPr="007F7D58">
        <w:rPr>
          <w:rFonts w:ascii="Arial" w:hAnsi="Arial" w:cs="Arial" w:hint="eastAsia"/>
          <w:lang w:val="en-GB"/>
        </w:rPr>
        <w:t xml:space="preserve"> GGGAGGTAGTGACAATAAATAAC 3</w:t>
      </w:r>
      <w:r w:rsidR="009B0E45" w:rsidRPr="007F7D58">
        <w:rPr>
          <w:rFonts w:ascii="Arial" w:hAnsi="Arial" w:cs="Arial" w:hint="eastAsia"/>
          <w:lang w:val="en-GB"/>
        </w:rPr>
        <w:t>′</w:t>
      </w:r>
      <w:r w:rsidR="009B0E45" w:rsidRPr="007F7D58">
        <w:rPr>
          <w:rFonts w:ascii="Arial" w:hAnsi="Arial" w:cs="Arial" w:hint="eastAsia"/>
          <w:lang w:val="en-GB"/>
        </w:rPr>
        <w:t xml:space="preserve">) and </w:t>
      </w:r>
      <w:proofErr w:type="spellStart"/>
      <w:r w:rsidR="009B0E45" w:rsidRPr="007F7D58">
        <w:rPr>
          <w:rFonts w:ascii="Arial" w:hAnsi="Arial" w:cs="Arial" w:hint="eastAsia"/>
          <w:lang w:val="en-GB"/>
        </w:rPr>
        <w:t>AMADGr</w:t>
      </w:r>
      <w:proofErr w:type="spellEnd"/>
      <w:r w:rsidR="009B0E45" w:rsidRPr="007F7D58">
        <w:rPr>
          <w:rFonts w:ascii="Arial" w:hAnsi="Arial" w:cs="Arial" w:hint="eastAsia"/>
          <w:lang w:val="en-GB"/>
        </w:rPr>
        <w:t xml:space="preserve"> (5</w:t>
      </w:r>
      <w:r w:rsidR="009B0E45" w:rsidRPr="007F7D58">
        <w:rPr>
          <w:rFonts w:ascii="Arial" w:hAnsi="Arial" w:cs="Arial" w:hint="eastAsia"/>
          <w:lang w:val="en-GB"/>
        </w:rPr>
        <w:t>′</w:t>
      </w:r>
      <w:r w:rsidR="009B0E45" w:rsidRPr="007F7D58">
        <w:rPr>
          <w:rFonts w:ascii="Arial" w:hAnsi="Arial" w:cs="Arial" w:hint="eastAsia"/>
          <w:lang w:val="en-GB"/>
        </w:rPr>
        <w:t xml:space="preserve"> CCCAACTATCCCTATTAATCAT 3</w:t>
      </w:r>
      <w:r w:rsidR="009B0E45" w:rsidRPr="007F7D58">
        <w:rPr>
          <w:rFonts w:ascii="Arial" w:hAnsi="Arial" w:cs="Arial" w:hint="eastAsia"/>
          <w:lang w:val="en-GB"/>
        </w:rPr>
        <w:t>′</w:t>
      </w:r>
      <w:r w:rsidR="009B0E45" w:rsidRPr="007F7D58">
        <w:rPr>
          <w:rFonts w:ascii="Arial" w:hAnsi="Arial" w:cs="Arial" w:hint="eastAsia"/>
          <w:lang w:val="en-GB"/>
        </w:rPr>
        <w:t xml:space="preserve">) primers </w:t>
      </w:r>
      <w:bookmarkEnd w:id="8"/>
      <w:r w:rsidR="009B0E45" w:rsidRPr="007F7D58">
        <w:rPr>
          <w:rFonts w:ascii="Arial" w:hAnsi="Arial" w:cs="Arial" w:hint="eastAsia"/>
          <w:lang w:val="en-GB"/>
        </w:rPr>
        <w:t xml:space="preserve">were used to amplify the 18S rRNA gene </w:t>
      </w:r>
      <w:r w:rsidR="009B0E45" w:rsidRPr="007F7D58">
        <w:rPr>
          <w:rFonts w:ascii="Arial" w:hAnsi="Arial" w:cs="Arial"/>
          <w:lang w:val="en-GB"/>
        </w:rPr>
        <w:t>(</w:t>
      </w:r>
      <w:proofErr w:type="spellStart"/>
      <w:r w:rsidR="009B0E45" w:rsidRPr="007F7D58">
        <w:rPr>
          <w:rFonts w:ascii="Arial" w:hAnsi="Arial" w:cs="Arial"/>
          <w:lang w:val="en-GB"/>
        </w:rPr>
        <w:t>Berruti</w:t>
      </w:r>
      <w:proofErr w:type="spellEnd"/>
      <w:r w:rsidR="009B0E45" w:rsidRPr="007F7D58">
        <w:rPr>
          <w:rFonts w:ascii="Arial" w:hAnsi="Arial" w:cs="Arial"/>
          <w:lang w:val="en-GB"/>
        </w:rPr>
        <w:t xml:space="preserve"> et al. 2017) in the SPS and Palm dataset samples. The PCR conditions and the purification of ITS2 and 18S PCR products using </w:t>
      </w:r>
      <w:bookmarkStart w:id="9" w:name="_Hlk160629660"/>
      <w:proofErr w:type="spellStart"/>
      <w:r w:rsidR="009B0E45" w:rsidRPr="007F7D58">
        <w:rPr>
          <w:rFonts w:ascii="Arial" w:hAnsi="Arial" w:cs="Arial"/>
          <w:lang w:val="en-GB"/>
        </w:rPr>
        <w:t>AmpureXP</w:t>
      </w:r>
      <w:proofErr w:type="spellEnd"/>
      <w:r w:rsidR="009B0E45" w:rsidRPr="007F7D58">
        <w:rPr>
          <w:rFonts w:ascii="Arial" w:hAnsi="Arial" w:cs="Arial"/>
          <w:lang w:val="en-GB"/>
        </w:rPr>
        <w:t xml:space="preserve"> beads (Beckman Coulter, USA)</w:t>
      </w:r>
      <w:bookmarkEnd w:id="9"/>
      <w:r w:rsidR="009B0E45" w:rsidRPr="007F7D58">
        <w:rPr>
          <w:rFonts w:ascii="Arial" w:hAnsi="Arial" w:cs="Arial"/>
          <w:lang w:val="en-GB"/>
        </w:rPr>
        <w:t xml:space="preserve"> were fully described in Maurice </w:t>
      </w:r>
      <w:r w:rsidR="009B0E45" w:rsidRPr="007F7D58">
        <w:rPr>
          <w:rFonts w:ascii="Arial" w:hAnsi="Arial" w:cs="Arial"/>
          <w:iCs/>
          <w:lang w:val="en-GB"/>
        </w:rPr>
        <w:t xml:space="preserve">et al. </w:t>
      </w:r>
      <w:r w:rsidR="009B0E45" w:rsidRPr="007F7D58">
        <w:rPr>
          <w:rFonts w:ascii="Arial" w:hAnsi="Arial" w:cs="Arial"/>
          <w:lang w:val="en-GB"/>
        </w:rPr>
        <w:t xml:space="preserve">(2023). Samples from the SPS dataset amplified with the 18S and ITS2 markers are hereafter named SPS 18S and SPS ITS2, respectively. Biological material in the Grid dataset (593 samples) and the SPS dataset (689 samples) were sequenced in two independent Illumina </w:t>
      </w:r>
      <w:proofErr w:type="spellStart"/>
      <w:r w:rsidR="009B0E45" w:rsidRPr="007F7D58">
        <w:rPr>
          <w:rFonts w:ascii="Arial" w:hAnsi="Arial" w:cs="Arial"/>
          <w:lang w:val="en-GB"/>
        </w:rPr>
        <w:t>NovaSeq</w:t>
      </w:r>
      <w:proofErr w:type="spellEnd"/>
      <w:r w:rsidR="009B0E45" w:rsidRPr="007F7D58">
        <w:rPr>
          <w:rFonts w:ascii="Arial" w:hAnsi="Arial" w:cs="Arial"/>
          <w:lang w:val="en-GB"/>
        </w:rPr>
        <w:t xml:space="preserve"> runs by the </w:t>
      </w:r>
      <w:proofErr w:type="spellStart"/>
      <w:r w:rsidR="009B0E45" w:rsidRPr="007F7D58">
        <w:rPr>
          <w:rFonts w:ascii="Arial" w:hAnsi="Arial" w:cs="Arial"/>
          <w:lang w:val="en-GB"/>
        </w:rPr>
        <w:t>Fasteris</w:t>
      </w:r>
      <w:proofErr w:type="spellEnd"/>
      <w:r w:rsidR="009B0E45" w:rsidRPr="007F7D58">
        <w:rPr>
          <w:rFonts w:ascii="Arial" w:hAnsi="Arial" w:cs="Arial"/>
          <w:lang w:val="en-GB"/>
        </w:rPr>
        <w:t xml:space="preserve"> SA company (Switzerland). The 21 Palm dataset samples were sequenced in one </w:t>
      </w:r>
      <w:bookmarkStart w:id="10" w:name="_Hlk160629783"/>
      <w:r w:rsidR="009B0E45" w:rsidRPr="007F7D58">
        <w:rPr>
          <w:rFonts w:ascii="Arial" w:hAnsi="Arial" w:cs="Arial"/>
          <w:lang w:val="en-GB"/>
        </w:rPr>
        <w:t xml:space="preserve">Illumina </w:t>
      </w:r>
      <w:proofErr w:type="spellStart"/>
      <w:r w:rsidR="009B0E45" w:rsidRPr="007F7D58">
        <w:rPr>
          <w:rFonts w:ascii="Arial" w:hAnsi="Arial" w:cs="Arial"/>
          <w:lang w:val="en-GB"/>
        </w:rPr>
        <w:t>MiSeq</w:t>
      </w:r>
      <w:proofErr w:type="spellEnd"/>
      <w:r w:rsidR="009B0E45" w:rsidRPr="007F7D58">
        <w:rPr>
          <w:rFonts w:ascii="Arial" w:hAnsi="Arial" w:cs="Arial"/>
          <w:lang w:val="en-GB"/>
        </w:rPr>
        <w:t xml:space="preserve"> run (2 x 250 bp), by the </w:t>
      </w:r>
      <w:proofErr w:type="spellStart"/>
      <w:r w:rsidR="009B0E45" w:rsidRPr="007F7D58">
        <w:rPr>
          <w:rFonts w:ascii="Arial" w:hAnsi="Arial" w:cs="Arial"/>
          <w:lang w:val="en-GB"/>
        </w:rPr>
        <w:t>Fasteris</w:t>
      </w:r>
      <w:proofErr w:type="spellEnd"/>
      <w:r w:rsidR="009B0E45" w:rsidRPr="007F7D58">
        <w:rPr>
          <w:rFonts w:ascii="Arial" w:hAnsi="Arial" w:cs="Arial"/>
          <w:lang w:val="en-GB"/>
        </w:rPr>
        <w:t xml:space="preserve"> SA company (Switzerland)</w:t>
      </w:r>
      <w:bookmarkEnd w:id="10"/>
      <w:r w:rsidR="009B0E45" w:rsidRPr="007F7D58">
        <w:rPr>
          <w:rFonts w:ascii="Arial" w:hAnsi="Arial" w:cs="Arial"/>
          <w:lang w:val="en-GB"/>
        </w:rPr>
        <w:t xml:space="preserve">. </w:t>
      </w:r>
    </w:p>
    <w:p w14:paraId="0149BEA4" w14:textId="77777777" w:rsidR="009B0E45" w:rsidRPr="007F7D58" w:rsidRDefault="009B0E45" w:rsidP="009B0E45">
      <w:pPr>
        <w:spacing w:after="0" w:line="480" w:lineRule="auto"/>
        <w:jc w:val="both"/>
        <w:rPr>
          <w:rFonts w:ascii="Arial" w:hAnsi="Arial" w:cs="Arial"/>
          <w:lang w:val="en-GB"/>
        </w:rPr>
      </w:pPr>
      <w:bookmarkStart w:id="11" w:name="_Hlk160629799"/>
      <w:r w:rsidRPr="007F7D58">
        <w:rPr>
          <w:rFonts w:ascii="Arial" w:hAnsi="Arial" w:cs="Arial"/>
          <w:lang w:val="en-GB"/>
        </w:rPr>
        <w:t>Details on the data processing pipeline are available in Perez-</w:t>
      </w:r>
      <w:proofErr w:type="spellStart"/>
      <w:r w:rsidRPr="007F7D58">
        <w:rPr>
          <w:rFonts w:ascii="Arial" w:hAnsi="Arial" w:cs="Arial"/>
          <w:lang w:val="en-GB"/>
        </w:rPr>
        <w:t>Lamarque</w:t>
      </w:r>
      <w:proofErr w:type="spellEnd"/>
      <w:r w:rsidRPr="007F7D58">
        <w:rPr>
          <w:rFonts w:ascii="Arial" w:hAnsi="Arial" w:cs="Arial"/>
          <w:lang w:val="en-GB"/>
        </w:rPr>
        <w:t xml:space="preserve"> </w:t>
      </w:r>
      <w:r w:rsidRPr="007F7D58">
        <w:rPr>
          <w:rFonts w:ascii="Arial" w:hAnsi="Arial" w:cs="Arial"/>
          <w:iCs/>
          <w:lang w:val="en-GB"/>
        </w:rPr>
        <w:t>et al.</w:t>
      </w:r>
      <w:r w:rsidRPr="007F7D58">
        <w:rPr>
          <w:rFonts w:ascii="Arial" w:hAnsi="Arial" w:cs="Arial"/>
          <w:lang w:val="en-GB"/>
        </w:rPr>
        <w:t xml:space="preserve"> (2022). </w:t>
      </w:r>
      <w:bookmarkEnd w:id="11"/>
      <w:r w:rsidRPr="007F7D58">
        <w:rPr>
          <w:rFonts w:ascii="Arial" w:hAnsi="Arial" w:cs="Arial"/>
          <w:lang w:val="en-GB"/>
        </w:rPr>
        <w:t xml:space="preserve">Operational taxonomic units (OTUs) were formed in three steps: </w:t>
      </w:r>
      <w:proofErr w:type="spellStart"/>
      <w:r w:rsidRPr="007F7D58">
        <w:rPr>
          <w:rFonts w:ascii="Arial" w:hAnsi="Arial" w:cs="Arial"/>
          <w:lang w:val="en-GB"/>
        </w:rPr>
        <w:t>i</w:t>
      </w:r>
      <w:proofErr w:type="spellEnd"/>
      <w:r w:rsidRPr="007F7D58">
        <w:rPr>
          <w:rFonts w:ascii="Arial" w:hAnsi="Arial" w:cs="Arial"/>
          <w:lang w:val="en-GB"/>
        </w:rPr>
        <w:t>) all sequences were merged, ii) chimeras were removed after a quality check, and iii) the resulting sequences were clustered into operational taxonomic units (OTUs) with 97% similarity. Negative controls</w:t>
      </w:r>
      <w:r>
        <w:rPr>
          <w:rFonts w:ascii="Arial" w:hAnsi="Arial" w:cs="Arial"/>
          <w:lang w:val="en-GB"/>
        </w:rPr>
        <w:t xml:space="preserve"> incorporated </w:t>
      </w:r>
      <w:r>
        <w:rPr>
          <w:rFonts w:ascii="Arial" w:hAnsi="Arial" w:cs="Arial"/>
          <w:lang w:val="en-GB"/>
        </w:rPr>
        <w:lastRenderedPageBreak/>
        <w:t>from the DNA extraction to PCR</w:t>
      </w:r>
      <w:r w:rsidRPr="007F7D58">
        <w:rPr>
          <w:rFonts w:ascii="Arial" w:hAnsi="Arial" w:cs="Arial"/>
          <w:lang w:val="en-GB"/>
        </w:rPr>
        <w:t xml:space="preserve"> were used to decontaminate the OTU tables</w:t>
      </w:r>
      <w:r>
        <w:rPr>
          <w:rFonts w:ascii="Arial" w:hAnsi="Arial" w:cs="Arial"/>
          <w:lang w:val="en-GB"/>
        </w:rPr>
        <w:t xml:space="preserve"> using </w:t>
      </w:r>
      <w:proofErr w:type="spellStart"/>
      <w:r>
        <w:rPr>
          <w:rFonts w:ascii="Arial" w:hAnsi="Arial" w:cs="Arial"/>
          <w:lang w:val="en-GB"/>
        </w:rPr>
        <w:t>decontam</w:t>
      </w:r>
      <w:proofErr w:type="spellEnd"/>
      <w:r w:rsidRPr="007F7D58">
        <w:rPr>
          <w:rFonts w:ascii="Arial" w:hAnsi="Arial" w:cs="Arial"/>
          <w:lang w:val="en-GB"/>
        </w:rPr>
        <w:t xml:space="preserve">. Short sequences and sequences assigned to non-fungal species were removed. In the Grid and SPS datasets, OTUs with &lt; 100 reads were removed. In the Palm dataset, OTUs with &lt; 10 reads were removed because of the sequencing depth differences between </w:t>
      </w:r>
      <w:proofErr w:type="spellStart"/>
      <w:r w:rsidRPr="007F7D58">
        <w:rPr>
          <w:rFonts w:ascii="Arial" w:hAnsi="Arial" w:cs="Arial"/>
          <w:lang w:val="en-GB"/>
        </w:rPr>
        <w:t>NovaSeq</w:t>
      </w:r>
      <w:proofErr w:type="spellEnd"/>
      <w:r w:rsidRPr="007F7D58">
        <w:rPr>
          <w:rFonts w:ascii="Arial" w:hAnsi="Arial" w:cs="Arial"/>
          <w:lang w:val="en-GB"/>
        </w:rPr>
        <w:t xml:space="preserve"> and </w:t>
      </w:r>
      <w:proofErr w:type="spellStart"/>
      <w:r w:rsidRPr="007F7D58">
        <w:rPr>
          <w:rFonts w:ascii="Arial" w:hAnsi="Arial" w:cs="Arial"/>
          <w:lang w:val="en-GB"/>
        </w:rPr>
        <w:t>MiSeq</w:t>
      </w:r>
      <w:proofErr w:type="spellEnd"/>
      <w:r w:rsidRPr="007F7D58">
        <w:rPr>
          <w:rFonts w:ascii="Arial" w:hAnsi="Arial" w:cs="Arial"/>
          <w:lang w:val="en-GB"/>
        </w:rPr>
        <w:t xml:space="preserve">. After decontamination and cleaning, the Illumina </w:t>
      </w:r>
      <w:proofErr w:type="spellStart"/>
      <w:r w:rsidRPr="007F7D58">
        <w:rPr>
          <w:rFonts w:ascii="Arial" w:hAnsi="Arial" w:cs="Arial"/>
          <w:lang w:val="en-GB"/>
        </w:rPr>
        <w:t>NovaSeq</w:t>
      </w:r>
      <w:proofErr w:type="spellEnd"/>
      <w:r w:rsidRPr="007F7D58">
        <w:rPr>
          <w:rFonts w:ascii="Arial" w:hAnsi="Arial" w:cs="Arial"/>
          <w:lang w:val="en-GB"/>
        </w:rPr>
        <w:t xml:space="preserve"> for SPS ITS2 yielded 101,508,231 sequence reads and 17,028,263 reads for SPS 18S; the </w:t>
      </w:r>
      <w:proofErr w:type="spellStart"/>
      <w:r w:rsidRPr="007F7D58">
        <w:rPr>
          <w:rFonts w:ascii="Arial" w:hAnsi="Arial" w:cs="Arial"/>
          <w:lang w:val="en-GB"/>
        </w:rPr>
        <w:t>NovaSeq</w:t>
      </w:r>
      <w:proofErr w:type="spellEnd"/>
      <w:r w:rsidRPr="007F7D58">
        <w:rPr>
          <w:rFonts w:ascii="Arial" w:hAnsi="Arial" w:cs="Arial"/>
          <w:lang w:val="en-GB"/>
        </w:rPr>
        <w:t xml:space="preserve"> for the Grid ITS2 yielded 212,457,568 sequence reads, while the </w:t>
      </w:r>
      <w:proofErr w:type="spellStart"/>
      <w:r w:rsidRPr="007F7D58">
        <w:rPr>
          <w:rFonts w:ascii="Arial" w:hAnsi="Arial" w:cs="Arial"/>
          <w:lang w:val="en-GB"/>
        </w:rPr>
        <w:t>Miseq</w:t>
      </w:r>
      <w:proofErr w:type="spellEnd"/>
      <w:r w:rsidRPr="007F7D58">
        <w:rPr>
          <w:rFonts w:ascii="Arial" w:hAnsi="Arial" w:cs="Arial"/>
          <w:lang w:val="en-GB"/>
        </w:rPr>
        <w:t xml:space="preserve"> for Palm 18S yielded 326,001 sequence reads. Taxonomic assignment of OTUs was performed using the UNITE V8.3 online database for ITS2 (</w:t>
      </w:r>
      <w:proofErr w:type="spellStart"/>
      <w:r w:rsidRPr="007F7D58">
        <w:rPr>
          <w:rFonts w:ascii="Arial" w:hAnsi="Arial" w:cs="Arial"/>
          <w:lang w:val="en-GB"/>
        </w:rPr>
        <w:t>Kõljalg</w:t>
      </w:r>
      <w:proofErr w:type="spellEnd"/>
      <w:r w:rsidRPr="007F7D58">
        <w:rPr>
          <w:rFonts w:ascii="Arial" w:hAnsi="Arial" w:cs="Arial"/>
          <w:lang w:val="en-GB"/>
        </w:rPr>
        <w:t xml:space="preserve"> et al. 2020) and the </w:t>
      </w:r>
      <w:r>
        <w:rPr>
          <w:rFonts w:ascii="Arial" w:hAnsi="Arial" w:cs="Arial"/>
          <w:lang w:val="en-GB"/>
        </w:rPr>
        <w:t>SILVA</w:t>
      </w:r>
      <w:r w:rsidRPr="007F7D58">
        <w:rPr>
          <w:rFonts w:ascii="Arial" w:hAnsi="Arial" w:cs="Arial"/>
          <w:lang w:val="en-GB"/>
        </w:rPr>
        <w:t xml:space="preserve"> database for 18S</w:t>
      </w:r>
      <w:r>
        <w:rPr>
          <w:rFonts w:ascii="Arial" w:hAnsi="Arial" w:cs="Arial"/>
          <w:lang w:val="en-GB"/>
        </w:rPr>
        <w:t xml:space="preserve"> </w:t>
      </w:r>
      <w:r>
        <w:rPr>
          <w:rFonts w:ascii="Arial" w:hAnsi="Arial" w:cs="Arial"/>
          <w:lang w:val="en-GB"/>
        </w:rPr>
        <w:fldChar w:fldCharType="begin"/>
      </w:r>
      <w:r>
        <w:rPr>
          <w:rFonts w:ascii="Arial" w:hAnsi="Arial" w:cs="Arial"/>
          <w:lang w:val="en-GB"/>
        </w:rPr>
        <w:instrText xml:space="preserve"> ADDIN ZOTERO_ITEM CSL_CITATION {"citationID":"Ei4ZBHyy","properties":{"formattedCitation":"(Quast et al. 2013)","plainCitation":"(Quast et al. 2013)","noteIndex":0},"citationItems":[{"id":1840,"uris":["http://zotero.org/users/4753203/items/V9FJY9R2"],"itemData":{"id":1840,"type":"article-journal","abstract":"SILVA (from Latin silva, forest, http://www.arb-silva.de) is a comprehensive web resource for up to date, quality-controlled databases of aligned ribosomal RNA (rRNA) gene sequences from the Bacteria, Archaea and Eukaryota domains and supplementary online services. The referred database release 111 (July 2012) contains 3 194 778 small subunit and 288 717 large subunit rRNA gene sequences. Since the initial description of the project, substantial new features have been introduced, including advanced quality control procedures, an improved rRNA gene aligner, online tools for probe and primer evaluation and optimized browsing, searching and downloading on the website. Furthermore, the extensively curated SILVA taxonomy and the new non-redundant SILVA datasets provide an ideal reference for high-throughput classification of data from next-generation sequencing approaches.","container-title":"Nucleic Acids Research","DOI":"10.1093/nar/gks1219","ISSN":"0305-1048","issue":"Database issue","journalAbbreviation":"Nucleic Acids Res","note":"PMID: 23193283\nPMCID: PMC3531112","page":"D590-D596","source":"PubMed Central","title":"The SILVA ribosomal RNA gene database project: improved data processing and web-based tools","title-short":"The SILVA ribosomal RNA gene database project","volume":"41","author":[{"family":"Quast","given":"Christian"},{"family":"Pruesse","given":"Elmar"},{"family":"Yilmaz","given":"Pelin"},{"family":"Gerken","given":"Jan"},{"family":"Schweer","given":"Timmy"},{"family":"Yarza","given":"Pablo"},{"family":"Peplies","given":"Jörg"},{"family":"Glöckner","given":"Frank Oliver"}],"issued":{"date-parts":[["2013",1]]}}}],"schema":"https://github.com/citation-style-language/schema/raw/master/csl-citation.json"} </w:instrText>
      </w:r>
      <w:r>
        <w:rPr>
          <w:rFonts w:ascii="Arial" w:hAnsi="Arial" w:cs="Arial"/>
          <w:lang w:val="en-GB"/>
        </w:rPr>
        <w:fldChar w:fldCharType="separate"/>
      </w:r>
      <w:r w:rsidRPr="004D4B52">
        <w:rPr>
          <w:rFonts w:ascii="Arial" w:hAnsi="Arial" w:cs="Arial"/>
          <w:lang w:val="en-US"/>
        </w:rPr>
        <w:t>(Quast et al. 2013)</w:t>
      </w:r>
      <w:r>
        <w:rPr>
          <w:rFonts w:ascii="Arial" w:hAnsi="Arial" w:cs="Arial"/>
          <w:lang w:val="en-GB"/>
        </w:rPr>
        <w:fldChar w:fldCharType="end"/>
      </w:r>
      <w:r>
        <w:rPr>
          <w:rFonts w:ascii="Arial" w:hAnsi="Arial" w:cs="Arial"/>
          <w:lang w:val="en-GB"/>
        </w:rPr>
        <w:t>.</w:t>
      </w:r>
      <w:r w:rsidRPr="007F7D58">
        <w:rPr>
          <w:rFonts w:ascii="Arial" w:hAnsi="Arial" w:cs="Arial"/>
          <w:lang w:val="en-GB"/>
        </w:rPr>
        <w:t xml:space="preserve"> The UNITE database was used as a reference for AMF taxonomy because it included the greatest number of AMF genera, while all genera detected in </w:t>
      </w:r>
      <w:r>
        <w:rPr>
          <w:rFonts w:ascii="Arial" w:hAnsi="Arial" w:cs="Arial"/>
          <w:lang w:val="en-GB"/>
        </w:rPr>
        <w:t>SILVA</w:t>
      </w:r>
      <w:r w:rsidRPr="007F7D58">
        <w:rPr>
          <w:rFonts w:ascii="Arial" w:hAnsi="Arial" w:cs="Arial"/>
          <w:lang w:val="en-GB"/>
        </w:rPr>
        <w:t xml:space="preserve"> were listed in UNITE.</w:t>
      </w:r>
    </w:p>
    <w:p w14:paraId="05235CDE" w14:textId="77777777" w:rsidR="009B0E45" w:rsidRPr="007F7D58" w:rsidRDefault="009B0E45" w:rsidP="009B0E45">
      <w:pPr>
        <w:spacing w:after="0" w:line="480" w:lineRule="auto"/>
        <w:jc w:val="both"/>
        <w:rPr>
          <w:rFonts w:ascii="Arial" w:hAnsi="Arial" w:cs="Arial"/>
          <w:lang w:val="en-GB"/>
        </w:rPr>
      </w:pPr>
      <w:r w:rsidRPr="007F7D58">
        <w:rPr>
          <w:rFonts w:ascii="Arial" w:hAnsi="Arial" w:cs="Arial"/>
          <w:lang w:val="en-GB"/>
        </w:rPr>
        <w:t xml:space="preserve">All sequences generated in this study were deposited on the </w:t>
      </w:r>
      <w:r w:rsidRPr="007F7D58">
        <w:rPr>
          <w:rFonts w:ascii="Arial" w:hAnsi="Arial" w:cs="Arial"/>
          <w:lang w:val="en-US"/>
        </w:rPr>
        <w:t>on the NCBI Sequence Read Archive (SRA) </w:t>
      </w:r>
      <w:r w:rsidRPr="007F7D58">
        <w:rPr>
          <w:rFonts w:ascii="Arial" w:hAnsi="Arial" w:cs="Arial"/>
          <w:lang w:val="en-GB"/>
        </w:rPr>
        <w:t xml:space="preserve">as follows: </w:t>
      </w:r>
      <w:proofErr w:type="spellStart"/>
      <w:r w:rsidRPr="007F7D58">
        <w:rPr>
          <w:rFonts w:ascii="Arial" w:hAnsi="Arial" w:cs="Arial"/>
          <w:lang w:val="en-GB"/>
        </w:rPr>
        <w:t>i</w:t>
      </w:r>
      <w:proofErr w:type="spellEnd"/>
      <w:r w:rsidRPr="007F7D58">
        <w:rPr>
          <w:rFonts w:ascii="Arial" w:hAnsi="Arial" w:cs="Arial"/>
          <w:lang w:val="en-GB"/>
        </w:rPr>
        <w:t>) the Grid dataset sequences were deposited on the NCBI public repository (PRJNA1058874), ii) the Palm dataset sequences were deposited on NCBI (</w:t>
      </w:r>
      <w:bookmarkStart w:id="12" w:name="_Hlk160629143"/>
      <w:r w:rsidRPr="007F7D58">
        <w:rPr>
          <w:rFonts w:ascii="Arial" w:hAnsi="Arial" w:cs="Arial"/>
          <w:lang w:val="en-GB"/>
        </w:rPr>
        <w:t>PRJNA1078326</w:t>
      </w:r>
      <w:bookmarkEnd w:id="12"/>
      <w:r w:rsidRPr="007F7D58">
        <w:rPr>
          <w:rFonts w:ascii="Arial" w:hAnsi="Arial" w:cs="Arial"/>
          <w:lang w:val="en-GB"/>
        </w:rPr>
        <w:t>). SPS data sequences were retrieved from the NCBI public repository (PRJNA1061359).</w:t>
      </w:r>
    </w:p>
    <w:p w14:paraId="069BC5BA" w14:textId="49C2D4D0" w:rsidR="00C462D1" w:rsidRPr="000C26FA" w:rsidRDefault="00C462D1" w:rsidP="009B0E45">
      <w:pPr>
        <w:spacing w:after="0"/>
        <w:rPr>
          <w:b/>
          <w:lang w:val="en-GB"/>
        </w:rPr>
      </w:pPr>
    </w:p>
    <w:p w14:paraId="71A78B51" w14:textId="4DBC77D2" w:rsidR="000C26FA" w:rsidRPr="000C26FA" w:rsidRDefault="000C26FA" w:rsidP="000C26FA">
      <w:pPr>
        <w:spacing w:after="0" w:line="480" w:lineRule="auto"/>
        <w:ind w:left="720"/>
        <w:jc w:val="both"/>
        <w:rPr>
          <w:rFonts w:ascii="Arial" w:hAnsi="Arial" w:cs="Arial"/>
          <w:b/>
          <w:bCs/>
          <w:lang w:val="en-GB"/>
        </w:rPr>
      </w:pPr>
      <w:r>
        <w:rPr>
          <w:rFonts w:ascii="Arial" w:hAnsi="Arial" w:cs="Arial"/>
          <w:b/>
          <w:bCs/>
          <w:lang w:val="en-GB"/>
        </w:rPr>
        <w:t>2.</w:t>
      </w:r>
      <w:r w:rsidR="0010139B">
        <w:rPr>
          <w:rFonts w:ascii="Arial" w:hAnsi="Arial" w:cs="Arial"/>
          <w:b/>
          <w:bCs/>
          <w:lang w:val="en-GB"/>
        </w:rPr>
        <w:t xml:space="preserve"> </w:t>
      </w:r>
      <w:r w:rsidRPr="000C26FA">
        <w:rPr>
          <w:rFonts w:ascii="Arial" w:hAnsi="Arial" w:cs="Arial"/>
          <w:b/>
          <w:bCs/>
          <w:lang w:val="en-GB"/>
        </w:rPr>
        <w:t>Staining and observation of AMF in roots</w:t>
      </w:r>
    </w:p>
    <w:p w14:paraId="4398991D" w14:textId="77777777" w:rsidR="000C26FA" w:rsidRPr="007F7D58" w:rsidRDefault="000C26FA" w:rsidP="000C26FA">
      <w:pPr>
        <w:spacing w:after="0" w:line="480" w:lineRule="auto"/>
        <w:jc w:val="both"/>
        <w:rPr>
          <w:rFonts w:ascii="Arial" w:hAnsi="Arial" w:cs="Arial"/>
          <w:lang w:val="en-GB"/>
        </w:rPr>
      </w:pPr>
      <w:r w:rsidRPr="007F7D58">
        <w:rPr>
          <w:rFonts w:ascii="Arial" w:hAnsi="Arial" w:cs="Arial"/>
          <w:lang w:val="en-GB"/>
        </w:rPr>
        <w:t xml:space="preserve">Root staining was carried out in three steps: </w:t>
      </w:r>
      <w:proofErr w:type="spellStart"/>
      <w:r w:rsidRPr="007F7D58">
        <w:rPr>
          <w:rFonts w:ascii="Arial" w:hAnsi="Arial" w:cs="Arial"/>
          <w:lang w:val="en-GB"/>
        </w:rPr>
        <w:t>i</w:t>
      </w:r>
      <w:proofErr w:type="spellEnd"/>
      <w:r w:rsidRPr="007F7D58">
        <w:rPr>
          <w:rFonts w:ascii="Arial" w:hAnsi="Arial" w:cs="Arial"/>
          <w:lang w:val="en-GB"/>
        </w:rPr>
        <w:t xml:space="preserve">) washing and clearing with a 10% KOH solution at 90°C for 1 h, ii) rinsing and acidification with acidic water (acidified with diluted HCl at ~pH 3) for 2 h and iii) Trypan blue staining in Amman lactophenol solution at 96°C for 10 min, according to the protocol of Phillips and Hayman (1970). Roots were cut into 5 to 20 fragments of 1 cm, depending on the available material. The symbiotic mycorrhizal status of the plant (mycorrhized or non-mycorrhized) was confirmed when at least one fragment presented specific arbuscular mycorrhizae structures (vesicles or arbuscules). When the AMF presence was confirmed and the root fragment number and quality were sufficient, the mycorrhizal colonization frequency and intensity were assessed according to the method of </w:t>
      </w:r>
      <w:proofErr w:type="spellStart"/>
      <w:r w:rsidRPr="007F7D58">
        <w:rPr>
          <w:rFonts w:ascii="Arial" w:hAnsi="Arial" w:cs="Arial"/>
          <w:lang w:val="en-GB"/>
        </w:rPr>
        <w:t>Trouvelot</w:t>
      </w:r>
      <w:proofErr w:type="spellEnd"/>
      <w:r w:rsidRPr="007F7D58">
        <w:rPr>
          <w:rFonts w:ascii="Arial" w:hAnsi="Arial" w:cs="Arial"/>
          <w:lang w:val="en-GB"/>
        </w:rPr>
        <w:t xml:space="preserve"> et al. (1986). The mycorrhizal frequency was calculated using the formula: (</w:t>
      </w:r>
      <w:r w:rsidRPr="007F7D58">
        <w:rPr>
          <w:rFonts w:ascii="Arial" w:hAnsi="Arial" w:cs="Arial"/>
          <w:i/>
          <w:lang w:val="en-GB"/>
        </w:rPr>
        <w:t xml:space="preserve">number of fragments </w:t>
      </w:r>
      <w:r w:rsidRPr="007F7D58">
        <w:rPr>
          <w:rFonts w:ascii="Arial" w:hAnsi="Arial" w:cs="Arial"/>
          <w:i/>
          <w:lang w:val="en-GB"/>
        </w:rPr>
        <w:lastRenderedPageBreak/>
        <w:t>with mycorrhizal structures/total number of fragments observed</w:t>
      </w:r>
      <w:r w:rsidRPr="007F7D58">
        <w:rPr>
          <w:rFonts w:ascii="Arial" w:hAnsi="Arial" w:cs="Arial"/>
          <w:lang w:val="en-GB"/>
        </w:rPr>
        <w:t>)</w:t>
      </w:r>
      <w:r w:rsidRPr="007F7D58">
        <w:rPr>
          <w:rFonts w:ascii="Arial" w:hAnsi="Arial" w:cs="Arial"/>
          <w:i/>
          <w:lang w:val="en-GB"/>
        </w:rPr>
        <w:t xml:space="preserve"> *100</w:t>
      </w:r>
      <w:r w:rsidRPr="007F7D58">
        <w:rPr>
          <w:rFonts w:ascii="Arial" w:hAnsi="Arial" w:cs="Arial"/>
          <w:lang w:val="en-GB"/>
        </w:rPr>
        <w:t xml:space="preserve">. The mycorrhizal intensity was measured with a percentage rating chart according to </w:t>
      </w:r>
      <w:proofErr w:type="spellStart"/>
      <w:r w:rsidRPr="007F7D58">
        <w:rPr>
          <w:rFonts w:ascii="Arial" w:hAnsi="Arial" w:cs="Arial"/>
          <w:lang w:val="en-GB"/>
        </w:rPr>
        <w:t>Trouvelot</w:t>
      </w:r>
      <w:proofErr w:type="spellEnd"/>
      <w:r w:rsidRPr="007F7D58">
        <w:rPr>
          <w:rFonts w:ascii="Arial" w:hAnsi="Arial" w:cs="Arial"/>
          <w:lang w:val="en-GB"/>
        </w:rPr>
        <w:t xml:space="preserve"> et al. (1986).</w:t>
      </w:r>
    </w:p>
    <w:p w14:paraId="526B18E9" w14:textId="68BD9689" w:rsidR="000C26FA" w:rsidRDefault="000C26FA" w:rsidP="009B0E45">
      <w:pPr>
        <w:spacing w:after="0"/>
        <w:rPr>
          <w:lang w:val="en-GB"/>
        </w:rPr>
      </w:pPr>
    </w:p>
    <w:p w14:paraId="0CF7CAAB" w14:textId="61D4128D" w:rsidR="0010139B" w:rsidRPr="0010139B" w:rsidRDefault="0010139B" w:rsidP="0010139B">
      <w:pPr>
        <w:pStyle w:val="Paragraphedeliste"/>
        <w:numPr>
          <w:ilvl w:val="0"/>
          <w:numId w:val="2"/>
        </w:numPr>
        <w:spacing w:after="0" w:line="480" w:lineRule="auto"/>
        <w:jc w:val="both"/>
        <w:rPr>
          <w:rFonts w:ascii="Arial" w:hAnsi="Arial" w:cs="Arial"/>
          <w:b/>
          <w:bCs/>
          <w:lang w:val="en-GB"/>
        </w:rPr>
      </w:pPr>
      <w:r w:rsidRPr="0010139B">
        <w:rPr>
          <w:rFonts w:ascii="Arial" w:hAnsi="Arial" w:cs="Arial"/>
          <w:b/>
          <w:bCs/>
          <w:lang w:val="en-GB"/>
        </w:rPr>
        <w:t>AMF spore extraction</w:t>
      </w:r>
    </w:p>
    <w:p w14:paraId="1926CA48" w14:textId="07D4F291" w:rsidR="0010139B" w:rsidRPr="007F7D58" w:rsidRDefault="0010139B" w:rsidP="0010139B">
      <w:pPr>
        <w:spacing w:after="0" w:line="480" w:lineRule="auto"/>
        <w:jc w:val="both"/>
        <w:rPr>
          <w:rFonts w:ascii="Arial" w:hAnsi="Arial" w:cs="Arial"/>
          <w:lang w:val="en-GB"/>
        </w:rPr>
      </w:pPr>
      <w:bookmarkStart w:id="13" w:name="_GoBack"/>
      <w:r w:rsidRPr="007F7D58">
        <w:rPr>
          <w:rFonts w:ascii="Arial" w:hAnsi="Arial" w:cs="Arial"/>
          <w:lang w:val="en-GB"/>
        </w:rPr>
        <w:t>For each sampled soil, AMF spore extraction was performed on 1 kg of soil using the sieving and decanting method (</w:t>
      </w:r>
      <w:proofErr w:type="spellStart"/>
      <w:r w:rsidRPr="007F7D58">
        <w:rPr>
          <w:rFonts w:ascii="Arial" w:hAnsi="Arial" w:cs="Arial"/>
          <w:lang w:val="en-GB"/>
        </w:rPr>
        <w:t>Gerdemann</w:t>
      </w:r>
      <w:proofErr w:type="spellEnd"/>
      <w:r w:rsidRPr="007F7D58">
        <w:rPr>
          <w:rFonts w:ascii="Arial" w:hAnsi="Arial" w:cs="Arial"/>
          <w:lang w:val="en-GB"/>
        </w:rPr>
        <w:t xml:space="preserve"> and Nicolson 1963), followed by 60% sucrose/water </w:t>
      </w:r>
      <w:proofErr w:type="spellStart"/>
      <w:proofErr w:type="gramStart"/>
      <w:r w:rsidRPr="007F7D58">
        <w:rPr>
          <w:rFonts w:ascii="Arial" w:hAnsi="Arial" w:cs="Arial"/>
          <w:lang w:val="en-GB"/>
        </w:rPr>
        <w:t>centrifugation.</w:t>
      </w:r>
      <w:r>
        <w:rPr>
          <w:rFonts w:ascii="Arial" w:hAnsi="Arial" w:cs="Arial"/>
          <w:lang w:val="en-GB"/>
        </w:rPr>
        <w:t>S</w:t>
      </w:r>
      <w:r w:rsidRPr="007F7D58">
        <w:rPr>
          <w:rFonts w:ascii="Arial" w:hAnsi="Arial" w:cs="Arial"/>
          <w:lang w:val="en-GB"/>
        </w:rPr>
        <w:t>oil</w:t>
      </w:r>
      <w:proofErr w:type="spellEnd"/>
      <w:proofErr w:type="gramEnd"/>
      <w:r w:rsidRPr="007F7D58">
        <w:rPr>
          <w:rFonts w:ascii="Arial" w:hAnsi="Arial" w:cs="Arial"/>
          <w:lang w:val="en-GB"/>
        </w:rPr>
        <w:t xml:space="preserve"> was sieved through a 2 mm Ø mesh and then resuspended in sterile water. After </w:t>
      </w:r>
      <w:r>
        <w:rPr>
          <w:rFonts w:ascii="Arial" w:hAnsi="Arial" w:cs="Arial"/>
          <w:lang w:val="en-GB"/>
        </w:rPr>
        <w:t xml:space="preserve">a </w:t>
      </w:r>
      <w:r w:rsidRPr="007F7D58">
        <w:rPr>
          <w:rFonts w:ascii="Arial" w:hAnsi="Arial" w:cs="Arial"/>
          <w:lang w:val="en-GB"/>
        </w:rPr>
        <w:t>5 to 10 s precipitation, particles were removed from the solution by sequentially filtering through a 1 mm Ø mesh, sieve followed by a 40 µm Ø mesh sieve. Spores were collected between the two sieves (&lt; 1 mm, &gt; 40 µm) and then transferred to Falcon</w:t>
      </w:r>
      <w:r w:rsidRPr="007F7D58">
        <w:rPr>
          <w:rFonts w:ascii="Arial" w:hAnsi="Arial" w:cs="Arial"/>
          <w:vertAlign w:val="superscript"/>
          <w:lang w:val="en-GB"/>
        </w:rPr>
        <w:t xml:space="preserve">© </w:t>
      </w:r>
      <w:r w:rsidRPr="007F7D58">
        <w:rPr>
          <w:rFonts w:ascii="Arial" w:hAnsi="Arial" w:cs="Arial"/>
          <w:lang w:val="en-GB"/>
        </w:rPr>
        <w:t xml:space="preserve">tubes half filled with sterile water. </w:t>
      </w:r>
      <w:r w:rsidRPr="007F7D58">
        <w:rPr>
          <w:rFonts w:ascii="Arial" w:hAnsi="Arial" w:cs="Arial"/>
          <w:lang w:val="en-US"/>
        </w:rPr>
        <w:t>A 60% sucrose/water solution</w:t>
      </w:r>
      <w:r w:rsidRPr="007F7D58">
        <w:rPr>
          <w:rFonts w:ascii="Arial" w:hAnsi="Arial" w:cs="Arial"/>
          <w:lang w:val="en-GB"/>
        </w:rPr>
        <w:t xml:space="preserve"> was added to the bottom of the tube and the tubes were centrifuged for 2 min at 3,000 rpm. Spores were collected at the sucrose-water interface. Total spore counting was performed for each sample under a binocular magnifier to determine the number of spores/kg.</w:t>
      </w:r>
    </w:p>
    <w:bookmarkEnd w:id="13"/>
    <w:p w14:paraId="4C44F856" w14:textId="77777777" w:rsidR="0010139B" w:rsidRPr="009B0E45" w:rsidRDefault="0010139B" w:rsidP="009B0E45">
      <w:pPr>
        <w:spacing w:after="0"/>
        <w:rPr>
          <w:lang w:val="en-GB"/>
        </w:rPr>
      </w:pPr>
    </w:p>
    <w:sectPr w:rsidR="0010139B" w:rsidRPr="009B0E4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D8513B"/>
    <w:multiLevelType w:val="hybridMultilevel"/>
    <w:tmpl w:val="876CE2AE"/>
    <w:lvl w:ilvl="0" w:tplc="61F8BDEC">
      <w:start w:val="3"/>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 w15:restartNumberingAfterBreak="0">
    <w:nsid w:val="41C43481"/>
    <w:multiLevelType w:val="hybridMultilevel"/>
    <w:tmpl w:val="CB6EBCA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516B302C"/>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C22"/>
    <w:rsid w:val="000C26FA"/>
    <w:rsid w:val="0010139B"/>
    <w:rsid w:val="00494961"/>
    <w:rsid w:val="009B0E45"/>
    <w:rsid w:val="00C462D1"/>
    <w:rsid w:val="00DA4FC4"/>
    <w:rsid w:val="00FC2C2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B8AD16"/>
  <w15:chartTrackingRefBased/>
  <w15:docId w15:val="{2D52EADF-B69D-4781-B4AC-382B4C537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semiHidden/>
    <w:unhideWhenUsed/>
    <w:rsid w:val="009B0E45"/>
    <w:rPr>
      <w:sz w:val="16"/>
      <w:szCs w:val="16"/>
    </w:rPr>
  </w:style>
  <w:style w:type="paragraph" w:styleId="Commentaire">
    <w:name w:val="annotation text"/>
    <w:basedOn w:val="Normal"/>
    <w:link w:val="CommentaireCar"/>
    <w:uiPriority w:val="99"/>
    <w:unhideWhenUsed/>
    <w:rsid w:val="009B0E45"/>
    <w:pPr>
      <w:spacing w:line="240" w:lineRule="auto"/>
    </w:pPr>
    <w:rPr>
      <w:rFonts w:eastAsia="Batang"/>
      <w:sz w:val="20"/>
      <w:szCs w:val="20"/>
    </w:rPr>
  </w:style>
  <w:style w:type="character" w:customStyle="1" w:styleId="CommentaireCar">
    <w:name w:val="Commentaire Car"/>
    <w:basedOn w:val="Policepardfaut"/>
    <w:link w:val="Commentaire"/>
    <w:uiPriority w:val="99"/>
    <w:rsid w:val="009B0E45"/>
    <w:rPr>
      <w:rFonts w:eastAsia="Batang"/>
      <w:sz w:val="20"/>
      <w:szCs w:val="20"/>
    </w:rPr>
  </w:style>
  <w:style w:type="paragraph" w:styleId="Paragraphedeliste">
    <w:name w:val="List Paragraph"/>
    <w:basedOn w:val="Normal"/>
    <w:uiPriority w:val="34"/>
    <w:qFormat/>
    <w:rsid w:val="009B0E45"/>
    <w:pPr>
      <w:ind w:left="720"/>
      <w:contextualSpacing/>
    </w:pPr>
    <w:rPr>
      <w:rFonts w:eastAsia="Batang"/>
    </w:rPr>
  </w:style>
  <w:style w:type="paragraph" w:styleId="Textedebulles">
    <w:name w:val="Balloon Text"/>
    <w:basedOn w:val="Normal"/>
    <w:link w:val="TextedebullesCar"/>
    <w:uiPriority w:val="99"/>
    <w:semiHidden/>
    <w:unhideWhenUsed/>
    <w:rsid w:val="009B0E4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9B0E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C23F48-6FC6-4B34-98A7-15552E4CB1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1311</Words>
  <Characters>7214</Characters>
  <Application>Microsoft Office Word</Application>
  <DocSecurity>0</DocSecurity>
  <Lines>60</Lines>
  <Paragraphs>17</Paragraphs>
  <ScaleCrop>false</ScaleCrop>
  <HeadingPairs>
    <vt:vector size="2" baseType="variant">
      <vt:variant>
        <vt:lpstr>Titre</vt:lpstr>
      </vt:variant>
      <vt:variant>
        <vt:i4>1</vt:i4>
      </vt:variant>
    </vt:vector>
  </HeadingPairs>
  <TitlesOfParts>
    <vt:vector size="1" baseType="lpstr">
      <vt:lpstr/>
    </vt:vector>
  </TitlesOfParts>
  <Company>Cirad</Company>
  <LinksUpToDate>false</LinksUpToDate>
  <CharactersWithSpaces>8508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Alexandre ROBIN-SORIANO</dc:creator>
  <cp:keywords/>
  <dc:description/>
  <cp:lastModifiedBy>Alexandre ROBIN-SORIANO</cp:lastModifiedBy>
  <cp:revision>3</cp:revision>
  <dcterms:created xsi:type="dcterms:W3CDTF">2024-03-13T08:57:00Z</dcterms:created>
  <dcterms:modified xsi:type="dcterms:W3CDTF">2024-03-13T10:04:00Z</dcterms:modified>
</cp:coreProperties>
</file>