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90A66" w14:textId="77777777" w:rsidR="0071684A" w:rsidRPr="00847942" w:rsidRDefault="0071684A" w:rsidP="0071684A">
      <w:pPr>
        <w:rPr>
          <w:rFonts w:ascii="Times New Roman" w:hAnsi="Times New Roman" w:cs="Times New Roman"/>
          <w:color w:val="000000" w:themeColor="text1"/>
        </w:rPr>
      </w:pPr>
    </w:p>
    <w:p w14:paraId="118B0DF2" w14:textId="7E350A52" w:rsidR="00701571" w:rsidRPr="00847942" w:rsidRDefault="00701571" w:rsidP="00701571">
      <w:pPr>
        <w:rPr>
          <w:rFonts w:ascii="Times New Roman" w:hAnsi="Times New Roman" w:cs="Times New Roman"/>
          <w:color w:val="000000" w:themeColor="text1"/>
        </w:rPr>
      </w:pPr>
      <w:r w:rsidRPr="00847942">
        <w:rPr>
          <w:rFonts w:ascii="Times New Roman" w:hAnsi="Times New Roman" w:cs="Times New Roman"/>
          <w:b/>
          <w:bCs/>
          <w:color w:val="000000" w:themeColor="text1"/>
        </w:rPr>
        <w:t>Supplementary Table 1</w:t>
      </w:r>
      <w:r w:rsidRPr="00847942">
        <w:rPr>
          <w:rFonts w:ascii="Times New Roman" w:hAnsi="Times New Roman" w:cs="Times New Roman"/>
          <w:color w:val="000000" w:themeColor="text1"/>
          <w:spacing w:val="120"/>
        </w:rPr>
        <w:t xml:space="preserve"> </w:t>
      </w:r>
      <w:r w:rsidRPr="00847942">
        <w:rPr>
          <w:rFonts w:ascii="Times New Roman" w:hAnsi="Times New Roman" w:cs="Times New Roman"/>
          <w:color w:val="000000" w:themeColor="text1"/>
        </w:rPr>
        <w:t>Demographic characteristics in children with breakthrough infection</w:t>
      </w:r>
    </w:p>
    <w:tbl>
      <w:tblPr>
        <w:tblStyle w:val="af"/>
        <w:tblW w:w="10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127"/>
        <w:gridCol w:w="2693"/>
        <w:gridCol w:w="2787"/>
      </w:tblGrid>
      <w:tr w:rsidR="00847942" w:rsidRPr="00847942" w14:paraId="297BB631" w14:textId="77777777" w:rsidTr="00C367E4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EA2C9C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6243228" w14:textId="77777777" w:rsidR="00701571" w:rsidRPr="00847942" w:rsidRDefault="00701571" w:rsidP="00C367E4">
            <w:pPr>
              <w:ind w:left="-109" w:firstLine="10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Children &lt;2 years</w:t>
            </w:r>
          </w:p>
          <w:p w14:paraId="15A5185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(n = 21)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9A3024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Children aged 2–4 years</w:t>
            </w:r>
          </w:p>
          <w:p w14:paraId="7D9BBE6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(n = 42)</w:t>
            </w:r>
          </w:p>
        </w:tc>
        <w:tc>
          <w:tcPr>
            <w:tcW w:w="2787" w:type="dxa"/>
            <w:tcBorders>
              <w:top w:val="single" w:sz="4" w:space="0" w:color="auto"/>
              <w:bottom w:val="single" w:sz="4" w:space="0" w:color="auto"/>
            </w:tcBorders>
          </w:tcPr>
          <w:p w14:paraId="5AE54B0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Children aged 5–17 years (n = 38)</w:t>
            </w:r>
          </w:p>
        </w:tc>
      </w:tr>
      <w:tr w:rsidR="00847942" w:rsidRPr="00847942" w14:paraId="0A8EAFA7" w14:textId="77777777" w:rsidTr="00C367E4">
        <w:tc>
          <w:tcPr>
            <w:tcW w:w="2835" w:type="dxa"/>
          </w:tcPr>
          <w:p w14:paraId="0A093232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Male gender</w:t>
            </w:r>
          </w:p>
        </w:tc>
        <w:tc>
          <w:tcPr>
            <w:tcW w:w="2127" w:type="dxa"/>
          </w:tcPr>
          <w:p w14:paraId="1DD76B1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11 (52.4%)</w:t>
            </w:r>
          </w:p>
        </w:tc>
        <w:tc>
          <w:tcPr>
            <w:tcW w:w="2693" w:type="dxa"/>
          </w:tcPr>
          <w:p w14:paraId="6C33999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21 (50.0%)</w:t>
            </w:r>
          </w:p>
        </w:tc>
        <w:tc>
          <w:tcPr>
            <w:tcW w:w="2787" w:type="dxa"/>
          </w:tcPr>
          <w:p w14:paraId="1298CA1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21 (55.3%)</w:t>
            </w:r>
          </w:p>
        </w:tc>
      </w:tr>
      <w:tr w:rsidR="00847942" w:rsidRPr="00847942" w14:paraId="02F8F3D4" w14:textId="77777777" w:rsidTr="00C367E4">
        <w:tc>
          <w:tcPr>
            <w:tcW w:w="2835" w:type="dxa"/>
          </w:tcPr>
          <w:p w14:paraId="1EF54979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Invasive disease</w:t>
            </w:r>
          </w:p>
        </w:tc>
        <w:tc>
          <w:tcPr>
            <w:tcW w:w="2127" w:type="dxa"/>
          </w:tcPr>
          <w:p w14:paraId="43107C7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 (10.0%)</w:t>
            </w:r>
          </w:p>
        </w:tc>
        <w:tc>
          <w:tcPr>
            <w:tcW w:w="2693" w:type="dxa"/>
          </w:tcPr>
          <w:p w14:paraId="6A832B48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14 (33.3%)</w:t>
            </w:r>
          </w:p>
        </w:tc>
        <w:tc>
          <w:tcPr>
            <w:tcW w:w="2787" w:type="dxa"/>
          </w:tcPr>
          <w:p w14:paraId="45204B6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9 (23.7%)</w:t>
            </w:r>
          </w:p>
        </w:tc>
      </w:tr>
      <w:tr w:rsidR="00847942" w:rsidRPr="00847942" w14:paraId="3C68E7E2" w14:textId="77777777" w:rsidTr="00C367E4">
        <w:tc>
          <w:tcPr>
            <w:tcW w:w="2835" w:type="dxa"/>
          </w:tcPr>
          <w:p w14:paraId="23AEBDD8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Risk factors</w:t>
            </w:r>
          </w:p>
        </w:tc>
        <w:tc>
          <w:tcPr>
            <w:tcW w:w="2127" w:type="dxa"/>
          </w:tcPr>
          <w:p w14:paraId="01B5D94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93" w:type="dxa"/>
          </w:tcPr>
          <w:p w14:paraId="385DEA3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7" w:type="dxa"/>
          </w:tcPr>
          <w:p w14:paraId="05EEFCE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47942" w:rsidRPr="00847942" w14:paraId="0499AE7D" w14:textId="77777777" w:rsidTr="00C367E4">
        <w:tc>
          <w:tcPr>
            <w:tcW w:w="2835" w:type="dxa"/>
          </w:tcPr>
          <w:p w14:paraId="1F94AB43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 High-risk diseases</w:t>
            </w:r>
          </w:p>
        </w:tc>
        <w:tc>
          <w:tcPr>
            <w:tcW w:w="2127" w:type="dxa"/>
          </w:tcPr>
          <w:p w14:paraId="257ADAD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693" w:type="dxa"/>
          </w:tcPr>
          <w:p w14:paraId="752B52F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 (2.4%)</w:t>
            </w:r>
          </w:p>
        </w:tc>
        <w:tc>
          <w:tcPr>
            <w:tcW w:w="2787" w:type="dxa"/>
          </w:tcPr>
          <w:p w14:paraId="1A1A78D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 (2.6%)</w:t>
            </w:r>
          </w:p>
        </w:tc>
      </w:tr>
      <w:tr w:rsidR="00847942" w:rsidRPr="00847942" w14:paraId="0D3FE81B" w14:textId="77777777" w:rsidTr="00C367E4">
        <w:tc>
          <w:tcPr>
            <w:tcW w:w="2835" w:type="dxa"/>
          </w:tcPr>
          <w:p w14:paraId="16C7AC9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 At-risk diseases</w:t>
            </w:r>
          </w:p>
        </w:tc>
        <w:tc>
          <w:tcPr>
            <w:tcW w:w="2127" w:type="dxa"/>
          </w:tcPr>
          <w:p w14:paraId="05357CD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 (10.0%)</w:t>
            </w:r>
          </w:p>
        </w:tc>
        <w:tc>
          <w:tcPr>
            <w:tcW w:w="2693" w:type="dxa"/>
          </w:tcPr>
          <w:p w14:paraId="700234D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 (2.4%)</w:t>
            </w:r>
          </w:p>
        </w:tc>
        <w:tc>
          <w:tcPr>
            <w:tcW w:w="2787" w:type="dxa"/>
          </w:tcPr>
          <w:p w14:paraId="1FB210E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3 (7.9%)</w:t>
            </w:r>
          </w:p>
        </w:tc>
      </w:tr>
      <w:tr w:rsidR="00847942" w:rsidRPr="00847942" w14:paraId="58572763" w14:textId="77777777" w:rsidTr="00C367E4">
        <w:tc>
          <w:tcPr>
            <w:tcW w:w="2835" w:type="dxa"/>
          </w:tcPr>
          <w:p w14:paraId="67B81A64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PCV7 serotype</w:t>
            </w:r>
          </w:p>
        </w:tc>
        <w:tc>
          <w:tcPr>
            <w:tcW w:w="2127" w:type="dxa"/>
          </w:tcPr>
          <w:p w14:paraId="1CD94C3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9 (42.9%)</w:t>
            </w:r>
          </w:p>
        </w:tc>
        <w:tc>
          <w:tcPr>
            <w:tcW w:w="2693" w:type="dxa"/>
          </w:tcPr>
          <w:p w14:paraId="574DA44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14 (33.3%)</w:t>
            </w:r>
          </w:p>
        </w:tc>
        <w:tc>
          <w:tcPr>
            <w:tcW w:w="2787" w:type="dxa"/>
          </w:tcPr>
          <w:p w14:paraId="58A54BB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10 (26.3%)</w:t>
            </w:r>
          </w:p>
        </w:tc>
      </w:tr>
      <w:tr w:rsidR="00847942" w:rsidRPr="00847942" w14:paraId="5720E88D" w14:textId="77777777" w:rsidTr="00C367E4">
        <w:tc>
          <w:tcPr>
            <w:tcW w:w="2835" w:type="dxa"/>
          </w:tcPr>
          <w:p w14:paraId="228EF4B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Additional PCV13 serotype</w:t>
            </w:r>
          </w:p>
        </w:tc>
        <w:tc>
          <w:tcPr>
            <w:tcW w:w="2127" w:type="dxa"/>
            <w:vAlign w:val="center"/>
          </w:tcPr>
          <w:p w14:paraId="614F75C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12 (57.1%)</w:t>
            </w:r>
          </w:p>
        </w:tc>
        <w:tc>
          <w:tcPr>
            <w:tcW w:w="2693" w:type="dxa"/>
            <w:vAlign w:val="center"/>
          </w:tcPr>
          <w:p w14:paraId="40658CC9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28 (66.7%)</w:t>
            </w:r>
          </w:p>
        </w:tc>
        <w:tc>
          <w:tcPr>
            <w:tcW w:w="2787" w:type="dxa"/>
          </w:tcPr>
          <w:p w14:paraId="12D6D7C9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28 (73.7%)</w:t>
            </w:r>
          </w:p>
        </w:tc>
      </w:tr>
      <w:tr w:rsidR="00847942" w:rsidRPr="00847942" w14:paraId="3635D7C1" w14:textId="77777777" w:rsidTr="00C367E4">
        <w:tc>
          <w:tcPr>
            <w:tcW w:w="2835" w:type="dxa"/>
          </w:tcPr>
          <w:p w14:paraId="24863B59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Immunization schedule</w:t>
            </w:r>
          </w:p>
        </w:tc>
        <w:tc>
          <w:tcPr>
            <w:tcW w:w="2127" w:type="dxa"/>
            <w:vAlign w:val="center"/>
          </w:tcPr>
          <w:p w14:paraId="4C9F7BCE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693" w:type="dxa"/>
            <w:vAlign w:val="center"/>
          </w:tcPr>
          <w:p w14:paraId="1D5D69B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87" w:type="dxa"/>
          </w:tcPr>
          <w:p w14:paraId="23ACC608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847942" w:rsidRPr="00847942" w14:paraId="0BBF4E86" w14:textId="77777777" w:rsidTr="00C367E4">
        <w:tc>
          <w:tcPr>
            <w:tcW w:w="2835" w:type="dxa"/>
          </w:tcPr>
          <w:p w14:paraId="4AA2DF74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 Full PCV7 series</w:t>
            </w:r>
          </w:p>
        </w:tc>
        <w:tc>
          <w:tcPr>
            <w:tcW w:w="2127" w:type="dxa"/>
            <w:vAlign w:val="center"/>
          </w:tcPr>
          <w:p w14:paraId="656344E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693" w:type="dxa"/>
            <w:vAlign w:val="center"/>
          </w:tcPr>
          <w:p w14:paraId="2C570AA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787" w:type="dxa"/>
          </w:tcPr>
          <w:p w14:paraId="223FFC5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3 (7.9%)</w:t>
            </w:r>
          </w:p>
        </w:tc>
      </w:tr>
      <w:tr w:rsidR="00847942" w:rsidRPr="00847942" w14:paraId="3D871262" w14:textId="77777777" w:rsidTr="00C367E4">
        <w:tc>
          <w:tcPr>
            <w:tcW w:w="2835" w:type="dxa"/>
          </w:tcPr>
          <w:p w14:paraId="45342CC4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 Full PCV13 series</w:t>
            </w:r>
          </w:p>
        </w:tc>
        <w:tc>
          <w:tcPr>
            <w:tcW w:w="2127" w:type="dxa"/>
            <w:vAlign w:val="center"/>
          </w:tcPr>
          <w:p w14:paraId="7DA63CF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20 (95.2%)</w:t>
            </w:r>
          </w:p>
        </w:tc>
        <w:tc>
          <w:tcPr>
            <w:tcW w:w="2693" w:type="dxa"/>
            <w:vAlign w:val="center"/>
          </w:tcPr>
          <w:p w14:paraId="6D7E6AF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23 (54.8%)</w:t>
            </w:r>
          </w:p>
        </w:tc>
        <w:tc>
          <w:tcPr>
            <w:tcW w:w="2787" w:type="dxa"/>
          </w:tcPr>
          <w:p w14:paraId="25DA29E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9 (23.7%)</w:t>
            </w:r>
          </w:p>
        </w:tc>
      </w:tr>
      <w:tr w:rsidR="00847942" w:rsidRPr="00847942" w14:paraId="5876137E" w14:textId="77777777" w:rsidTr="00C367E4">
        <w:tc>
          <w:tcPr>
            <w:tcW w:w="2835" w:type="dxa"/>
          </w:tcPr>
          <w:p w14:paraId="01D916A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 PCV13 catch-up</w:t>
            </w:r>
          </w:p>
        </w:tc>
        <w:tc>
          <w:tcPr>
            <w:tcW w:w="2127" w:type="dxa"/>
            <w:vAlign w:val="center"/>
          </w:tcPr>
          <w:p w14:paraId="0047422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 (4.8%)</w:t>
            </w:r>
          </w:p>
        </w:tc>
        <w:tc>
          <w:tcPr>
            <w:tcW w:w="2693" w:type="dxa"/>
            <w:vAlign w:val="center"/>
          </w:tcPr>
          <w:p w14:paraId="48C206E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19 (45.2%)</w:t>
            </w:r>
          </w:p>
        </w:tc>
        <w:tc>
          <w:tcPr>
            <w:tcW w:w="2787" w:type="dxa"/>
          </w:tcPr>
          <w:p w14:paraId="568F748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26 (68.4%)</w:t>
            </w:r>
          </w:p>
        </w:tc>
      </w:tr>
      <w:tr w:rsidR="00847942" w:rsidRPr="00847942" w14:paraId="00DF0BDE" w14:textId="77777777" w:rsidTr="00701571">
        <w:tc>
          <w:tcPr>
            <w:tcW w:w="2835" w:type="dxa"/>
            <w:tcBorders>
              <w:bottom w:val="single" w:sz="4" w:space="0" w:color="auto"/>
            </w:tcBorders>
          </w:tcPr>
          <w:p w14:paraId="44D6A84F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Length of stay (day) 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7A03A8E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4 (0–7.3)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97292D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7 (2.3–11.3)</w:t>
            </w:r>
          </w:p>
        </w:tc>
        <w:tc>
          <w:tcPr>
            <w:tcW w:w="2787" w:type="dxa"/>
            <w:tcBorders>
              <w:bottom w:val="single" w:sz="4" w:space="0" w:color="auto"/>
            </w:tcBorders>
          </w:tcPr>
          <w:p w14:paraId="3B77E02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3 (0–8.0)</w:t>
            </w:r>
          </w:p>
        </w:tc>
      </w:tr>
      <w:tr w:rsidR="00847942" w:rsidRPr="00847942" w14:paraId="643D4033" w14:textId="77777777" w:rsidTr="00F231D9">
        <w:tc>
          <w:tcPr>
            <w:tcW w:w="10442" w:type="dxa"/>
            <w:gridSpan w:val="4"/>
            <w:tcBorders>
              <w:top w:val="single" w:sz="4" w:space="0" w:color="auto"/>
            </w:tcBorders>
          </w:tcPr>
          <w:p w14:paraId="161C9204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median (interquartile range); </w:t>
            </w:r>
          </w:p>
          <w:p w14:paraId="611A4F6F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“High-risk diseases” for pneumococcal infection were asplenia, cochlear implants, cerebrospinal f</w:t>
            </w:r>
            <w:bookmarkStart w:id="0" w:name="_GoBack"/>
            <w:bookmarkEnd w:id="0"/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luid leakage, malignancy, immunodeficiency, and immunosuppression; “At-risk diseases” for pneumococcal infection were chronic heart disease, chronic lung disease, chronic liver disease, and diabetes mellitus; “Full PCV7 series” was receiving 2 or 3 primary PCV7 doses and 1 PCV7 booster; “Full PCV13 series” was receiving 2 or 3 primary PCV13 doses and 1 PCV13 booster; “PCV13 catch-up” was receiving 1–2 doses of PCV13 after 1 year of age.</w:t>
            </w:r>
          </w:p>
          <w:p w14:paraId="01E25E03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70207D54" w14:textId="77777777" w:rsidR="0071684A" w:rsidRPr="00847942" w:rsidRDefault="0071684A">
      <w:pPr>
        <w:rPr>
          <w:rFonts w:ascii="Times New Roman" w:hAnsi="Times New Roman" w:cs="Times New Roman"/>
          <w:bCs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bCs/>
          <w:color w:val="000000" w:themeColor="text1"/>
          <w:szCs w:val="24"/>
        </w:rPr>
        <w:br w:type="page"/>
      </w:r>
    </w:p>
    <w:p w14:paraId="4A6B1FAE" w14:textId="77777777" w:rsidR="0071684A" w:rsidRPr="00847942" w:rsidRDefault="0071684A">
      <w:pPr>
        <w:rPr>
          <w:rFonts w:ascii="Times New Roman" w:hAnsi="Times New Roman" w:cs="Times New Roman"/>
          <w:bCs/>
          <w:color w:val="000000" w:themeColor="text1"/>
          <w:szCs w:val="24"/>
        </w:rPr>
      </w:pPr>
    </w:p>
    <w:tbl>
      <w:tblPr>
        <w:tblStyle w:val="af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843"/>
        <w:gridCol w:w="1843"/>
        <w:gridCol w:w="1134"/>
      </w:tblGrid>
      <w:tr w:rsidR="00847942" w:rsidRPr="00847942" w14:paraId="0E55435C" w14:textId="77777777" w:rsidTr="00EF3ABE">
        <w:tc>
          <w:tcPr>
            <w:tcW w:w="8222" w:type="dxa"/>
            <w:gridSpan w:val="4"/>
            <w:tcBorders>
              <w:bottom w:val="single" w:sz="4" w:space="0" w:color="auto"/>
            </w:tcBorders>
          </w:tcPr>
          <w:p w14:paraId="4B40C1BD" w14:textId="2CBBDBFA" w:rsidR="0071684A" w:rsidRPr="00847942" w:rsidRDefault="00701571" w:rsidP="00EF3AB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Supplementary </w:t>
            </w:r>
            <w:r w:rsidR="0071684A"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Table 2</w:t>
            </w:r>
            <w:r w:rsidR="0071684A" w:rsidRPr="00847942">
              <w:rPr>
                <w:rFonts w:ascii="Times New Roman" w:hAnsi="Times New Roman" w:cs="Times New Roman" w:hint="eastAsia"/>
                <w:bCs/>
                <w:color w:val="000000" w:themeColor="text1"/>
                <w:spacing w:val="120"/>
              </w:rPr>
              <w:t xml:space="preserve"> </w:t>
            </w:r>
            <w:r w:rsidR="0071684A" w:rsidRPr="00847942">
              <w:rPr>
                <w:rFonts w:ascii="Times New Roman" w:hAnsi="Times New Roman" w:cs="Times New Roman"/>
                <w:color w:val="000000" w:themeColor="text1"/>
              </w:rPr>
              <w:t>Serotype-specific IgG antibody concentrations (</w:t>
            </w:r>
            <w:bookmarkStart w:id="1" w:name="OLE_LINK1"/>
            <w:r w:rsidR="0071684A" w:rsidRPr="00847942">
              <w:rPr>
                <w:rFonts w:ascii="Times New Roman" w:hAnsi="Times New Roman" w:cs="Times New Roman"/>
                <w:color w:val="000000" w:themeColor="text1"/>
              </w:rPr>
              <w:t>µg/ml</w:t>
            </w:r>
            <w:bookmarkEnd w:id="1"/>
            <w:r w:rsidR="0071684A" w:rsidRPr="00847942">
              <w:rPr>
                <w:rFonts w:ascii="Times New Roman" w:hAnsi="Times New Roman" w:cs="Times New Roman"/>
                <w:color w:val="000000" w:themeColor="text1"/>
              </w:rPr>
              <w:t>) in children before and one month after an additional PCV13 booster</w:t>
            </w:r>
            <w:r w:rsidR="00F752B9" w:rsidRPr="00847942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847942" w:rsidRPr="00847942" w14:paraId="76CFFC10" w14:textId="77777777" w:rsidTr="00EF3ABE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805CFC6" w14:textId="77777777" w:rsidR="0071684A" w:rsidRPr="00847942" w:rsidRDefault="0071684A" w:rsidP="00EF3A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200D758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Pre-Booster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51FA8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Post-Booster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05B3C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847942" w:rsidRPr="00847942" w14:paraId="1CED4255" w14:textId="77777777" w:rsidTr="00EF3ABE">
        <w:tc>
          <w:tcPr>
            <w:tcW w:w="3402" w:type="dxa"/>
          </w:tcPr>
          <w:p w14:paraId="2405F95C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3</w:t>
            </w:r>
          </w:p>
        </w:tc>
        <w:tc>
          <w:tcPr>
            <w:tcW w:w="1843" w:type="dxa"/>
          </w:tcPr>
          <w:p w14:paraId="143C088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5E1FEF2B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</w:tcPr>
          <w:p w14:paraId="0A273372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6C650D04" w14:textId="77777777" w:rsidTr="00EF3ABE">
        <w:tc>
          <w:tcPr>
            <w:tcW w:w="3402" w:type="dxa"/>
          </w:tcPr>
          <w:p w14:paraId="551666E8" w14:textId="77777777" w:rsidR="0071684A" w:rsidRPr="00847942" w:rsidRDefault="0071684A" w:rsidP="00EF3ABE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 Breakthrough infection group</w:t>
            </w:r>
          </w:p>
        </w:tc>
        <w:tc>
          <w:tcPr>
            <w:tcW w:w="1843" w:type="dxa"/>
          </w:tcPr>
          <w:p w14:paraId="5776BCA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0.28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(0.19–0.31)</w:t>
            </w:r>
          </w:p>
        </w:tc>
        <w:tc>
          <w:tcPr>
            <w:tcW w:w="1843" w:type="dxa"/>
          </w:tcPr>
          <w:p w14:paraId="0131365B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0.51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(0.45–0.67)</w:t>
            </w:r>
          </w:p>
        </w:tc>
        <w:tc>
          <w:tcPr>
            <w:tcW w:w="1134" w:type="dxa"/>
          </w:tcPr>
          <w:p w14:paraId="57FEFE0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0.0076</w:t>
            </w:r>
          </w:p>
        </w:tc>
      </w:tr>
      <w:tr w:rsidR="00847942" w:rsidRPr="00847942" w14:paraId="1893FECB" w14:textId="77777777" w:rsidTr="00EF3ABE">
        <w:tc>
          <w:tcPr>
            <w:tcW w:w="3402" w:type="dxa"/>
          </w:tcPr>
          <w:p w14:paraId="7BB14504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843" w:type="dxa"/>
          </w:tcPr>
          <w:p w14:paraId="5AB1A05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0.30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(0.28–0.31)</w:t>
            </w:r>
          </w:p>
        </w:tc>
        <w:tc>
          <w:tcPr>
            <w:tcW w:w="1843" w:type="dxa"/>
          </w:tcPr>
          <w:p w14:paraId="6B60129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0.46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(0.43–0.48)</w:t>
            </w:r>
          </w:p>
        </w:tc>
        <w:tc>
          <w:tcPr>
            <w:tcW w:w="1134" w:type="dxa"/>
          </w:tcPr>
          <w:p w14:paraId="5FB75DB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36E350FD" w14:textId="77777777" w:rsidTr="00EF3ABE">
        <w:tc>
          <w:tcPr>
            <w:tcW w:w="3402" w:type="dxa"/>
          </w:tcPr>
          <w:p w14:paraId="00A2712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</w:tcPr>
          <w:p w14:paraId="72DB18D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0.1674</w:t>
            </w:r>
          </w:p>
        </w:tc>
        <w:tc>
          <w:tcPr>
            <w:tcW w:w="1843" w:type="dxa"/>
          </w:tcPr>
          <w:p w14:paraId="5A53E03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0.1638</w:t>
            </w:r>
          </w:p>
        </w:tc>
        <w:tc>
          <w:tcPr>
            <w:tcW w:w="1134" w:type="dxa"/>
          </w:tcPr>
          <w:p w14:paraId="5ECE997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2EB630E3" w14:textId="77777777" w:rsidTr="00EF3ABE">
        <w:tc>
          <w:tcPr>
            <w:tcW w:w="3402" w:type="dxa"/>
          </w:tcPr>
          <w:p w14:paraId="49A6C80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1E55D299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5D7D07A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</w:tcPr>
          <w:p w14:paraId="209C7EB9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19D1F44" w14:textId="77777777" w:rsidTr="00EF3ABE">
        <w:tc>
          <w:tcPr>
            <w:tcW w:w="3402" w:type="dxa"/>
          </w:tcPr>
          <w:p w14:paraId="1E7E385A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14</w:t>
            </w:r>
          </w:p>
        </w:tc>
        <w:tc>
          <w:tcPr>
            <w:tcW w:w="1843" w:type="dxa"/>
          </w:tcPr>
          <w:p w14:paraId="6B449DE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426A6C2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</w:tcPr>
          <w:p w14:paraId="07C3E7B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13E6D707" w14:textId="77777777" w:rsidTr="00EF3ABE">
        <w:tc>
          <w:tcPr>
            <w:tcW w:w="3402" w:type="dxa"/>
          </w:tcPr>
          <w:p w14:paraId="03C527A2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1843" w:type="dxa"/>
          </w:tcPr>
          <w:p w14:paraId="3D8E209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0.69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(0.52–0.94)</w:t>
            </w:r>
          </w:p>
        </w:tc>
        <w:tc>
          <w:tcPr>
            <w:tcW w:w="1843" w:type="dxa"/>
          </w:tcPr>
          <w:p w14:paraId="1085CCD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1.96 (1.85–2.13)</w:t>
            </w:r>
          </w:p>
        </w:tc>
        <w:tc>
          <w:tcPr>
            <w:tcW w:w="1134" w:type="dxa"/>
          </w:tcPr>
          <w:p w14:paraId="780FDEE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0D95F92B" w14:textId="77777777" w:rsidTr="00EF3ABE">
        <w:tc>
          <w:tcPr>
            <w:tcW w:w="3402" w:type="dxa"/>
          </w:tcPr>
          <w:p w14:paraId="19D3E74F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843" w:type="dxa"/>
          </w:tcPr>
          <w:p w14:paraId="715D8B4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0.57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(0.52–0.61)</w:t>
            </w:r>
          </w:p>
        </w:tc>
        <w:tc>
          <w:tcPr>
            <w:tcW w:w="1843" w:type="dxa"/>
          </w:tcPr>
          <w:p w14:paraId="2CB50AD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0.99 (0.91–1.12)</w:t>
            </w:r>
          </w:p>
        </w:tc>
        <w:tc>
          <w:tcPr>
            <w:tcW w:w="1134" w:type="dxa"/>
          </w:tcPr>
          <w:p w14:paraId="386ECC0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5278DC1C" w14:textId="77777777" w:rsidTr="00EF3ABE">
        <w:tc>
          <w:tcPr>
            <w:tcW w:w="3402" w:type="dxa"/>
          </w:tcPr>
          <w:p w14:paraId="4D84AB2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</w:tcPr>
          <w:p w14:paraId="75A7E54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0.0647</w:t>
            </w:r>
          </w:p>
        </w:tc>
        <w:tc>
          <w:tcPr>
            <w:tcW w:w="1843" w:type="dxa"/>
          </w:tcPr>
          <w:p w14:paraId="45134E93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0.0002</w:t>
            </w:r>
          </w:p>
        </w:tc>
        <w:tc>
          <w:tcPr>
            <w:tcW w:w="1134" w:type="dxa"/>
          </w:tcPr>
          <w:p w14:paraId="10BA346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72BF8394" w14:textId="77777777" w:rsidTr="00EF3ABE">
        <w:tc>
          <w:tcPr>
            <w:tcW w:w="3402" w:type="dxa"/>
          </w:tcPr>
          <w:p w14:paraId="01A0FAB6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17BED81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0F75624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134" w:type="dxa"/>
          </w:tcPr>
          <w:p w14:paraId="2548BE7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7BDA5710" w14:textId="77777777" w:rsidTr="00EF3ABE">
        <w:tc>
          <w:tcPr>
            <w:tcW w:w="3402" w:type="dxa"/>
          </w:tcPr>
          <w:p w14:paraId="3827AAA2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19</w:t>
            </w:r>
          </w:p>
        </w:tc>
        <w:tc>
          <w:tcPr>
            <w:tcW w:w="1843" w:type="dxa"/>
          </w:tcPr>
          <w:p w14:paraId="64C9CD42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2CD456F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</w:tcPr>
          <w:p w14:paraId="6918EA1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35C6BC10" w14:textId="77777777" w:rsidTr="00EF3ABE">
        <w:tc>
          <w:tcPr>
            <w:tcW w:w="3402" w:type="dxa"/>
          </w:tcPr>
          <w:p w14:paraId="024AFCAC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1843" w:type="dxa"/>
          </w:tcPr>
          <w:p w14:paraId="11CC0FB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0.91 (0.56–0.98)</w:t>
            </w:r>
          </w:p>
        </w:tc>
        <w:tc>
          <w:tcPr>
            <w:tcW w:w="1843" w:type="dxa"/>
          </w:tcPr>
          <w:p w14:paraId="5C832F3A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2.51 (1.99–2.91)</w:t>
            </w:r>
          </w:p>
        </w:tc>
        <w:tc>
          <w:tcPr>
            <w:tcW w:w="1134" w:type="dxa"/>
          </w:tcPr>
          <w:p w14:paraId="2FB7B5D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19F73546" w14:textId="77777777" w:rsidTr="00EF3ABE">
        <w:tc>
          <w:tcPr>
            <w:tcW w:w="3402" w:type="dxa"/>
          </w:tcPr>
          <w:p w14:paraId="242980F0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843" w:type="dxa"/>
          </w:tcPr>
          <w:p w14:paraId="674449D5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0.65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(0.58–0.67)</w:t>
            </w:r>
          </w:p>
        </w:tc>
        <w:tc>
          <w:tcPr>
            <w:tcW w:w="1843" w:type="dxa"/>
          </w:tcPr>
          <w:p w14:paraId="41D157A1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  <w:t>1.25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(1.21–1.31)</w:t>
            </w:r>
          </w:p>
        </w:tc>
        <w:tc>
          <w:tcPr>
            <w:tcW w:w="1134" w:type="dxa"/>
          </w:tcPr>
          <w:p w14:paraId="171BA0D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65F8753C" w14:textId="77777777" w:rsidTr="00701571">
        <w:tc>
          <w:tcPr>
            <w:tcW w:w="3402" w:type="dxa"/>
            <w:tcBorders>
              <w:bottom w:val="single" w:sz="4" w:space="0" w:color="auto"/>
            </w:tcBorders>
          </w:tcPr>
          <w:p w14:paraId="3BC382F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685057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0.0165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2F931A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2B235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71684A" w:rsidRPr="00847942" w14:paraId="5075D13C" w14:textId="77777777" w:rsidTr="00701571">
        <w:tc>
          <w:tcPr>
            <w:tcW w:w="8222" w:type="dxa"/>
            <w:gridSpan w:val="4"/>
            <w:tcBorders>
              <w:top w:val="single" w:sz="4" w:space="0" w:color="auto"/>
            </w:tcBorders>
          </w:tcPr>
          <w:p w14:paraId="07151FE9" w14:textId="0BFD090F" w:rsidR="0071684A" w:rsidRPr="00847942" w:rsidRDefault="00F752B9" w:rsidP="00F752B9">
            <w:pPr>
              <w:snapToGrid w:val="0"/>
              <w:spacing w:before="120"/>
              <w:ind w:leftChars="11" w:left="168" w:hangingChars="71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* </w:t>
            </w:r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(95% CI)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proofErr w:type="spellStart"/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="0071684A"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proofErr w:type="spellEnd"/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pre-booster and post-booster.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="0071684A"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proofErr w:type="spellEnd"/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breakthrough infection group and healthy control group.</w:t>
            </w:r>
          </w:p>
        </w:tc>
      </w:tr>
    </w:tbl>
    <w:p w14:paraId="0160A5E2" w14:textId="77777777" w:rsidR="0071684A" w:rsidRPr="00847942" w:rsidRDefault="0071684A">
      <w:pPr>
        <w:rPr>
          <w:rFonts w:ascii="Times New Roman" w:hAnsi="Times New Roman" w:cs="Times New Roman"/>
          <w:bCs/>
          <w:color w:val="000000" w:themeColor="text1"/>
          <w:szCs w:val="24"/>
        </w:rPr>
      </w:pPr>
    </w:p>
    <w:p w14:paraId="321B62A3" w14:textId="77777777" w:rsidR="00701571" w:rsidRPr="00847942" w:rsidRDefault="00701571">
      <w:pPr>
        <w:rPr>
          <w:rFonts w:ascii="Times New Roman" w:hAnsi="Times New Roman" w:cs="Times New Roman"/>
          <w:bCs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bCs/>
          <w:color w:val="000000" w:themeColor="text1"/>
          <w:szCs w:val="24"/>
        </w:rPr>
        <w:br w:type="page"/>
      </w:r>
    </w:p>
    <w:p w14:paraId="702ED073" w14:textId="77777777" w:rsidR="0071684A" w:rsidRPr="00847942" w:rsidRDefault="0071684A">
      <w:pPr>
        <w:rPr>
          <w:rFonts w:ascii="Times New Roman" w:hAnsi="Times New Roman" w:cs="Times New Roman"/>
          <w:bCs/>
          <w:color w:val="000000" w:themeColor="text1"/>
          <w:szCs w:val="24"/>
        </w:rPr>
      </w:pPr>
    </w:p>
    <w:tbl>
      <w:tblPr>
        <w:tblStyle w:val="af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985"/>
        <w:gridCol w:w="1984"/>
        <w:gridCol w:w="1985"/>
      </w:tblGrid>
      <w:tr w:rsidR="00847942" w:rsidRPr="00847942" w14:paraId="7440B126" w14:textId="77777777" w:rsidTr="00EF3ABE">
        <w:tc>
          <w:tcPr>
            <w:tcW w:w="9356" w:type="dxa"/>
            <w:gridSpan w:val="4"/>
            <w:tcBorders>
              <w:bottom w:val="single" w:sz="4" w:space="0" w:color="auto"/>
            </w:tcBorders>
          </w:tcPr>
          <w:p w14:paraId="52391DFF" w14:textId="260C45A4" w:rsidR="0071684A" w:rsidRPr="00847942" w:rsidRDefault="00701571" w:rsidP="00EF3AB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Supplementary</w:t>
            </w:r>
            <w:r w:rsidR="00F752B9"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71684A"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Table 3</w:t>
            </w:r>
            <w:r w:rsidR="00F752B9" w:rsidRPr="00847942">
              <w:rPr>
                <w:rFonts w:ascii="Times New Roman" w:hAnsi="Times New Roman" w:cs="Times New Roman" w:hint="eastAsia"/>
                <w:b/>
                <w:bCs/>
                <w:color w:val="000000" w:themeColor="text1"/>
                <w:spacing w:val="120"/>
              </w:rPr>
              <w:t xml:space="preserve"> </w:t>
            </w:r>
            <w:r w:rsidR="0071684A" w:rsidRPr="00847942">
              <w:rPr>
                <w:rFonts w:ascii="Times New Roman" w:hAnsi="Times New Roman" w:cs="Times New Roman"/>
                <w:color w:val="000000" w:themeColor="text1"/>
              </w:rPr>
              <w:t>Post-booster/pre-booster geometric mean ratios in children one month after an additional PCV13 booster</w:t>
            </w:r>
            <w:r w:rsidR="00F752B9" w:rsidRPr="00847942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847942" w:rsidRPr="00847942" w14:paraId="0BE543AF" w14:textId="77777777" w:rsidTr="00EF3ABE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70D9061F" w14:textId="77777777" w:rsidR="0071684A" w:rsidRPr="00847942" w:rsidRDefault="0071684A" w:rsidP="00EF3ABE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0CCD543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IgG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D1E4AD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IgM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MBC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E2B3D8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847942">
              <w:rPr>
                <w:rFonts w:ascii="Times New Roman" w:hAnsi="Times New Roman" w:cs="Times New Roman"/>
                <w:color w:val="000000" w:themeColor="text1"/>
              </w:rPr>
              <w:t>sIg</w:t>
            </w:r>
            <w:proofErr w:type="spellEnd"/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MBC</w:t>
            </w:r>
          </w:p>
        </w:tc>
      </w:tr>
      <w:tr w:rsidR="00847942" w:rsidRPr="00847942" w14:paraId="190D39DB" w14:textId="77777777" w:rsidTr="00EF3ABE">
        <w:tc>
          <w:tcPr>
            <w:tcW w:w="3402" w:type="dxa"/>
          </w:tcPr>
          <w:p w14:paraId="756254FB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3</w:t>
            </w:r>
          </w:p>
        </w:tc>
        <w:tc>
          <w:tcPr>
            <w:tcW w:w="1985" w:type="dxa"/>
          </w:tcPr>
          <w:p w14:paraId="58631B2A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</w:tcPr>
          <w:p w14:paraId="6D160F5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025885A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602B7E87" w14:textId="77777777" w:rsidTr="00EF3ABE">
        <w:tc>
          <w:tcPr>
            <w:tcW w:w="3402" w:type="dxa"/>
          </w:tcPr>
          <w:p w14:paraId="2B7151A4" w14:textId="77777777" w:rsidR="0071684A" w:rsidRPr="00847942" w:rsidRDefault="0071684A" w:rsidP="00EF3ABE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 Breakthrough infection group</w:t>
            </w:r>
          </w:p>
        </w:tc>
        <w:tc>
          <w:tcPr>
            <w:tcW w:w="1985" w:type="dxa"/>
          </w:tcPr>
          <w:p w14:paraId="3555CB35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1.86 (1.61–2,62)</w:t>
            </w:r>
          </w:p>
        </w:tc>
        <w:tc>
          <w:tcPr>
            <w:tcW w:w="1984" w:type="dxa"/>
          </w:tcPr>
          <w:p w14:paraId="376186CC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2.25 (1.95–3.45)</w:t>
            </w:r>
          </w:p>
        </w:tc>
        <w:tc>
          <w:tcPr>
            <w:tcW w:w="1985" w:type="dxa"/>
          </w:tcPr>
          <w:p w14:paraId="337D1215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2.39 (1.97– 2.64)</w:t>
            </w:r>
          </w:p>
        </w:tc>
      </w:tr>
      <w:tr w:rsidR="00847942" w:rsidRPr="00847942" w14:paraId="6A22A61C" w14:textId="77777777" w:rsidTr="00EF3ABE">
        <w:tc>
          <w:tcPr>
            <w:tcW w:w="3402" w:type="dxa"/>
          </w:tcPr>
          <w:p w14:paraId="7FA1E525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985" w:type="dxa"/>
          </w:tcPr>
          <w:p w14:paraId="00E0B00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1.58 (1.47–1.66)</w:t>
            </w:r>
          </w:p>
        </w:tc>
        <w:tc>
          <w:tcPr>
            <w:tcW w:w="1984" w:type="dxa"/>
          </w:tcPr>
          <w:p w14:paraId="46CEED6A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1.71 (1.61–1.80)</w:t>
            </w:r>
          </w:p>
        </w:tc>
        <w:tc>
          <w:tcPr>
            <w:tcW w:w="1985" w:type="dxa"/>
          </w:tcPr>
          <w:p w14:paraId="0B76DDAB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1.75 (1.64–1.85)</w:t>
            </w:r>
          </w:p>
        </w:tc>
      </w:tr>
      <w:tr w:rsidR="00847942" w:rsidRPr="00847942" w14:paraId="3E207BC4" w14:textId="77777777" w:rsidTr="00EF3ABE">
        <w:tc>
          <w:tcPr>
            <w:tcW w:w="3402" w:type="dxa"/>
          </w:tcPr>
          <w:p w14:paraId="4E4B7AD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</w:p>
        </w:tc>
        <w:tc>
          <w:tcPr>
            <w:tcW w:w="1985" w:type="dxa"/>
          </w:tcPr>
          <w:p w14:paraId="40B3FE1E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0.0164</w:t>
            </w:r>
          </w:p>
        </w:tc>
        <w:tc>
          <w:tcPr>
            <w:tcW w:w="1984" w:type="dxa"/>
          </w:tcPr>
          <w:p w14:paraId="54289C5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0.0042</w:t>
            </w:r>
          </w:p>
        </w:tc>
        <w:tc>
          <w:tcPr>
            <w:tcW w:w="1985" w:type="dxa"/>
          </w:tcPr>
          <w:p w14:paraId="35028E79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0.0029</w:t>
            </w:r>
          </w:p>
        </w:tc>
      </w:tr>
      <w:tr w:rsidR="00847942" w:rsidRPr="00847942" w14:paraId="7A125268" w14:textId="77777777" w:rsidTr="00EF3ABE">
        <w:tc>
          <w:tcPr>
            <w:tcW w:w="3402" w:type="dxa"/>
          </w:tcPr>
          <w:p w14:paraId="7F38F6C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47610631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</w:tcPr>
          <w:p w14:paraId="7037590B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165FF3A2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50056D9" w14:textId="77777777" w:rsidTr="00EF3ABE">
        <w:tc>
          <w:tcPr>
            <w:tcW w:w="3402" w:type="dxa"/>
          </w:tcPr>
          <w:p w14:paraId="2BF067B4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14</w:t>
            </w:r>
          </w:p>
        </w:tc>
        <w:tc>
          <w:tcPr>
            <w:tcW w:w="1985" w:type="dxa"/>
          </w:tcPr>
          <w:p w14:paraId="40C72B0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</w:tcPr>
          <w:p w14:paraId="33CB503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19D11431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F04B712" w14:textId="77777777" w:rsidTr="00EF3ABE">
        <w:tc>
          <w:tcPr>
            <w:tcW w:w="3402" w:type="dxa"/>
          </w:tcPr>
          <w:p w14:paraId="79107B66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1985" w:type="dxa"/>
          </w:tcPr>
          <w:p w14:paraId="085AFD95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2.59 (2.25–3.78)</w:t>
            </w:r>
          </w:p>
        </w:tc>
        <w:tc>
          <w:tcPr>
            <w:tcW w:w="1984" w:type="dxa"/>
          </w:tcPr>
          <w:p w14:paraId="25BEE49E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3.52 (2.13–4.51)</w:t>
            </w:r>
          </w:p>
        </w:tc>
        <w:tc>
          <w:tcPr>
            <w:tcW w:w="1985" w:type="dxa"/>
          </w:tcPr>
          <w:p w14:paraId="275550AD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1.93 (1.56–2.12)</w:t>
            </w:r>
          </w:p>
        </w:tc>
      </w:tr>
      <w:tr w:rsidR="00847942" w:rsidRPr="00847942" w14:paraId="158DAB6D" w14:textId="77777777" w:rsidTr="00EF3ABE">
        <w:tc>
          <w:tcPr>
            <w:tcW w:w="3402" w:type="dxa"/>
          </w:tcPr>
          <w:p w14:paraId="42EFE62F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985" w:type="dxa"/>
          </w:tcPr>
          <w:p w14:paraId="085E7F35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1.77 (1.65–2.10)</w:t>
            </w:r>
          </w:p>
        </w:tc>
        <w:tc>
          <w:tcPr>
            <w:tcW w:w="1984" w:type="dxa"/>
          </w:tcPr>
          <w:p w14:paraId="2C42B779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1.61 (1.50–1.78)</w:t>
            </w:r>
          </w:p>
        </w:tc>
        <w:tc>
          <w:tcPr>
            <w:tcW w:w="1985" w:type="dxa"/>
          </w:tcPr>
          <w:p w14:paraId="16855EAC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1.60 (1.54–1.77)</w:t>
            </w:r>
          </w:p>
        </w:tc>
      </w:tr>
      <w:tr w:rsidR="00847942" w:rsidRPr="00847942" w14:paraId="23D08437" w14:textId="77777777" w:rsidTr="00EF3ABE">
        <w:tc>
          <w:tcPr>
            <w:tcW w:w="3402" w:type="dxa"/>
          </w:tcPr>
          <w:p w14:paraId="76F63E4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</w:p>
        </w:tc>
        <w:tc>
          <w:tcPr>
            <w:tcW w:w="1985" w:type="dxa"/>
          </w:tcPr>
          <w:p w14:paraId="5FBF0C4B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0.0132</w:t>
            </w:r>
          </w:p>
        </w:tc>
        <w:tc>
          <w:tcPr>
            <w:tcW w:w="1984" w:type="dxa"/>
          </w:tcPr>
          <w:p w14:paraId="3F477A94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0.0010</w:t>
            </w:r>
          </w:p>
        </w:tc>
        <w:tc>
          <w:tcPr>
            <w:tcW w:w="1985" w:type="dxa"/>
          </w:tcPr>
          <w:p w14:paraId="343657BC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0.3926</w:t>
            </w:r>
          </w:p>
        </w:tc>
      </w:tr>
      <w:tr w:rsidR="00847942" w:rsidRPr="00847942" w14:paraId="7A6FF485" w14:textId="77777777" w:rsidTr="00EF3ABE">
        <w:tc>
          <w:tcPr>
            <w:tcW w:w="3402" w:type="dxa"/>
          </w:tcPr>
          <w:p w14:paraId="116CFF4F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1D8B3E9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</w:tcPr>
          <w:p w14:paraId="01EBCB05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4DD834D7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26004D83" w14:textId="77777777" w:rsidTr="00EF3ABE">
        <w:tc>
          <w:tcPr>
            <w:tcW w:w="3402" w:type="dxa"/>
          </w:tcPr>
          <w:p w14:paraId="3404900C" w14:textId="77777777" w:rsidR="0071684A" w:rsidRPr="00847942" w:rsidRDefault="0071684A" w:rsidP="00EF3ABE">
            <w:pP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Serotype 19</w:t>
            </w:r>
          </w:p>
        </w:tc>
        <w:tc>
          <w:tcPr>
            <w:tcW w:w="1985" w:type="dxa"/>
          </w:tcPr>
          <w:p w14:paraId="2E16EE68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</w:tcPr>
          <w:p w14:paraId="40C4E1A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85" w:type="dxa"/>
          </w:tcPr>
          <w:p w14:paraId="5C117D49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5C11B4F" w14:textId="77777777" w:rsidTr="00EF3ABE">
        <w:tc>
          <w:tcPr>
            <w:tcW w:w="3402" w:type="dxa"/>
          </w:tcPr>
          <w:p w14:paraId="74AA54F5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1985" w:type="dxa"/>
          </w:tcPr>
          <w:p w14:paraId="458A27F3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3.03 (2.57–3.78)</w:t>
            </w:r>
          </w:p>
        </w:tc>
        <w:tc>
          <w:tcPr>
            <w:tcW w:w="1984" w:type="dxa"/>
          </w:tcPr>
          <w:p w14:paraId="602B7350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2.10 (1.47–2.55)</w:t>
            </w:r>
          </w:p>
        </w:tc>
        <w:tc>
          <w:tcPr>
            <w:tcW w:w="1985" w:type="dxa"/>
          </w:tcPr>
          <w:p w14:paraId="7DF39C53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1.57 (1.30–2.28)</w:t>
            </w:r>
          </w:p>
        </w:tc>
      </w:tr>
      <w:tr w:rsidR="00847942" w:rsidRPr="00847942" w14:paraId="73D937ED" w14:textId="77777777" w:rsidTr="00EF3ABE">
        <w:tc>
          <w:tcPr>
            <w:tcW w:w="3402" w:type="dxa"/>
          </w:tcPr>
          <w:p w14:paraId="5C41629D" w14:textId="77777777" w:rsidR="0071684A" w:rsidRPr="00847942" w:rsidRDefault="0071684A" w:rsidP="00EF3ABE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1985" w:type="dxa"/>
          </w:tcPr>
          <w:p w14:paraId="537114B9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2.11 (1.90–2.18)</w:t>
            </w:r>
          </w:p>
        </w:tc>
        <w:tc>
          <w:tcPr>
            <w:tcW w:w="1984" w:type="dxa"/>
          </w:tcPr>
          <w:p w14:paraId="3434E86E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1.54 (1.42–1.65)</w:t>
            </w:r>
          </w:p>
        </w:tc>
        <w:tc>
          <w:tcPr>
            <w:tcW w:w="1985" w:type="dxa"/>
          </w:tcPr>
          <w:p w14:paraId="6CC59B06" w14:textId="77777777" w:rsidR="0071684A" w:rsidRPr="00847942" w:rsidRDefault="0071684A" w:rsidP="00EF3ABE">
            <w:pPr>
              <w:jc w:val="center"/>
              <w:rPr>
                <w:rStyle w:val="result"/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1.54 (1.49–1.60)</w:t>
            </w:r>
          </w:p>
        </w:tc>
      </w:tr>
      <w:tr w:rsidR="00847942" w:rsidRPr="00847942" w14:paraId="610ACD03" w14:textId="77777777" w:rsidTr="00701571">
        <w:tc>
          <w:tcPr>
            <w:tcW w:w="3402" w:type="dxa"/>
            <w:tcBorders>
              <w:bottom w:val="single" w:sz="4" w:space="0" w:color="auto"/>
            </w:tcBorders>
          </w:tcPr>
          <w:p w14:paraId="6F437DF3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>P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B43C10D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0.0060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151C73F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0.0393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9558636" w14:textId="77777777" w:rsidR="0071684A" w:rsidRPr="00847942" w:rsidRDefault="0071684A" w:rsidP="00EF3AB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0.4605</w:t>
            </w:r>
          </w:p>
        </w:tc>
      </w:tr>
      <w:tr w:rsidR="0071684A" w:rsidRPr="00847942" w14:paraId="076E7E23" w14:textId="77777777" w:rsidTr="00701571">
        <w:tc>
          <w:tcPr>
            <w:tcW w:w="9356" w:type="dxa"/>
            <w:gridSpan w:val="4"/>
            <w:tcBorders>
              <w:top w:val="single" w:sz="4" w:space="0" w:color="auto"/>
            </w:tcBorders>
          </w:tcPr>
          <w:p w14:paraId="7667CE9E" w14:textId="6E25F662" w:rsidR="0071684A" w:rsidRPr="00847942" w:rsidRDefault="00F752B9" w:rsidP="00EF3ABE">
            <w:pPr>
              <w:snapToGrid w:val="0"/>
              <w:spacing w:before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* </w:t>
            </w:r>
            <w:r w:rsidR="0071684A"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(95%)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</w:tr>
    </w:tbl>
    <w:p w14:paraId="0F5A39D1" w14:textId="77777777" w:rsidR="00701571" w:rsidRPr="00847942" w:rsidRDefault="00701571">
      <w:pPr>
        <w:rPr>
          <w:rFonts w:ascii="Times New Roman" w:hAnsi="Times New Roman" w:cs="Times New Roman"/>
          <w:bCs/>
          <w:color w:val="000000" w:themeColor="text1"/>
          <w:szCs w:val="24"/>
        </w:rPr>
      </w:pPr>
    </w:p>
    <w:p w14:paraId="344AED03" w14:textId="77777777" w:rsidR="00701571" w:rsidRPr="00847942" w:rsidRDefault="00701571">
      <w:pPr>
        <w:rPr>
          <w:rFonts w:ascii="Times New Roman" w:hAnsi="Times New Roman" w:cs="Times New Roman"/>
          <w:bCs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bCs/>
          <w:color w:val="000000" w:themeColor="text1"/>
          <w:szCs w:val="24"/>
        </w:rPr>
        <w:br w:type="page"/>
      </w:r>
    </w:p>
    <w:p w14:paraId="6EC229F8" w14:textId="77777777" w:rsidR="00701571" w:rsidRPr="00847942" w:rsidRDefault="00701571">
      <w:pPr>
        <w:rPr>
          <w:rFonts w:ascii="Times New Roman" w:hAnsi="Times New Roman" w:cs="Times New Roman"/>
          <w:bCs/>
          <w:color w:val="000000" w:themeColor="text1"/>
          <w:szCs w:val="24"/>
        </w:rPr>
      </w:pPr>
    </w:p>
    <w:p w14:paraId="2358CF7B" w14:textId="77777777" w:rsidR="00701571" w:rsidRPr="00847942" w:rsidRDefault="00701571" w:rsidP="00701571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0"/>
        <w:gridCol w:w="2336"/>
        <w:gridCol w:w="1932"/>
        <w:gridCol w:w="1667"/>
      </w:tblGrid>
      <w:tr w:rsidR="00847942" w:rsidRPr="00847942" w14:paraId="56ED7836" w14:textId="77777777" w:rsidTr="00701571">
        <w:tc>
          <w:tcPr>
            <w:tcW w:w="9255" w:type="dxa"/>
            <w:gridSpan w:val="4"/>
            <w:tcBorders>
              <w:bottom w:val="single" w:sz="4" w:space="0" w:color="auto"/>
            </w:tcBorders>
          </w:tcPr>
          <w:p w14:paraId="211C54C9" w14:textId="77777777" w:rsidR="00701571" w:rsidRPr="00847942" w:rsidRDefault="00701571" w:rsidP="00C367E4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Supplementary Table 4</w:t>
            </w: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pacing w:val="120"/>
              </w:rPr>
              <w:t xml:space="preserve"> 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>Serotype-specific IgM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 xml:space="preserve"> memory B cells (MBCs) in children before and one month after an additional PCV13 booster</w:t>
            </w:r>
          </w:p>
        </w:tc>
      </w:tr>
      <w:tr w:rsidR="00847942" w:rsidRPr="00847942" w14:paraId="5DF45284" w14:textId="77777777" w:rsidTr="00701571">
        <w:tc>
          <w:tcPr>
            <w:tcW w:w="3320" w:type="dxa"/>
            <w:tcBorders>
              <w:top w:val="single" w:sz="4" w:space="0" w:color="auto"/>
              <w:bottom w:val="single" w:sz="4" w:space="0" w:color="auto"/>
            </w:tcBorders>
          </w:tcPr>
          <w:p w14:paraId="6F299D9C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</w:tcPr>
          <w:p w14:paraId="2A905C6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Pre-booster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14:paraId="7F351F6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Post-booster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3402794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847942" w:rsidRPr="00847942" w14:paraId="375635B0" w14:textId="77777777" w:rsidTr="00701571">
        <w:tc>
          <w:tcPr>
            <w:tcW w:w="3320" w:type="dxa"/>
          </w:tcPr>
          <w:p w14:paraId="010E801A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3</w:t>
            </w:r>
          </w:p>
        </w:tc>
        <w:tc>
          <w:tcPr>
            <w:tcW w:w="2336" w:type="dxa"/>
          </w:tcPr>
          <w:p w14:paraId="2455195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32" w:type="dxa"/>
          </w:tcPr>
          <w:p w14:paraId="6FBB26A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67" w:type="dxa"/>
          </w:tcPr>
          <w:p w14:paraId="79C5E10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26B8F31A" w14:textId="77777777" w:rsidTr="00701571">
        <w:tc>
          <w:tcPr>
            <w:tcW w:w="3320" w:type="dxa"/>
          </w:tcPr>
          <w:p w14:paraId="015675B0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336" w:type="dxa"/>
          </w:tcPr>
          <w:p w14:paraId="6CED7EC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0.55 (0.47–1.12)</w:t>
            </w:r>
          </w:p>
        </w:tc>
        <w:tc>
          <w:tcPr>
            <w:tcW w:w="1932" w:type="dxa"/>
          </w:tcPr>
          <w:p w14:paraId="6E24BD8E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1.54 (1.23–2.25)</w:t>
            </w:r>
          </w:p>
        </w:tc>
        <w:tc>
          <w:tcPr>
            <w:tcW w:w="1667" w:type="dxa"/>
          </w:tcPr>
          <w:p w14:paraId="1288D75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209FBA71" w14:textId="77777777" w:rsidTr="00701571">
        <w:tc>
          <w:tcPr>
            <w:tcW w:w="3320" w:type="dxa"/>
          </w:tcPr>
          <w:p w14:paraId="2052FA86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336" w:type="dxa"/>
          </w:tcPr>
          <w:p w14:paraId="2A61A47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0.85 (0.79–0.89)</w:t>
            </w:r>
          </w:p>
        </w:tc>
        <w:tc>
          <w:tcPr>
            <w:tcW w:w="1932" w:type="dxa"/>
          </w:tcPr>
          <w:p w14:paraId="7EF0705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1.37 (1.31–1.47)</w:t>
            </w:r>
          </w:p>
        </w:tc>
        <w:tc>
          <w:tcPr>
            <w:tcW w:w="1667" w:type="dxa"/>
          </w:tcPr>
          <w:p w14:paraId="6913333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49E09AA9" w14:textId="77777777" w:rsidTr="00701571">
        <w:tc>
          <w:tcPr>
            <w:tcW w:w="3320" w:type="dxa"/>
          </w:tcPr>
          <w:p w14:paraId="2AC03A26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336" w:type="dxa"/>
          </w:tcPr>
          <w:p w14:paraId="2B83870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0.0519</w:t>
            </w:r>
          </w:p>
        </w:tc>
        <w:tc>
          <w:tcPr>
            <w:tcW w:w="1932" w:type="dxa"/>
          </w:tcPr>
          <w:p w14:paraId="6FDF7BA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0.1171</w:t>
            </w:r>
          </w:p>
        </w:tc>
        <w:tc>
          <w:tcPr>
            <w:tcW w:w="1667" w:type="dxa"/>
          </w:tcPr>
          <w:p w14:paraId="6B98397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33A12487" w14:textId="77777777" w:rsidTr="00701571">
        <w:tc>
          <w:tcPr>
            <w:tcW w:w="3320" w:type="dxa"/>
          </w:tcPr>
          <w:p w14:paraId="489A33EA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14:paraId="5EC66EC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932" w:type="dxa"/>
          </w:tcPr>
          <w:p w14:paraId="7D9488CE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67" w:type="dxa"/>
          </w:tcPr>
          <w:p w14:paraId="46512FB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6D77A82F" w14:textId="77777777" w:rsidTr="00701571">
        <w:tc>
          <w:tcPr>
            <w:tcW w:w="3320" w:type="dxa"/>
          </w:tcPr>
          <w:p w14:paraId="480311B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14</w:t>
            </w:r>
          </w:p>
        </w:tc>
        <w:tc>
          <w:tcPr>
            <w:tcW w:w="2336" w:type="dxa"/>
          </w:tcPr>
          <w:p w14:paraId="38CBFFB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32" w:type="dxa"/>
          </w:tcPr>
          <w:p w14:paraId="051EB01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67" w:type="dxa"/>
          </w:tcPr>
          <w:p w14:paraId="0556C95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3023FC54" w14:textId="77777777" w:rsidTr="00701571">
        <w:tc>
          <w:tcPr>
            <w:tcW w:w="3320" w:type="dxa"/>
          </w:tcPr>
          <w:p w14:paraId="227C0425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336" w:type="dxa"/>
          </w:tcPr>
          <w:p w14:paraId="0AB7B6A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0.77 (0.43–1.19)</w:t>
            </w:r>
          </w:p>
        </w:tc>
        <w:tc>
          <w:tcPr>
            <w:tcW w:w="1932" w:type="dxa"/>
          </w:tcPr>
          <w:p w14:paraId="44E76C9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2.25 (1.72–2.82)</w:t>
            </w:r>
          </w:p>
        </w:tc>
        <w:tc>
          <w:tcPr>
            <w:tcW w:w="1667" w:type="dxa"/>
          </w:tcPr>
          <w:p w14:paraId="7D3D34E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7F2EF6A0" w14:textId="77777777" w:rsidTr="00701571">
        <w:tc>
          <w:tcPr>
            <w:tcW w:w="3320" w:type="dxa"/>
          </w:tcPr>
          <w:p w14:paraId="6F93FE26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336" w:type="dxa"/>
          </w:tcPr>
          <w:p w14:paraId="1B89FDA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0.99 (0.88–1.15)</w:t>
            </w:r>
          </w:p>
        </w:tc>
        <w:tc>
          <w:tcPr>
            <w:tcW w:w="1932" w:type="dxa"/>
          </w:tcPr>
          <w:p w14:paraId="17D3CCD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1.85 (1.52–1.92)</w:t>
            </w:r>
          </w:p>
        </w:tc>
        <w:tc>
          <w:tcPr>
            <w:tcW w:w="1667" w:type="dxa"/>
          </w:tcPr>
          <w:p w14:paraId="336685F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591A1A5D" w14:textId="77777777" w:rsidTr="00701571">
        <w:tc>
          <w:tcPr>
            <w:tcW w:w="3320" w:type="dxa"/>
          </w:tcPr>
          <w:p w14:paraId="47B84F69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336" w:type="dxa"/>
          </w:tcPr>
          <w:p w14:paraId="04CB4F9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0.1128</w:t>
            </w:r>
          </w:p>
        </w:tc>
        <w:tc>
          <w:tcPr>
            <w:tcW w:w="1932" w:type="dxa"/>
          </w:tcPr>
          <w:p w14:paraId="06B8B1D8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0.0184</w:t>
            </w:r>
          </w:p>
        </w:tc>
        <w:tc>
          <w:tcPr>
            <w:tcW w:w="1667" w:type="dxa"/>
          </w:tcPr>
          <w:p w14:paraId="768B4D1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3B03491E" w14:textId="77777777" w:rsidTr="00701571">
        <w:tc>
          <w:tcPr>
            <w:tcW w:w="3320" w:type="dxa"/>
          </w:tcPr>
          <w:p w14:paraId="597250E7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14:paraId="1196961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32" w:type="dxa"/>
          </w:tcPr>
          <w:p w14:paraId="5907F67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667" w:type="dxa"/>
          </w:tcPr>
          <w:p w14:paraId="21865F5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5E0348D1" w14:textId="77777777" w:rsidTr="00701571">
        <w:tc>
          <w:tcPr>
            <w:tcW w:w="3320" w:type="dxa"/>
          </w:tcPr>
          <w:p w14:paraId="0818E190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19A</w:t>
            </w:r>
          </w:p>
        </w:tc>
        <w:tc>
          <w:tcPr>
            <w:tcW w:w="2336" w:type="dxa"/>
          </w:tcPr>
          <w:p w14:paraId="3D9206B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932" w:type="dxa"/>
          </w:tcPr>
          <w:p w14:paraId="261947B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667" w:type="dxa"/>
          </w:tcPr>
          <w:p w14:paraId="32E032A2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74966E13" w14:textId="77777777" w:rsidTr="00701571">
        <w:tc>
          <w:tcPr>
            <w:tcW w:w="3320" w:type="dxa"/>
          </w:tcPr>
          <w:p w14:paraId="3F0D5D35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336" w:type="dxa"/>
          </w:tcPr>
          <w:p w14:paraId="7EBD879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1.25 (0.99–1.50)</w:t>
            </w:r>
          </w:p>
        </w:tc>
        <w:tc>
          <w:tcPr>
            <w:tcW w:w="1932" w:type="dxa"/>
          </w:tcPr>
          <w:p w14:paraId="480723F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2.58 (2.30–2.63)</w:t>
            </w:r>
          </w:p>
        </w:tc>
        <w:tc>
          <w:tcPr>
            <w:tcW w:w="1667" w:type="dxa"/>
          </w:tcPr>
          <w:p w14:paraId="54FC780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16584FA4" w14:textId="77777777" w:rsidTr="00701571">
        <w:tc>
          <w:tcPr>
            <w:tcW w:w="3320" w:type="dxa"/>
          </w:tcPr>
          <w:p w14:paraId="4A09C98F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336" w:type="dxa"/>
          </w:tcPr>
          <w:p w14:paraId="74865A1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1.33 (1.25–1.43)</w:t>
            </w:r>
          </w:p>
        </w:tc>
        <w:tc>
          <w:tcPr>
            <w:tcW w:w="1932" w:type="dxa"/>
          </w:tcPr>
          <w:p w14:paraId="613C5C08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2.21 (2.09–2.34)</w:t>
            </w:r>
          </w:p>
        </w:tc>
        <w:tc>
          <w:tcPr>
            <w:tcW w:w="1667" w:type="dxa"/>
          </w:tcPr>
          <w:p w14:paraId="63A39A0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201D477B" w14:textId="77777777" w:rsidTr="00701571">
        <w:tc>
          <w:tcPr>
            <w:tcW w:w="3320" w:type="dxa"/>
            <w:tcBorders>
              <w:bottom w:val="single" w:sz="4" w:space="0" w:color="auto"/>
            </w:tcBorders>
          </w:tcPr>
          <w:p w14:paraId="54F4054B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307BE95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0.7233</w:t>
            </w:r>
          </w:p>
        </w:tc>
        <w:tc>
          <w:tcPr>
            <w:tcW w:w="1932" w:type="dxa"/>
            <w:tcBorders>
              <w:bottom w:val="single" w:sz="4" w:space="0" w:color="auto"/>
            </w:tcBorders>
          </w:tcPr>
          <w:p w14:paraId="1CB44378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0.1187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14:paraId="4A8D0C4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5A8BF465" w14:textId="77777777" w:rsidTr="00701571">
        <w:tc>
          <w:tcPr>
            <w:tcW w:w="9255" w:type="dxa"/>
            <w:gridSpan w:val="4"/>
            <w:tcBorders>
              <w:top w:val="single" w:sz="4" w:space="0" w:color="auto"/>
            </w:tcBorders>
          </w:tcPr>
          <w:p w14:paraId="18C0BEC9" w14:textId="77777777" w:rsidR="00701571" w:rsidRPr="00847942" w:rsidRDefault="00701571" w:rsidP="00701571">
            <w:pPr>
              <w:snapToGrid w:val="0"/>
              <w:spacing w:before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(95% CI)</w:t>
            </w:r>
          </w:p>
          <w:p w14:paraId="3563D5F3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pre-booster and post-booster</w:t>
            </w:r>
          </w:p>
          <w:p w14:paraId="52139634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vaccine failure group and healthy control group</w:t>
            </w:r>
          </w:p>
          <w:p w14:paraId="46F5B0C9" w14:textId="77777777" w:rsidR="00701571" w:rsidRPr="00847942" w:rsidRDefault="00701571" w:rsidP="00701571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</w:tbl>
    <w:p w14:paraId="1DC37CE8" w14:textId="412F1BBC" w:rsidR="00701571" w:rsidRPr="00847942" w:rsidRDefault="00701571">
      <w:pPr>
        <w:rPr>
          <w:rFonts w:ascii="Times New Roman" w:hAnsi="Times New Roman" w:cs="Times New Roman"/>
          <w:color w:val="000000" w:themeColor="text1"/>
        </w:rPr>
      </w:pPr>
      <w:r w:rsidRPr="00847942">
        <w:rPr>
          <w:rFonts w:ascii="Times New Roman" w:hAnsi="Times New Roman" w:cs="Times New Roman"/>
          <w:color w:val="000000" w:themeColor="text1"/>
        </w:rPr>
        <w:br w:type="page"/>
      </w:r>
    </w:p>
    <w:p w14:paraId="06982D6E" w14:textId="77777777" w:rsidR="00701571" w:rsidRPr="00847942" w:rsidRDefault="00701571" w:rsidP="00701571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2517"/>
        <w:gridCol w:w="1823"/>
        <w:gridCol w:w="1547"/>
      </w:tblGrid>
      <w:tr w:rsidR="00847942" w:rsidRPr="00847942" w14:paraId="62AB2AC4" w14:textId="77777777" w:rsidTr="00C367E4">
        <w:tc>
          <w:tcPr>
            <w:tcW w:w="9356" w:type="dxa"/>
            <w:gridSpan w:val="4"/>
            <w:tcBorders>
              <w:bottom w:val="single" w:sz="4" w:space="0" w:color="auto"/>
            </w:tcBorders>
          </w:tcPr>
          <w:p w14:paraId="17138392" w14:textId="77777777" w:rsidR="00701571" w:rsidRPr="00847942" w:rsidRDefault="00701571" w:rsidP="00C367E4">
            <w:pPr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Supplementary Table 5</w:t>
            </w: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pacing w:val="120"/>
              </w:rPr>
              <w:t xml:space="preserve"> 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>Serotype-specific class switched (</w:t>
            </w:r>
            <w:proofErr w:type="spellStart"/>
            <w:r w:rsidRPr="00847942">
              <w:rPr>
                <w:rFonts w:ascii="Times New Roman" w:hAnsi="Times New Roman" w:cs="Times New Roman"/>
                <w:color w:val="000000" w:themeColor="text1"/>
              </w:rPr>
              <w:t>sIg</w:t>
            </w:r>
            <w:proofErr w:type="spellEnd"/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847942">
              <w:rPr>
                <w:rFonts w:ascii="Times New Roman" w:hAnsi="Times New Roman" w:cs="Times New Roman"/>
                <w:color w:val="000000" w:themeColor="text1"/>
              </w:rPr>
              <w:t>) memory B cells (MBC) in children before and one month after an additional PCV13 booster</w:t>
            </w:r>
          </w:p>
        </w:tc>
      </w:tr>
      <w:tr w:rsidR="00847942" w:rsidRPr="00847942" w14:paraId="2D819125" w14:textId="77777777" w:rsidTr="00C367E4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B9479EB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A16089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Pre-booster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A55132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</w:rPr>
              <w:t>Post-booster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CCC87C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a</w:t>
            </w:r>
          </w:p>
        </w:tc>
      </w:tr>
      <w:tr w:rsidR="00847942" w:rsidRPr="00847942" w14:paraId="7984F5EA" w14:textId="77777777" w:rsidTr="00C367E4">
        <w:tc>
          <w:tcPr>
            <w:tcW w:w="3402" w:type="dxa"/>
          </w:tcPr>
          <w:p w14:paraId="5EAA0697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3</w:t>
            </w:r>
          </w:p>
        </w:tc>
        <w:tc>
          <w:tcPr>
            <w:tcW w:w="2552" w:type="dxa"/>
          </w:tcPr>
          <w:p w14:paraId="3BCBBA0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11AB887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</w:tcPr>
          <w:p w14:paraId="7C9EF75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761D914" w14:textId="77777777" w:rsidTr="00C367E4">
        <w:tc>
          <w:tcPr>
            <w:tcW w:w="3402" w:type="dxa"/>
          </w:tcPr>
          <w:p w14:paraId="7CDAFC54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552" w:type="dxa"/>
          </w:tcPr>
          <w:p w14:paraId="780F192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1.11 (0.89–1.31)</w:t>
            </w:r>
          </w:p>
        </w:tc>
        <w:tc>
          <w:tcPr>
            <w:tcW w:w="1843" w:type="dxa"/>
          </w:tcPr>
          <w:p w14:paraId="7643CF2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2.58 (2.22–2.83)</w:t>
            </w:r>
          </w:p>
        </w:tc>
        <w:tc>
          <w:tcPr>
            <w:tcW w:w="1559" w:type="dxa"/>
          </w:tcPr>
          <w:p w14:paraId="226E9549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6EEAA401" w14:textId="77777777" w:rsidTr="00C367E4">
        <w:tc>
          <w:tcPr>
            <w:tcW w:w="3402" w:type="dxa"/>
          </w:tcPr>
          <w:p w14:paraId="4FD199A6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552" w:type="dxa"/>
          </w:tcPr>
          <w:p w14:paraId="370056C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1.18 (1.12–1.25)</w:t>
            </w:r>
          </w:p>
        </w:tc>
        <w:tc>
          <w:tcPr>
            <w:tcW w:w="1843" w:type="dxa"/>
          </w:tcPr>
          <w:p w14:paraId="230E42E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2.05 (1.98–2.26)</w:t>
            </w:r>
          </w:p>
        </w:tc>
        <w:tc>
          <w:tcPr>
            <w:tcW w:w="1559" w:type="dxa"/>
          </w:tcPr>
          <w:p w14:paraId="752A32C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0C725104" w14:textId="77777777" w:rsidTr="00C367E4">
        <w:tc>
          <w:tcPr>
            <w:tcW w:w="3402" w:type="dxa"/>
          </w:tcPr>
          <w:p w14:paraId="3AA29EB1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552" w:type="dxa"/>
          </w:tcPr>
          <w:p w14:paraId="0BAECE89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0.2284</w:t>
            </w:r>
          </w:p>
        </w:tc>
        <w:tc>
          <w:tcPr>
            <w:tcW w:w="1843" w:type="dxa"/>
          </w:tcPr>
          <w:p w14:paraId="4C36164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0.0676</w:t>
            </w:r>
          </w:p>
        </w:tc>
        <w:tc>
          <w:tcPr>
            <w:tcW w:w="1559" w:type="dxa"/>
          </w:tcPr>
          <w:p w14:paraId="520106E5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254C4A6C" w14:textId="77777777" w:rsidTr="00C367E4">
        <w:tc>
          <w:tcPr>
            <w:tcW w:w="3402" w:type="dxa"/>
          </w:tcPr>
          <w:p w14:paraId="189AC76B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2552" w:type="dxa"/>
          </w:tcPr>
          <w:p w14:paraId="04E119D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4AA9B30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</w:tcPr>
          <w:p w14:paraId="6B4731B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1783DE9D" w14:textId="77777777" w:rsidTr="00C367E4">
        <w:tc>
          <w:tcPr>
            <w:tcW w:w="3402" w:type="dxa"/>
          </w:tcPr>
          <w:p w14:paraId="7ACFE992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14</w:t>
            </w:r>
          </w:p>
        </w:tc>
        <w:tc>
          <w:tcPr>
            <w:tcW w:w="2552" w:type="dxa"/>
          </w:tcPr>
          <w:p w14:paraId="15408C2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684DE02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</w:tcPr>
          <w:p w14:paraId="0E9C26A9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53BC54C" w14:textId="77777777" w:rsidTr="00C367E4">
        <w:tc>
          <w:tcPr>
            <w:tcW w:w="3402" w:type="dxa"/>
          </w:tcPr>
          <w:p w14:paraId="38FFEFDF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552" w:type="dxa"/>
          </w:tcPr>
          <w:p w14:paraId="4DA218C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1.28 (1.12–1.50)</w:t>
            </w:r>
          </w:p>
        </w:tc>
        <w:tc>
          <w:tcPr>
            <w:tcW w:w="1843" w:type="dxa"/>
          </w:tcPr>
          <w:p w14:paraId="5E9C5650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2.35 (2.08–2.59)</w:t>
            </w:r>
          </w:p>
        </w:tc>
        <w:tc>
          <w:tcPr>
            <w:tcW w:w="1559" w:type="dxa"/>
          </w:tcPr>
          <w:p w14:paraId="2EA82FBA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5A407A19" w14:textId="77777777" w:rsidTr="00C367E4">
        <w:tc>
          <w:tcPr>
            <w:tcW w:w="3402" w:type="dxa"/>
          </w:tcPr>
          <w:p w14:paraId="610C961A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552" w:type="dxa"/>
          </w:tcPr>
          <w:p w14:paraId="3AE744B4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1.35 (1.32–1.42)</w:t>
            </w:r>
          </w:p>
        </w:tc>
        <w:tc>
          <w:tcPr>
            <w:tcW w:w="1843" w:type="dxa"/>
          </w:tcPr>
          <w:p w14:paraId="55437E6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2.33 (2.12–2.47)</w:t>
            </w:r>
          </w:p>
        </w:tc>
        <w:tc>
          <w:tcPr>
            <w:tcW w:w="1559" w:type="dxa"/>
          </w:tcPr>
          <w:p w14:paraId="1954835E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14C22F37" w14:textId="77777777" w:rsidTr="00C367E4">
        <w:tc>
          <w:tcPr>
            <w:tcW w:w="3402" w:type="dxa"/>
          </w:tcPr>
          <w:p w14:paraId="7698FFD3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552" w:type="dxa"/>
          </w:tcPr>
          <w:p w14:paraId="669B2D5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0.3413</w:t>
            </w:r>
          </w:p>
        </w:tc>
        <w:tc>
          <w:tcPr>
            <w:tcW w:w="1843" w:type="dxa"/>
          </w:tcPr>
          <w:p w14:paraId="6A26A3B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0.9735</w:t>
            </w:r>
          </w:p>
        </w:tc>
        <w:tc>
          <w:tcPr>
            <w:tcW w:w="1559" w:type="dxa"/>
          </w:tcPr>
          <w:p w14:paraId="67647AA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054B195E" w14:textId="77777777" w:rsidTr="00C367E4">
        <w:tc>
          <w:tcPr>
            <w:tcW w:w="3402" w:type="dxa"/>
          </w:tcPr>
          <w:p w14:paraId="7899FC96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</w:pPr>
          </w:p>
        </w:tc>
        <w:tc>
          <w:tcPr>
            <w:tcW w:w="2552" w:type="dxa"/>
          </w:tcPr>
          <w:p w14:paraId="467BFBC1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1D75FF4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</w:tcPr>
          <w:p w14:paraId="52CFB47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2FA7C8D0" w14:textId="77777777" w:rsidTr="00C367E4">
        <w:tc>
          <w:tcPr>
            <w:tcW w:w="3402" w:type="dxa"/>
          </w:tcPr>
          <w:p w14:paraId="2D18E059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Serotype 19A</w:t>
            </w:r>
          </w:p>
        </w:tc>
        <w:tc>
          <w:tcPr>
            <w:tcW w:w="2552" w:type="dxa"/>
          </w:tcPr>
          <w:p w14:paraId="2E638ED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</w:tcPr>
          <w:p w14:paraId="3C6AFBFC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559" w:type="dxa"/>
          </w:tcPr>
          <w:p w14:paraId="6F51C96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665324DC" w14:textId="77777777" w:rsidTr="00C367E4">
        <w:tc>
          <w:tcPr>
            <w:tcW w:w="3402" w:type="dxa"/>
          </w:tcPr>
          <w:p w14:paraId="52CF9220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Breakthrough infection group</w:t>
            </w:r>
          </w:p>
        </w:tc>
        <w:tc>
          <w:tcPr>
            <w:tcW w:w="2552" w:type="dxa"/>
          </w:tcPr>
          <w:p w14:paraId="0025C92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1.87 (1.22–2.14)</w:t>
            </w:r>
          </w:p>
        </w:tc>
        <w:tc>
          <w:tcPr>
            <w:tcW w:w="1843" w:type="dxa"/>
          </w:tcPr>
          <w:p w14:paraId="44A32D8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2.85 (2.69–2.96)</w:t>
            </w:r>
          </w:p>
        </w:tc>
        <w:tc>
          <w:tcPr>
            <w:tcW w:w="1559" w:type="dxa"/>
          </w:tcPr>
          <w:p w14:paraId="43170CCE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0.0039</w:t>
            </w:r>
          </w:p>
        </w:tc>
      </w:tr>
      <w:tr w:rsidR="00847942" w:rsidRPr="00847942" w14:paraId="2C5398F5" w14:textId="77777777" w:rsidTr="00C367E4">
        <w:tc>
          <w:tcPr>
            <w:tcW w:w="3402" w:type="dxa"/>
          </w:tcPr>
          <w:p w14:paraId="1EB9E696" w14:textId="77777777" w:rsidR="00701571" w:rsidRPr="00847942" w:rsidRDefault="00701571" w:rsidP="00C367E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Healthy control group</w:t>
            </w:r>
          </w:p>
        </w:tc>
        <w:tc>
          <w:tcPr>
            <w:tcW w:w="2552" w:type="dxa"/>
          </w:tcPr>
          <w:p w14:paraId="5CCFDA16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1.92 (1.85–1.98)</w:t>
            </w:r>
          </w:p>
        </w:tc>
        <w:tc>
          <w:tcPr>
            <w:tcW w:w="1843" w:type="dxa"/>
          </w:tcPr>
          <w:p w14:paraId="2CEE76C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2.85 (2.58–2.99)</w:t>
            </w:r>
          </w:p>
        </w:tc>
        <w:tc>
          <w:tcPr>
            <w:tcW w:w="1559" w:type="dxa"/>
          </w:tcPr>
          <w:p w14:paraId="534F82A3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b/>
                <w:bCs/>
                <w:color w:val="000000" w:themeColor="text1"/>
                <w:szCs w:val="24"/>
              </w:rPr>
              <w:t>&lt;0.0001</w:t>
            </w:r>
          </w:p>
        </w:tc>
      </w:tr>
      <w:tr w:rsidR="00847942" w:rsidRPr="00847942" w14:paraId="3662161F" w14:textId="77777777" w:rsidTr="00C367E4">
        <w:tc>
          <w:tcPr>
            <w:tcW w:w="3402" w:type="dxa"/>
            <w:tcBorders>
              <w:bottom w:val="single" w:sz="4" w:space="0" w:color="auto"/>
            </w:tcBorders>
          </w:tcPr>
          <w:p w14:paraId="1E1FBE81" w14:textId="77777777" w:rsidR="00701571" w:rsidRPr="00847942" w:rsidRDefault="00701571" w:rsidP="00C367E4">
            <w:pPr>
              <w:ind w:firstLineChars="100" w:firstLine="240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Cs w:val="24"/>
              </w:rPr>
              <w:t xml:space="preserve">p </w:t>
            </w: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42DC29FD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0.8064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343A18F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Cs w:val="24"/>
              </w:rPr>
              <w:t>0.9638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99ABD7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847942" w:rsidRPr="00847942" w14:paraId="37F5D66E" w14:textId="77777777" w:rsidTr="00C367E4">
        <w:tc>
          <w:tcPr>
            <w:tcW w:w="9356" w:type="dxa"/>
            <w:gridSpan w:val="4"/>
            <w:tcBorders>
              <w:top w:val="single" w:sz="4" w:space="0" w:color="auto"/>
            </w:tcBorders>
          </w:tcPr>
          <w:p w14:paraId="6BF773E2" w14:textId="77777777" w:rsidR="00701571" w:rsidRPr="00847942" w:rsidRDefault="00701571" w:rsidP="00C367E4">
            <w:pPr>
              <w:snapToGrid w:val="0"/>
              <w:spacing w:before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Median (95% CI)</w:t>
            </w:r>
          </w:p>
          <w:p w14:paraId="0F259007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pre-booster and post-booster</w:t>
            </w:r>
          </w:p>
          <w:p w14:paraId="2F1317D0" w14:textId="77777777" w:rsidR="00701571" w:rsidRPr="00847942" w:rsidRDefault="00701571" w:rsidP="00C367E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84794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479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breakthrough infection group and healthy control group</w:t>
            </w:r>
          </w:p>
          <w:p w14:paraId="0A85540B" w14:textId="77777777" w:rsidR="00701571" w:rsidRPr="00847942" w:rsidRDefault="00701571" w:rsidP="00C367E4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</w:tbl>
    <w:p w14:paraId="4872F12D" w14:textId="62C9B218" w:rsidR="00AE175E" w:rsidRPr="00847942" w:rsidRDefault="00AE175E">
      <w:pPr>
        <w:rPr>
          <w:rFonts w:ascii="Times New Roman" w:hAnsi="Times New Roman" w:cs="Times New Roman"/>
          <w:bCs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bCs/>
          <w:color w:val="000000" w:themeColor="text1"/>
          <w:szCs w:val="24"/>
        </w:rPr>
        <w:br w:type="page"/>
      </w:r>
    </w:p>
    <w:p w14:paraId="36AF523E" w14:textId="390C70F5" w:rsidR="002F1DA2" w:rsidRPr="00847942" w:rsidRDefault="0071684A" w:rsidP="0071684A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bCs/>
          <w:noProof/>
          <w:color w:val="000000" w:themeColor="text1"/>
          <w:szCs w:val="24"/>
        </w:rPr>
        <w:lastRenderedPageBreak/>
        <w:drawing>
          <wp:inline distT="0" distB="0" distL="0" distR="0" wp14:anchorId="2D562DE3" wp14:editId="39FE4821">
            <wp:extent cx="5760720" cy="6274308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74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58FCC" w14:textId="5B765AD2" w:rsidR="00AE175E" w:rsidRPr="00847942" w:rsidRDefault="00B67CAB" w:rsidP="00AE175E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</w:t>
      </w:r>
      <w:r w:rsidRPr="0084794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E175E"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</w:t>
      </w:r>
      <w:r w:rsidR="00F752B9"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ure </w:t>
      </w:r>
      <w:r w:rsidR="00AE175E"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AE175E" w:rsidRPr="00847942">
        <w:rPr>
          <w:rFonts w:ascii="Times New Roman" w:hAnsi="Times New Roman" w:cs="Times New Roman"/>
          <w:color w:val="000000" w:themeColor="text1"/>
          <w:spacing w:val="120"/>
          <w:sz w:val="20"/>
          <w:szCs w:val="20"/>
        </w:rPr>
        <w:t xml:space="preserve"> </w:t>
      </w:r>
      <w:r w:rsidR="00AE175E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Serotype 14-specific IgG GMC before and one month after an additional PCV13 booster.</w:t>
      </w:r>
      <w:r w:rsidR="00AE175E" w:rsidRPr="00847942"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 w:rsidR="00AE175E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BI, children with breakthrough infection; HC, healthy control children; 14 BI, serotype 14 breakthrough infection; non-14 BI, non-serotype 14 (serotype 3, 19A, 19F) breakthrough infection; Pre-booster blood was drawn at the same day before an additional PCV13 booster administration; </w:t>
      </w:r>
      <w:r w:rsidR="00AE175E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Horizontal bars represent median values, and error bars represent the 95% confidence interval; </w:t>
      </w:r>
      <w:r w:rsidR="00AE175E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* </w:t>
      </w:r>
      <w:r w:rsidR="00AE175E" w:rsidRPr="008479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AE175E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</w:t>
      </w:r>
      <w:r w:rsidR="00AE175E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0.05, ** </w:t>
      </w:r>
      <w:r w:rsidR="00AE175E" w:rsidRPr="008479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AE175E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</w:t>
      </w:r>
      <w:r w:rsidR="00AE175E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0.01.</w:t>
      </w:r>
    </w:p>
    <w:p w14:paraId="7DBD25C6" w14:textId="4FB2E573" w:rsidR="00AE175E" w:rsidRPr="00847942" w:rsidRDefault="00AE175E">
      <w:pPr>
        <w:rPr>
          <w:rFonts w:ascii="Times New Roman" w:hAnsi="Times New Roman" w:cs="Times New Roman"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1D194F3C" w14:textId="0ABCED20" w:rsidR="00AB7F54" w:rsidRPr="00847942" w:rsidRDefault="0071684A" w:rsidP="0071684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noProof/>
          <w:color w:val="000000" w:themeColor="text1"/>
          <w:szCs w:val="24"/>
        </w:rPr>
        <w:lastRenderedPageBreak/>
        <w:drawing>
          <wp:inline distT="0" distB="0" distL="0" distR="0" wp14:anchorId="0CE1A79D" wp14:editId="158C5E15">
            <wp:extent cx="5760720" cy="6048756"/>
            <wp:effectExtent l="0" t="0" r="0" b="952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4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9EDA7" w14:textId="788F7E13" w:rsidR="00654252" w:rsidRPr="00847942" w:rsidRDefault="00B67CAB" w:rsidP="0071684A">
      <w:pPr>
        <w:spacing w:line="360" w:lineRule="auto"/>
        <w:ind w:leftChars="118" w:left="283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</w:t>
      </w:r>
      <w:r w:rsidR="00F752B9"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2</w:t>
      </w:r>
      <w:r w:rsidR="00F752B9" w:rsidRPr="00847942">
        <w:rPr>
          <w:rFonts w:ascii="Times New Roman" w:hAnsi="Times New Roman" w:cs="Times New Roman"/>
          <w:color w:val="000000" w:themeColor="text1"/>
          <w:spacing w:val="120"/>
          <w:sz w:val="20"/>
          <w:szCs w:val="20"/>
        </w:rPr>
        <w:t xml:space="preserve"> </w:t>
      </w:r>
      <w:r w:rsidR="002F1DA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Serotype 19A-specific IgG GMC before and one month after an additional PCV13 booster.</w:t>
      </w:r>
      <w:r w:rsidR="00F0788F" w:rsidRPr="00847942"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 w:rsidR="0004710B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BI, </w:t>
      </w:r>
      <w:r w:rsidR="00D21B05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children with </w:t>
      </w:r>
      <w:r w:rsidR="0004710B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HC, healthy control children; 19A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BI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serotype 19A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non-19A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BI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, non-serotype 19A (serotype</w:t>
      </w:r>
      <w:r w:rsidR="00814E7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3, 14, 19F)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Pre-booster blood was drawn at the same day </w:t>
      </w:r>
      <w:r w:rsidR="00D21B05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before 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an additional PCV13 booster</w:t>
      </w:r>
      <w:r w:rsidR="00814E7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administration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</w:t>
      </w:r>
      <w:r w:rsidR="00654252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Horizontal bars represent median values, and error bars represent the 95% confidence interval; </w:t>
      </w:r>
      <w:r w:rsidR="002D3AB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* </w:t>
      </w:r>
      <w:r w:rsidR="00821573" w:rsidRPr="008479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821573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</w:t>
      </w:r>
      <w:r w:rsidR="002D3AB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0.05, </w:t>
      </w:r>
      <w:r w:rsidR="00400581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>**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821573" w:rsidRPr="008479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821573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</w:t>
      </w:r>
      <w:r w:rsidR="00654252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0.01.</w:t>
      </w:r>
    </w:p>
    <w:p w14:paraId="446BAE68" w14:textId="387A0E23" w:rsidR="00AE175E" w:rsidRPr="00847942" w:rsidRDefault="00AE175E">
      <w:pPr>
        <w:rPr>
          <w:rFonts w:ascii="Times New Roman" w:hAnsi="Times New Roman" w:cs="Times New Roman"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3D7D33E0" w14:textId="226E169A" w:rsidR="00AB7F54" w:rsidRPr="00847942" w:rsidRDefault="0071684A" w:rsidP="0071684A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847942">
        <w:rPr>
          <w:rFonts w:ascii="Times New Roman" w:hAnsi="Times New Roman" w:cs="Times New Roman"/>
          <w:noProof/>
          <w:color w:val="000000" w:themeColor="text1"/>
          <w:szCs w:val="24"/>
        </w:rPr>
        <w:lastRenderedPageBreak/>
        <w:drawing>
          <wp:inline distT="0" distB="0" distL="0" distR="0" wp14:anchorId="7465CCC3" wp14:editId="29A12A95">
            <wp:extent cx="5760720" cy="5806440"/>
            <wp:effectExtent l="0" t="0" r="0" b="381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0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7768D" w14:textId="0EB6181F" w:rsidR="002E2F59" w:rsidRPr="00847942" w:rsidRDefault="00B67CAB" w:rsidP="0071684A">
      <w:pPr>
        <w:spacing w:line="360" w:lineRule="auto"/>
        <w:ind w:leftChars="118" w:left="283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</w:t>
      </w:r>
      <w:r w:rsidR="00F752B9" w:rsidRPr="0084794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Figure 3</w:t>
      </w:r>
      <w:r w:rsidR="00F752B9" w:rsidRPr="00847942">
        <w:rPr>
          <w:rFonts w:ascii="Times New Roman" w:hAnsi="Times New Roman" w:cs="Times New Roman"/>
          <w:color w:val="000000" w:themeColor="text1"/>
          <w:spacing w:val="120"/>
          <w:sz w:val="20"/>
          <w:szCs w:val="20"/>
        </w:rPr>
        <w:t xml:space="preserve"> 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Serotype 14-specific IgM</w:t>
      </w:r>
      <w:r w:rsidR="00344776" w:rsidRPr="0084794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MBC before and one month after an additional PCV13 booster.</w:t>
      </w:r>
      <w:r w:rsidR="00F0788F" w:rsidRPr="00847942"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 w:rsidR="0004710B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BI, </w:t>
      </w:r>
      <w:r w:rsidR="00D21B05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children with </w:t>
      </w:r>
      <w:r w:rsidR="0004710B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HC, healthy control children; 14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BI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serotype 14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non-14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BI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non-serotype 14 (serotype 3, 19A, 19F) </w:t>
      </w:r>
      <w:r w:rsidR="004963C8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breakthrough infection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MBC, memory B cell; PBMC, peripheral blood mononuclear cell; 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Pre-booster blood was drawn at the same day </w:t>
      </w:r>
      <w:r w:rsidR="00D21B05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before 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an additional PCV13 booster</w:t>
      </w:r>
      <w:r w:rsidR="00027686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administration</w:t>
      </w:r>
      <w:r w:rsidR="00B040EC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; </w:t>
      </w:r>
      <w:r w:rsidR="002E2F59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Horizontal bars represent median values, and error bars represent the 95% confidence interval; </w:t>
      </w:r>
      <w:r w:rsidR="00400581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821573" w:rsidRPr="008479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</w:t>
      </w:r>
      <w:r w:rsidR="00821573" w:rsidRPr="008479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&lt;</w:t>
      </w:r>
      <w:r w:rsidR="002E2F59" w:rsidRPr="0084794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0.05.</w:t>
      </w:r>
    </w:p>
    <w:p w14:paraId="339F8FC2" w14:textId="77777777" w:rsidR="00AB7F54" w:rsidRPr="00847942" w:rsidRDefault="00AB7F54" w:rsidP="004A2FB7">
      <w:pPr>
        <w:spacing w:line="360" w:lineRule="auto"/>
        <w:rPr>
          <w:rFonts w:ascii="Times New Roman" w:hAnsi="Times New Roman" w:cs="Times New Roman"/>
          <w:color w:val="000000" w:themeColor="text1"/>
          <w:szCs w:val="24"/>
        </w:rPr>
      </w:pPr>
    </w:p>
    <w:sectPr w:rsidR="00AB7F54" w:rsidRPr="00847942" w:rsidSect="0071684A">
      <w:footerReference w:type="default" r:id="rId11"/>
      <w:pgSz w:w="11906" w:h="16838"/>
      <w:pgMar w:top="1135" w:right="1800" w:bottom="993" w:left="851" w:header="851" w:footer="468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C7DD91" w14:textId="77777777" w:rsidR="00FF0051" w:rsidRDefault="00FF0051">
      <w:r>
        <w:separator/>
      </w:r>
    </w:p>
  </w:endnote>
  <w:endnote w:type="continuationSeparator" w:id="0">
    <w:p w14:paraId="794B134E" w14:textId="77777777" w:rsidR="00FF0051" w:rsidRDefault="00FF0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EAHMN I+ Gulliver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120756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78A026" w14:textId="7DFB1347" w:rsidR="00325AE0" w:rsidRDefault="00325AE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91C2DF" w14:textId="77777777" w:rsidR="00325AE0" w:rsidRDefault="00325AE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44023" w14:textId="77777777" w:rsidR="00FF0051" w:rsidRDefault="00FF0051">
      <w:r>
        <w:separator/>
      </w:r>
    </w:p>
  </w:footnote>
  <w:footnote w:type="continuationSeparator" w:id="0">
    <w:p w14:paraId="727AADAA" w14:textId="77777777" w:rsidR="00FF0051" w:rsidRDefault="00FF0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317A2"/>
    <w:multiLevelType w:val="hybridMultilevel"/>
    <w:tmpl w:val="0464DEAE"/>
    <w:lvl w:ilvl="0" w:tplc="4F06251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FBA4D79"/>
    <w:multiLevelType w:val="hybridMultilevel"/>
    <w:tmpl w:val="DF823E78"/>
    <w:lvl w:ilvl="0" w:tplc="6204D2AE">
      <w:start w:val="1"/>
      <w:numFmt w:val="decimal"/>
      <w:lvlText w:val="[%1]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412925"/>
    <w:multiLevelType w:val="hybridMultilevel"/>
    <w:tmpl w:val="8ECE0242"/>
    <w:lvl w:ilvl="0" w:tplc="1B92F3F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B517862"/>
    <w:multiLevelType w:val="hybridMultilevel"/>
    <w:tmpl w:val="C92E756A"/>
    <w:lvl w:ilvl="0" w:tplc="FDE85B30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233EB"/>
    <w:multiLevelType w:val="hybridMultilevel"/>
    <w:tmpl w:val="0F7412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0225450"/>
    <w:multiLevelType w:val="hybridMultilevel"/>
    <w:tmpl w:val="B0D67AE2"/>
    <w:lvl w:ilvl="0" w:tplc="F0CA08F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0FA6D7D"/>
    <w:multiLevelType w:val="hybridMultilevel"/>
    <w:tmpl w:val="4C4A011C"/>
    <w:lvl w:ilvl="0" w:tplc="51DCBA78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hint="default"/>
        <w:b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7B6E55"/>
    <w:multiLevelType w:val="hybridMultilevel"/>
    <w:tmpl w:val="F258B3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 Infectious Disease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sfttxtuzr0fjerr5tvaxdltw0r9xazdwex&quot;&gt;EndNote_pneumo_VF_immune&lt;record-ids&gt;&lt;item&gt;3&lt;/item&gt;&lt;item&gt;4&lt;/item&gt;&lt;item&gt;5&lt;/item&gt;&lt;item&gt;6&lt;/item&gt;&lt;item&gt;7&lt;/item&gt;&lt;item&gt;8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900941"/>
    <w:rsid w:val="00000FF4"/>
    <w:rsid w:val="00001233"/>
    <w:rsid w:val="0000218E"/>
    <w:rsid w:val="0000383D"/>
    <w:rsid w:val="00003FA8"/>
    <w:rsid w:val="000046B5"/>
    <w:rsid w:val="00006F75"/>
    <w:rsid w:val="00007E02"/>
    <w:rsid w:val="00007FE1"/>
    <w:rsid w:val="000101EC"/>
    <w:rsid w:val="00010AF2"/>
    <w:rsid w:val="00012B4B"/>
    <w:rsid w:val="00015FBB"/>
    <w:rsid w:val="0002133B"/>
    <w:rsid w:val="00027686"/>
    <w:rsid w:val="00030685"/>
    <w:rsid w:val="00032853"/>
    <w:rsid w:val="00034DCB"/>
    <w:rsid w:val="00036D30"/>
    <w:rsid w:val="000434E0"/>
    <w:rsid w:val="000447D0"/>
    <w:rsid w:val="00045D5A"/>
    <w:rsid w:val="00046F60"/>
    <w:rsid w:val="0004710B"/>
    <w:rsid w:val="00047891"/>
    <w:rsid w:val="00047D76"/>
    <w:rsid w:val="00050B0B"/>
    <w:rsid w:val="000550C0"/>
    <w:rsid w:val="0005692E"/>
    <w:rsid w:val="000612F2"/>
    <w:rsid w:val="000619AB"/>
    <w:rsid w:val="000620CC"/>
    <w:rsid w:val="00062A5F"/>
    <w:rsid w:val="000640B6"/>
    <w:rsid w:val="000647C9"/>
    <w:rsid w:val="000653D9"/>
    <w:rsid w:val="00072878"/>
    <w:rsid w:val="00072C83"/>
    <w:rsid w:val="000730CB"/>
    <w:rsid w:val="00080636"/>
    <w:rsid w:val="00081917"/>
    <w:rsid w:val="000821A0"/>
    <w:rsid w:val="00083238"/>
    <w:rsid w:val="00086A5B"/>
    <w:rsid w:val="00090B16"/>
    <w:rsid w:val="0009128B"/>
    <w:rsid w:val="0009141A"/>
    <w:rsid w:val="00091DDC"/>
    <w:rsid w:val="00091EE5"/>
    <w:rsid w:val="000940A0"/>
    <w:rsid w:val="0009559A"/>
    <w:rsid w:val="000A0E32"/>
    <w:rsid w:val="000A2F99"/>
    <w:rsid w:val="000A472F"/>
    <w:rsid w:val="000A6E12"/>
    <w:rsid w:val="000B063B"/>
    <w:rsid w:val="000B0DE3"/>
    <w:rsid w:val="000B0FEE"/>
    <w:rsid w:val="000B1194"/>
    <w:rsid w:val="000B29DF"/>
    <w:rsid w:val="000C073D"/>
    <w:rsid w:val="000C3E59"/>
    <w:rsid w:val="000C5E47"/>
    <w:rsid w:val="000C7923"/>
    <w:rsid w:val="000D3FED"/>
    <w:rsid w:val="000E1915"/>
    <w:rsid w:val="000E28CC"/>
    <w:rsid w:val="000E3841"/>
    <w:rsid w:val="000F12C4"/>
    <w:rsid w:val="000F2D5A"/>
    <w:rsid w:val="000F3E50"/>
    <w:rsid w:val="000F6B1C"/>
    <w:rsid w:val="00102081"/>
    <w:rsid w:val="00103F31"/>
    <w:rsid w:val="0010433C"/>
    <w:rsid w:val="001051D8"/>
    <w:rsid w:val="00107127"/>
    <w:rsid w:val="0011114E"/>
    <w:rsid w:val="00112002"/>
    <w:rsid w:val="001156F8"/>
    <w:rsid w:val="00120C03"/>
    <w:rsid w:val="0012105C"/>
    <w:rsid w:val="00123170"/>
    <w:rsid w:val="00124891"/>
    <w:rsid w:val="00126030"/>
    <w:rsid w:val="00127A7A"/>
    <w:rsid w:val="001328D3"/>
    <w:rsid w:val="00132FD1"/>
    <w:rsid w:val="00134347"/>
    <w:rsid w:val="00134F8C"/>
    <w:rsid w:val="0013517C"/>
    <w:rsid w:val="00136DDD"/>
    <w:rsid w:val="00140185"/>
    <w:rsid w:val="001408B9"/>
    <w:rsid w:val="0014142F"/>
    <w:rsid w:val="00142B21"/>
    <w:rsid w:val="00142CBF"/>
    <w:rsid w:val="00144714"/>
    <w:rsid w:val="001449FD"/>
    <w:rsid w:val="00150668"/>
    <w:rsid w:val="0015279A"/>
    <w:rsid w:val="00156C8F"/>
    <w:rsid w:val="0016114C"/>
    <w:rsid w:val="001641FE"/>
    <w:rsid w:val="001649D9"/>
    <w:rsid w:val="00165D63"/>
    <w:rsid w:val="001666D1"/>
    <w:rsid w:val="00172A0A"/>
    <w:rsid w:val="001735B0"/>
    <w:rsid w:val="001742B9"/>
    <w:rsid w:val="00175184"/>
    <w:rsid w:val="0017714B"/>
    <w:rsid w:val="00177593"/>
    <w:rsid w:val="00180D1B"/>
    <w:rsid w:val="00184067"/>
    <w:rsid w:val="001854A7"/>
    <w:rsid w:val="001905FA"/>
    <w:rsid w:val="001909DC"/>
    <w:rsid w:val="00191C9D"/>
    <w:rsid w:val="00197E1A"/>
    <w:rsid w:val="001A39DB"/>
    <w:rsid w:val="001A4584"/>
    <w:rsid w:val="001B3913"/>
    <w:rsid w:val="001B3B60"/>
    <w:rsid w:val="001C0A33"/>
    <w:rsid w:val="001C1C38"/>
    <w:rsid w:val="001C5FD7"/>
    <w:rsid w:val="001C7750"/>
    <w:rsid w:val="001C7FC5"/>
    <w:rsid w:val="001D44C3"/>
    <w:rsid w:val="001D59FB"/>
    <w:rsid w:val="001D60B1"/>
    <w:rsid w:val="001D6C8A"/>
    <w:rsid w:val="001E5B24"/>
    <w:rsid w:val="001F4E5C"/>
    <w:rsid w:val="00200196"/>
    <w:rsid w:val="00200626"/>
    <w:rsid w:val="00204A3E"/>
    <w:rsid w:val="00205A3D"/>
    <w:rsid w:val="00206A7E"/>
    <w:rsid w:val="002201B1"/>
    <w:rsid w:val="002248B6"/>
    <w:rsid w:val="002271AC"/>
    <w:rsid w:val="00227609"/>
    <w:rsid w:val="00233A2B"/>
    <w:rsid w:val="00236A2E"/>
    <w:rsid w:val="00236D15"/>
    <w:rsid w:val="002372A0"/>
    <w:rsid w:val="00247F50"/>
    <w:rsid w:val="00247FC6"/>
    <w:rsid w:val="002516A1"/>
    <w:rsid w:val="0025249F"/>
    <w:rsid w:val="00253ADC"/>
    <w:rsid w:val="002603EF"/>
    <w:rsid w:val="00261976"/>
    <w:rsid w:val="0026199B"/>
    <w:rsid w:val="00263796"/>
    <w:rsid w:val="00264500"/>
    <w:rsid w:val="0026504C"/>
    <w:rsid w:val="002739DB"/>
    <w:rsid w:val="00273B2D"/>
    <w:rsid w:val="00274753"/>
    <w:rsid w:val="002749E7"/>
    <w:rsid w:val="00276389"/>
    <w:rsid w:val="0027763C"/>
    <w:rsid w:val="00280B00"/>
    <w:rsid w:val="00280E5C"/>
    <w:rsid w:val="00280E87"/>
    <w:rsid w:val="00281F67"/>
    <w:rsid w:val="00286E9B"/>
    <w:rsid w:val="002908B3"/>
    <w:rsid w:val="0029246B"/>
    <w:rsid w:val="00294D21"/>
    <w:rsid w:val="00295C1A"/>
    <w:rsid w:val="0029644B"/>
    <w:rsid w:val="0029701E"/>
    <w:rsid w:val="00297A0D"/>
    <w:rsid w:val="00297A22"/>
    <w:rsid w:val="002A2F90"/>
    <w:rsid w:val="002A6640"/>
    <w:rsid w:val="002B4952"/>
    <w:rsid w:val="002B5750"/>
    <w:rsid w:val="002B6009"/>
    <w:rsid w:val="002C0B25"/>
    <w:rsid w:val="002C133E"/>
    <w:rsid w:val="002C1C4C"/>
    <w:rsid w:val="002C3DC2"/>
    <w:rsid w:val="002C48F9"/>
    <w:rsid w:val="002C53A3"/>
    <w:rsid w:val="002D0E0A"/>
    <w:rsid w:val="002D311E"/>
    <w:rsid w:val="002D3AB2"/>
    <w:rsid w:val="002D4104"/>
    <w:rsid w:val="002D42A8"/>
    <w:rsid w:val="002D7977"/>
    <w:rsid w:val="002E27F3"/>
    <w:rsid w:val="002E2C11"/>
    <w:rsid w:val="002E2F59"/>
    <w:rsid w:val="002E2FFA"/>
    <w:rsid w:val="002E68A9"/>
    <w:rsid w:val="002F1847"/>
    <w:rsid w:val="002F1DA2"/>
    <w:rsid w:val="002F34DE"/>
    <w:rsid w:val="002F38BE"/>
    <w:rsid w:val="002F44B6"/>
    <w:rsid w:val="002F7061"/>
    <w:rsid w:val="003008CF"/>
    <w:rsid w:val="003014D2"/>
    <w:rsid w:val="00301DE7"/>
    <w:rsid w:val="003041E7"/>
    <w:rsid w:val="00305EC1"/>
    <w:rsid w:val="00310E89"/>
    <w:rsid w:val="00316469"/>
    <w:rsid w:val="0031665F"/>
    <w:rsid w:val="003168DC"/>
    <w:rsid w:val="00320D69"/>
    <w:rsid w:val="003214C8"/>
    <w:rsid w:val="00321810"/>
    <w:rsid w:val="00322017"/>
    <w:rsid w:val="00323D3C"/>
    <w:rsid w:val="00324966"/>
    <w:rsid w:val="00325AE0"/>
    <w:rsid w:val="00325F4B"/>
    <w:rsid w:val="0032743D"/>
    <w:rsid w:val="00331E14"/>
    <w:rsid w:val="003324C4"/>
    <w:rsid w:val="0033268A"/>
    <w:rsid w:val="003373D4"/>
    <w:rsid w:val="003409D4"/>
    <w:rsid w:val="00341740"/>
    <w:rsid w:val="00342A1E"/>
    <w:rsid w:val="00344776"/>
    <w:rsid w:val="00347509"/>
    <w:rsid w:val="003562EB"/>
    <w:rsid w:val="00356576"/>
    <w:rsid w:val="0035681A"/>
    <w:rsid w:val="00360611"/>
    <w:rsid w:val="0036121E"/>
    <w:rsid w:val="00362B67"/>
    <w:rsid w:val="00365143"/>
    <w:rsid w:val="00366993"/>
    <w:rsid w:val="00367029"/>
    <w:rsid w:val="003700CE"/>
    <w:rsid w:val="0037011F"/>
    <w:rsid w:val="00371E05"/>
    <w:rsid w:val="00371FA3"/>
    <w:rsid w:val="0037292C"/>
    <w:rsid w:val="00381359"/>
    <w:rsid w:val="0038355B"/>
    <w:rsid w:val="00384978"/>
    <w:rsid w:val="00384B0B"/>
    <w:rsid w:val="003850A9"/>
    <w:rsid w:val="00386965"/>
    <w:rsid w:val="003878A9"/>
    <w:rsid w:val="003914F8"/>
    <w:rsid w:val="00392A24"/>
    <w:rsid w:val="003959EE"/>
    <w:rsid w:val="00396498"/>
    <w:rsid w:val="003A0877"/>
    <w:rsid w:val="003A66F1"/>
    <w:rsid w:val="003A7315"/>
    <w:rsid w:val="003B21DA"/>
    <w:rsid w:val="003B3244"/>
    <w:rsid w:val="003B3DA1"/>
    <w:rsid w:val="003B6F4E"/>
    <w:rsid w:val="003B797A"/>
    <w:rsid w:val="003C060F"/>
    <w:rsid w:val="003C2D00"/>
    <w:rsid w:val="003C5FDA"/>
    <w:rsid w:val="003C7098"/>
    <w:rsid w:val="003D356C"/>
    <w:rsid w:val="003D377A"/>
    <w:rsid w:val="003D42D9"/>
    <w:rsid w:val="003D4E48"/>
    <w:rsid w:val="003D5DF6"/>
    <w:rsid w:val="003E5E22"/>
    <w:rsid w:val="003F1788"/>
    <w:rsid w:val="003F35AB"/>
    <w:rsid w:val="003F5339"/>
    <w:rsid w:val="003F7F2B"/>
    <w:rsid w:val="00400581"/>
    <w:rsid w:val="00402539"/>
    <w:rsid w:val="0040487F"/>
    <w:rsid w:val="004049E0"/>
    <w:rsid w:val="0040543B"/>
    <w:rsid w:val="00405B89"/>
    <w:rsid w:val="0040604D"/>
    <w:rsid w:val="004074F4"/>
    <w:rsid w:val="00413AD3"/>
    <w:rsid w:val="00413D27"/>
    <w:rsid w:val="004169D1"/>
    <w:rsid w:val="00420D79"/>
    <w:rsid w:val="00421D2F"/>
    <w:rsid w:val="0042474A"/>
    <w:rsid w:val="00425B2A"/>
    <w:rsid w:val="00430531"/>
    <w:rsid w:val="00433210"/>
    <w:rsid w:val="00434322"/>
    <w:rsid w:val="00434DA1"/>
    <w:rsid w:val="0043688B"/>
    <w:rsid w:val="00437036"/>
    <w:rsid w:val="00441710"/>
    <w:rsid w:val="00441DEA"/>
    <w:rsid w:val="00442772"/>
    <w:rsid w:val="004434D8"/>
    <w:rsid w:val="00447239"/>
    <w:rsid w:val="00447632"/>
    <w:rsid w:val="00455254"/>
    <w:rsid w:val="0046049D"/>
    <w:rsid w:val="00462E60"/>
    <w:rsid w:val="00465211"/>
    <w:rsid w:val="00466CE3"/>
    <w:rsid w:val="00467F61"/>
    <w:rsid w:val="0047455C"/>
    <w:rsid w:val="00474D13"/>
    <w:rsid w:val="00477F7A"/>
    <w:rsid w:val="0048004F"/>
    <w:rsid w:val="00484D35"/>
    <w:rsid w:val="00484D8C"/>
    <w:rsid w:val="00484E37"/>
    <w:rsid w:val="004857AF"/>
    <w:rsid w:val="00485978"/>
    <w:rsid w:val="00485CDF"/>
    <w:rsid w:val="00487DAA"/>
    <w:rsid w:val="00490D2D"/>
    <w:rsid w:val="00491014"/>
    <w:rsid w:val="00492C30"/>
    <w:rsid w:val="004963C8"/>
    <w:rsid w:val="00496982"/>
    <w:rsid w:val="004A0546"/>
    <w:rsid w:val="004A1D0C"/>
    <w:rsid w:val="004A2638"/>
    <w:rsid w:val="004A279F"/>
    <w:rsid w:val="004A2FB7"/>
    <w:rsid w:val="004A7A7F"/>
    <w:rsid w:val="004B1144"/>
    <w:rsid w:val="004B2E18"/>
    <w:rsid w:val="004B38FB"/>
    <w:rsid w:val="004B4437"/>
    <w:rsid w:val="004B55FB"/>
    <w:rsid w:val="004C0541"/>
    <w:rsid w:val="004C13DF"/>
    <w:rsid w:val="004C2711"/>
    <w:rsid w:val="004C309A"/>
    <w:rsid w:val="004C5C87"/>
    <w:rsid w:val="004D207D"/>
    <w:rsid w:val="004D20CE"/>
    <w:rsid w:val="004D2391"/>
    <w:rsid w:val="004D2F22"/>
    <w:rsid w:val="004E7B7D"/>
    <w:rsid w:val="004E7F87"/>
    <w:rsid w:val="004F1311"/>
    <w:rsid w:val="004F2D1B"/>
    <w:rsid w:val="004F2E0B"/>
    <w:rsid w:val="004F71E8"/>
    <w:rsid w:val="004F7505"/>
    <w:rsid w:val="004F7E32"/>
    <w:rsid w:val="00503814"/>
    <w:rsid w:val="00503BF4"/>
    <w:rsid w:val="00503E89"/>
    <w:rsid w:val="00503FB0"/>
    <w:rsid w:val="0050427B"/>
    <w:rsid w:val="00504561"/>
    <w:rsid w:val="00510BBD"/>
    <w:rsid w:val="00511357"/>
    <w:rsid w:val="0051138C"/>
    <w:rsid w:val="00512961"/>
    <w:rsid w:val="0051354E"/>
    <w:rsid w:val="00514C71"/>
    <w:rsid w:val="00515437"/>
    <w:rsid w:val="0051686F"/>
    <w:rsid w:val="00516A86"/>
    <w:rsid w:val="00517F90"/>
    <w:rsid w:val="0052040D"/>
    <w:rsid w:val="0052063F"/>
    <w:rsid w:val="005209D5"/>
    <w:rsid w:val="00520BC8"/>
    <w:rsid w:val="00521C2C"/>
    <w:rsid w:val="005259C4"/>
    <w:rsid w:val="00526C6E"/>
    <w:rsid w:val="00531555"/>
    <w:rsid w:val="005315E0"/>
    <w:rsid w:val="005315F4"/>
    <w:rsid w:val="00534044"/>
    <w:rsid w:val="00535D95"/>
    <w:rsid w:val="00536504"/>
    <w:rsid w:val="00540A82"/>
    <w:rsid w:val="00543A90"/>
    <w:rsid w:val="00544747"/>
    <w:rsid w:val="00544F2E"/>
    <w:rsid w:val="00547B34"/>
    <w:rsid w:val="00553414"/>
    <w:rsid w:val="00555A63"/>
    <w:rsid w:val="00560692"/>
    <w:rsid w:val="005624CE"/>
    <w:rsid w:val="005628CA"/>
    <w:rsid w:val="00563EE9"/>
    <w:rsid w:val="00565EDF"/>
    <w:rsid w:val="00571FB6"/>
    <w:rsid w:val="00572748"/>
    <w:rsid w:val="00576013"/>
    <w:rsid w:val="005762A5"/>
    <w:rsid w:val="005765B5"/>
    <w:rsid w:val="0057711D"/>
    <w:rsid w:val="0058229E"/>
    <w:rsid w:val="00583194"/>
    <w:rsid w:val="00583584"/>
    <w:rsid w:val="005852C0"/>
    <w:rsid w:val="0058551D"/>
    <w:rsid w:val="005903E0"/>
    <w:rsid w:val="00590CA0"/>
    <w:rsid w:val="00592292"/>
    <w:rsid w:val="0059480C"/>
    <w:rsid w:val="005948AB"/>
    <w:rsid w:val="00597EC8"/>
    <w:rsid w:val="005A0FBA"/>
    <w:rsid w:val="005A2268"/>
    <w:rsid w:val="005A4240"/>
    <w:rsid w:val="005A61EB"/>
    <w:rsid w:val="005B3DC6"/>
    <w:rsid w:val="005C30AB"/>
    <w:rsid w:val="005C3ED2"/>
    <w:rsid w:val="005C3F5E"/>
    <w:rsid w:val="005C56D3"/>
    <w:rsid w:val="005C7EF1"/>
    <w:rsid w:val="005D3C6E"/>
    <w:rsid w:val="005D5F0F"/>
    <w:rsid w:val="005E17CF"/>
    <w:rsid w:val="005F30B2"/>
    <w:rsid w:val="005F390E"/>
    <w:rsid w:val="005F431F"/>
    <w:rsid w:val="005F6102"/>
    <w:rsid w:val="005F6D88"/>
    <w:rsid w:val="00600533"/>
    <w:rsid w:val="0060203B"/>
    <w:rsid w:val="00612ADA"/>
    <w:rsid w:val="00615C0F"/>
    <w:rsid w:val="00616B6B"/>
    <w:rsid w:val="00617B59"/>
    <w:rsid w:val="006223E6"/>
    <w:rsid w:val="00622999"/>
    <w:rsid w:val="006229B4"/>
    <w:rsid w:val="00622F5B"/>
    <w:rsid w:val="00624573"/>
    <w:rsid w:val="00625DC0"/>
    <w:rsid w:val="0062689B"/>
    <w:rsid w:val="00626CDF"/>
    <w:rsid w:val="0062740F"/>
    <w:rsid w:val="00627973"/>
    <w:rsid w:val="0063186C"/>
    <w:rsid w:val="006335FD"/>
    <w:rsid w:val="006336EB"/>
    <w:rsid w:val="006348D9"/>
    <w:rsid w:val="00635186"/>
    <w:rsid w:val="00635C92"/>
    <w:rsid w:val="00636FF3"/>
    <w:rsid w:val="00637307"/>
    <w:rsid w:val="00637E5C"/>
    <w:rsid w:val="00641095"/>
    <w:rsid w:val="006431B8"/>
    <w:rsid w:val="00644396"/>
    <w:rsid w:val="00645861"/>
    <w:rsid w:val="00647073"/>
    <w:rsid w:val="00651AEF"/>
    <w:rsid w:val="00653F59"/>
    <w:rsid w:val="00654252"/>
    <w:rsid w:val="006556E9"/>
    <w:rsid w:val="006574BA"/>
    <w:rsid w:val="00657EAE"/>
    <w:rsid w:val="0066000F"/>
    <w:rsid w:val="00660979"/>
    <w:rsid w:val="00662551"/>
    <w:rsid w:val="0066578A"/>
    <w:rsid w:val="0066635B"/>
    <w:rsid w:val="00670626"/>
    <w:rsid w:val="0067082E"/>
    <w:rsid w:val="006744CB"/>
    <w:rsid w:val="00675930"/>
    <w:rsid w:val="00683F79"/>
    <w:rsid w:val="00684A14"/>
    <w:rsid w:val="00687716"/>
    <w:rsid w:val="00691A23"/>
    <w:rsid w:val="006934B8"/>
    <w:rsid w:val="006936F2"/>
    <w:rsid w:val="00693F6C"/>
    <w:rsid w:val="00697EFD"/>
    <w:rsid w:val="006A149E"/>
    <w:rsid w:val="006A3E20"/>
    <w:rsid w:val="006A4281"/>
    <w:rsid w:val="006A6718"/>
    <w:rsid w:val="006A6E11"/>
    <w:rsid w:val="006B1A0F"/>
    <w:rsid w:val="006B3A83"/>
    <w:rsid w:val="006B40D9"/>
    <w:rsid w:val="006B7998"/>
    <w:rsid w:val="006C09B8"/>
    <w:rsid w:val="006C3169"/>
    <w:rsid w:val="006C562A"/>
    <w:rsid w:val="006C6F66"/>
    <w:rsid w:val="006D0038"/>
    <w:rsid w:val="006D0AA5"/>
    <w:rsid w:val="006D101D"/>
    <w:rsid w:val="006D270D"/>
    <w:rsid w:val="006D3BF8"/>
    <w:rsid w:val="006D4BEC"/>
    <w:rsid w:val="006D7633"/>
    <w:rsid w:val="006E206B"/>
    <w:rsid w:val="006E336C"/>
    <w:rsid w:val="006E55D2"/>
    <w:rsid w:val="006E6AF4"/>
    <w:rsid w:val="006E6E1E"/>
    <w:rsid w:val="006E7399"/>
    <w:rsid w:val="006E741A"/>
    <w:rsid w:val="006F1B09"/>
    <w:rsid w:val="006F3313"/>
    <w:rsid w:val="006F35FB"/>
    <w:rsid w:val="006F3860"/>
    <w:rsid w:val="006F515E"/>
    <w:rsid w:val="006F74DC"/>
    <w:rsid w:val="006F77A8"/>
    <w:rsid w:val="00700637"/>
    <w:rsid w:val="00701571"/>
    <w:rsid w:val="007020B2"/>
    <w:rsid w:val="00702F33"/>
    <w:rsid w:val="00704389"/>
    <w:rsid w:val="007053F5"/>
    <w:rsid w:val="00706713"/>
    <w:rsid w:val="0070681F"/>
    <w:rsid w:val="00707DAA"/>
    <w:rsid w:val="00714891"/>
    <w:rsid w:val="00715565"/>
    <w:rsid w:val="00715F36"/>
    <w:rsid w:val="0071684A"/>
    <w:rsid w:val="007234B8"/>
    <w:rsid w:val="00723CD7"/>
    <w:rsid w:val="0073377F"/>
    <w:rsid w:val="00736CDE"/>
    <w:rsid w:val="007370EA"/>
    <w:rsid w:val="00737971"/>
    <w:rsid w:val="00740AE5"/>
    <w:rsid w:val="00745473"/>
    <w:rsid w:val="007467F9"/>
    <w:rsid w:val="00746CF4"/>
    <w:rsid w:val="00750612"/>
    <w:rsid w:val="00752B1B"/>
    <w:rsid w:val="00754C22"/>
    <w:rsid w:val="00755988"/>
    <w:rsid w:val="00756BD4"/>
    <w:rsid w:val="0075739F"/>
    <w:rsid w:val="0076036D"/>
    <w:rsid w:val="00761374"/>
    <w:rsid w:val="00761C23"/>
    <w:rsid w:val="007637A1"/>
    <w:rsid w:val="0076658F"/>
    <w:rsid w:val="0076740F"/>
    <w:rsid w:val="007675E0"/>
    <w:rsid w:val="007733EA"/>
    <w:rsid w:val="0077424B"/>
    <w:rsid w:val="007745D8"/>
    <w:rsid w:val="00782D0B"/>
    <w:rsid w:val="00783863"/>
    <w:rsid w:val="00783BBF"/>
    <w:rsid w:val="00783E52"/>
    <w:rsid w:val="00784AD3"/>
    <w:rsid w:val="0079126A"/>
    <w:rsid w:val="00791EEE"/>
    <w:rsid w:val="007926F6"/>
    <w:rsid w:val="007A318E"/>
    <w:rsid w:val="007A4852"/>
    <w:rsid w:val="007A51BF"/>
    <w:rsid w:val="007A5F36"/>
    <w:rsid w:val="007A76AE"/>
    <w:rsid w:val="007A7DF4"/>
    <w:rsid w:val="007B44E6"/>
    <w:rsid w:val="007B4B8E"/>
    <w:rsid w:val="007B5C68"/>
    <w:rsid w:val="007B5D07"/>
    <w:rsid w:val="007C0754"/>
    <w:rsid w:val="007C0EB2"/>
    <w:rsid w:val="007C3F8D"/>
    <w:rsid w:val="007C5F9F"/>
    <w:rsid w:val="007D0288"/>
    <w:rsid w:val="007D4BB0"/>
    <w:rsid w:val="007D5BFF"/>
    <w:rsid w:val="007E2653"/>
    <w:rsid w:val="007E373E"/>
    <w:rsid w:val="007E3955"/>
    <w:rsid w:val="007E3E6D"/>
    <w:rsid w:val="007E4782"/>
    <w:rsid w:val="007E47D1"/>
    <w:rsid w:val="007E4A8D"/>
    <w:rsid w:val="007E55AE"/>
    <w:rsid w:val="007E6200"/>
    <w:rsid w:val="007E75E6"/>
    <w:rsid w:val="007E7DA9"/>
    <w:rsid w:val="007F3174"/>
    <w:rsid w:val="007F3C3B"/>
    <w:rsid w:val="00801BD9"/>
    <w:rsid w:val="00804A38"/>
    <w:rsid w:val="0080589B"/>
    <w:rsid w:val="00810DB4"/>
    <w:rsid w:val="00812060"/>
    <w:rsid w:val="00814E78"/>
    <w:rsid w:val="0081508C"/>
    <w:rsid w:val="00815F62"/>
    <w:rsid w:val="00817CDA"/>
    <w:rsid w:val="0082075C"/>
    <w:rsid w:val="00821573"/>
    <w:rsid w:val="00822ED5"/>
    <w:rsid w:val="0082468B"/>
    <w:rsid w:val="0082581A"/>
    <w:rsid w:val="00826D57"/>
    <w:rsid w:val="00827182"/>
    <w:rsid w:val="008272CD"/>
    <w:rsid w:val="00830A1A"/>
    <w:rsid w:val="00830A83"/>
    <w:rsid w:val="00831101"/>
    <w:rsid w:val="008315EC"/>
    <w:rsid w:val="00831D95"/>
    <w:rsid w:val="008322B2"/>
    <w:rsid w:val="00832699"/>
    <w:rsid w:val="00833990"/>
    <w:rsid w:val="008349CD"/>
    <w:rsid w:val="00836CEE"/>
    <w:rsid w:val="00837574"/>
    <w:rsid w:val="00837ED0"/>
    <w:rsid w:val="00841D8B"/>
    <w:rsid w:val="0084407D"/>
    <w:rsid w:val="00844F26"/>
    <w:rsid w:val="00847942"/>
    <w:rsid w:val="00847DC8"/>
    <w:rsid w:val="00851544"/>
    <w:rsid w:val="00851EB7"/>
    <w:rsid w:val="00853B38"/>
    <w:rsid w:val="00853D64"/>
    <w:rsid w:val="0085489B"/>
    <w:rsid w:val="0086062F"/>
    <w:rsid w:val="00860D64"/>
    <w:rsid w:val="00861600"/>
    <w:rsid w:val="0086234F"/>
    <w:rsid w:val="008628B8"/>
    <w:rsid w:val="008629AD"/>
    <w:rsid w:val="008644D6"/>
    <w:rsid w:val="00865074"/>
    <w:rsid w:val="00874B3B"/>
    <w:rsid w:val="00875033"/>
    <w:rsid w:val="00875935"/>
    <w:rsid w:val="00876512"/>
    <w:rsid w:val="008777D8"/>
    <w:rsid w:val="00881899"/>
    <w:rsid w:val="008827DF"/>
    <w:rsid w:val="00883AF1"/>
    <w:rsid w:val="008857DE"/>
    <w:rsid w:val="008912C9"/>
    <w:rsid w:val="008924D6"/>
    <w:rsid w:val="0089276C"/>
    <w:rsid w:val="00894683"/>
    <w:rsid w:val="00895C18"/>
    <w:rsid w:val="008A09BE"/>
    <w:rsid w:val="008A0FC8"/>
    <w:rsid w:val="008A1526"/>
    <w:rsid w:val="008A3752"/>
    <w:rsid w:val="008A43D0"/>
    <w:rsid w:val="008A4640"/>
    <w:rsid w:val="008A6BFE"/>
    <w:rsid w:val="008A6DB7"/>
    <w:rsid w:val="008A7B4E"/>
    <w:rsid w:val="008B15DD"/>
    <w:rsid w:val="008B1D19"/>
    <w:rsid w:val="008B2B6F"/>
    <w:rsid w:val="008B3BCF"/>
    <w:rsid w:val="008B3BED"/>
    <w:rsid w:val="008B759E"/>
    <w:rsid w:val="008C0F8E"/>
    <w:rsid w:val="008C2940"/>
    <w:rsid w:val="008C3E76"/>
    <w:rsid w:val="008C4627"/>
    <w:rsid w:val="008C48ED"/>
    <w:rsid w:val="008C4CB8"/>
    <w:rsid w:val="008C7723"/>
    <w:rsid w:val="008C7BDB"/>
    <w:rsid w:val="008D1C42"/>
    <w:rsid w:val="008D2E0C"/>
    <w:rsid w:val="008D30B4"/>
    <w:rsid w:val="008D62A9"/>
    <w:rsid w:val="008E4593"/>
    <w:rsid w:val="008E4DD9"/>
    <w:rsid w:val="008E643B"/>
    <w:rsid w:val="008E7F87"/>
    <w:rsid w:val="008F0078"/>
    <w:rsid w:val="008F1A62"/>
    <w:rsid w:val="008F43DE"/>
    <w:rsid w:val="008F73F4"/>
    <w:rsid w:val="00900941"/>
    <w:rsid w:val="009016D1"/>
    <w:rsid w:val="009019D2"/>
    <w:rsid w:val="00905DFB"/>
    <w:rsid w:val="00906442"/>
    <w:rsid w:val="00911E0B"/>
    <w:rsid w:val="0091274C"/>
    <w:rsid w:val="00913AD9"/>
    <w:rsid w:val="00913CEC"/>
    <w:rsid w:val="00915E94"/>
    <w:rsid w:val="009171AF"/>
    <w:rsid w:val="00920187"/>
    <w:rsid w:val="00923D13"/>
    <w:rsid w:val="00924BE3"/>
    <w:rsid w:val="009261B9"/>
    <w:rsid w:val="00927ADE"/>
    <w:rsid w:val="00930926"/>
    <w:rsid w:val="0093326B"/>
    <w:rsid w:val="00933DC2"/>
    <w:rsid w:val="009345D7"/>
    <w:rsid w:val="0094356C"/>
    <w:rsid w:val="00943E44"/>
    <w:rsid w:val="0094537B"/>
    <w:rsid w:val="009467C6"/>
    <w:rsid w:val="0094691F"/>
    <w:rsid w:val="00950989"/>
    <w:rsid w:val="009514B6"/>
    <w:rsid w:val="0095579E"/>
    <w:rsid w:val="0096040A"/>
    <w:rsid w:val="009608B6"/>
    <w:rsid w:val="009621D6"/>
    <w:rsid w:val="009626CB"/>
    <w:rsid w:val="009633B2"/>
    <w:rsid w:val="0096471B"/>
    <w:rsid w:val="00971217"/>
    <w:rsid w:val="00972538"/>
    <w:rsid w:val="009749BC"/>
    <w:rsid w:val="00976A93"/>
    <w:rsid w:val="00977B12"/>
    <w:rsid w:val="00980D0F"/>
    <w:rsid w:val="00982879"/>
    <w:rsid w:val="00982D3C"/>
    <w:rsid w:val="009848CE"/>
    <w:rsid w:val="00986F1C"/>
    <w:rsid w:val="00987853"/>
    <w:rsid w:val="00990610"/>
    <w:rsid w:val="009909EF"/>
    <w:rsid w:val="00990EAC"/>
    <w:rsid w:val="00990FF5"/>
    <w:rsid w:val="0099189B"/>
    <w:rsid w:val="009966E2"/>
    <w:rsid w:val="009B132B"/>
    <w:rsid w:val="009B2A74"/>
    <w:rsid w:val="009B4C36"/>
    <w:rsid w:val="009B65A8"/>
    <w:rsid w:val="009C0C29"/>
    <w:rsid w:val="009C2805"/>
    <w:rsid w:val="009D0EA4"/>
    <w:rsid w:val="009D1D72"/>
    <w:rsid w:val="009D3944"/>
    <w:rsid w:val="009D51AB"/>
    <w:rsid w:val="009D7D9F"/>
    <w:rsid w:val="009E3F01"/>
    <w:rsid w:val="009E43B2"/>
    <w:rsid w:val="009E70EF"/>
    <w:rsid w:val="009F03C0"/>
    <w:rsid w:val="009F2103"/>
    <w:rsid w:val="009F3974"/>
    <w:rsid w:val="009F4858"/>
    <w:rsid w:val="009F7AF3"/>
    <w:rsid w:val="00A00BFF"/>
    <w:rsid w:val="00A039B0"/>
    <w:rsid w:val="00A05197"/>
    <w:rsid w:val="00A10A04"/>
    <w:rsid w:val="00A13501"/>
    <w:rsid w:val="00A138CF"/>
    <w:rsid w:val="00A1712C"/>
    <w:rsid w:val="00A207B9"/>
    <w:rsid w:val="00A2183D"/>
    <w:rsid w:val="00A22654"/>
    <w:rsid w:val="00A2316C"/>
    <w:rsid w:val="00A27159"/>
    <w:rsid w:val="00A30AA3"/>
    <w:rsid w:val="00A319C2"/>
    <w:rsid w:val="00A329E1"/>
    <w:rsid w:val="00A3356F"/>
    <w:rsid w:val="00A35085"/>
    <w:rsid w:val="00A354EA"/>
    <w:rsid w:val="00A35858"/>
    <w:rsid w:val="00A3657D"/>
    <w:rsid w:val="00A37C4D"/>
    <w:rsid w:val="00A47ECD"/>
    <w:rsid w:val="00A5282C"/>
    <w:rsid w:val="00A53751"/>
    <w:rsid w:val="00A53B2F"/>
    <w:rsid w:val="00A554A2"/>
    <w:rsid w:val="00A56DCE"/>
    <w:rsid w:val="00A60047"/>
    <w:rsid w:val="00A60122"/>
    <w:rsid w:val="00A614EA"/>
    <w:rsid w:val="00A625C6"/>
    <w:rsid w:val="00A6387A"/>
    <w:rsid w:val="00A65370"/>
    <w:rsid w:val="00A66556"/>
    <w:rsid w:val="00A7123B"/>
    <w:rsid w:val="00A7169B"/>
    <w:rsid w:val="00A71834"/>
    <w:rsid w:val="00A72777"/>
    <w:rsid w:val="00A73033"/>
    <w:rsid w:val="00A74741"/>
    <w:rsid w:val="00A74BF1"/>
    <w:rsid w:val="00A74F43"/>
    <w:rsid w:val="00A7550A"/>
    <w:rsid w:val="00A75C11"/>
    <w:rsid w:val="00A7706E"/>
    <w:rsid w:val="00A81DF7"/>
    <w:rsid w:val="00A8656E"/>
    <w:rsid w:val="00A924E9"/>
    <w:rsid w:val="00A926BF"/>
    <w:rsid w:val="00A93385"/>
    <w:rsid w:val="00A9594B"/>
    <w:rsid w:val="00A95C08"/>
    <w:rsid w:val="00A970E5"/>
    <w:rsid w:val="00AA0ABD"/>
    <w:rsid w:val="00AA1EBB"/>
    <w:rsid w:val="00AA631A"/>
    <w:rsid w:val="00AA7CC4"/>
    <w:rsid w:val="00AB07DA"/>
    <w:rsid w:val="00AB1911"/>
    <w:rsid w:val="00AB44E0"/>
    <w:rsid w:val="00AB6C5D"/>
    <w:rsid w:val="00AB7F54"/>
    <w:rsid w:val="00AC00BD"/>
    <w:rsid w:val="00AC093B"/>
    <w:rsid w:val="00AC2BA4"/>
    <w:rsid w:val="00AC2D80"/>
    <w:rsid w:val="00AC5EC0"/>
    <w:rsid w:val="00AC6478"/>
    <w:rsid w:val="00AD0784"/>
    <w:rsid w:val="00AD1F6D"/>
    <w:rsid w:val="00AD67D7"/>
    <w:rsid w:val="00AD67E1"/>
    <w:rsid w:val="00AD781A"/>
    <w:rsid w:val="00AE099D"/>
    <w:rsid w:val="00AE175E"/>
    <w:rsid w:val="00AE1EED"/>
    <w:rsid w:val="00AE3CA7"/>
    <w:rsid w:val="00AE5408"/>
    <w:rsid w:val="00AF4562"/>
    <w:rsid w:val="00AF4C5A"/>
    <w:rsid w:val="00AF60D3"/>
    <w:rsid w:val="00AF6FFB"/>
    <w:rsid w:val="00AF7D13"/>
    <w:rsid w:val="00B02CD7"/>
    <w:rsid w:val="00B040EC"/>
    <w:rsid w:val="00B11CDF"/>
    <w:rsid w:val="00B14AD1"/>
    <w:rsid w:val="00B170A5"/>
    <w:rsid w:val="00B17537"/>
    <w:rsid w:val="00B22245"/>
    <w:rsid w:val="00B226C6"/>
    <w:rsid w:val="00B233A0"/>
    <w:rsid w:val="00B23A50"/>
    <w:rsid w:val="00B24962"/>
    <w:rsid w:val="00B26CDE"/>
    <w:rsid w:val="00B27085"/>
    <w:rsid w:val="00B31450"/>
    <w:rsid w:val="00B33F84"/>
    <w:rsid w:val="00B34CD8"/>
    <w:rsid w:val="00B35C11"/>
    <w:rsid w:val="00B37E5F"/>
    <w:rsid w:val="00B42B38"/>
    <w:rsid w:val="00B42FFF"/>
    <w:rsid w:val="00B467D1"/>
    <w:rsid w:val="00B51497"/>
    <w:rsid w:val="00B524D1"/>
    <w:rsid w:val="00B5393F"/>
    <w:rsid w:val="00B53CCE"/>
    <w:rsid w:val="00B62309"/>
    <w:rsid w:val="00B64296"/>
    <w:rsid w:val="00B651CF"/>
    <w:rsid w:val="00B664BF"/>
    <w:rsid w:val="00B67CAB"/>
    <w:rsid w:val="00B67FDA"/>
    <w:rsid w:val="00B70BB4"/>
    <w:rsid w:val="00B74FDB"/>
    <w:rsid w:val="00B76832"/>
    <w:rsid w:val="00B779E0"/>
    <w:rsid w:val="00B832CB"/>
    <w:rsid w:val="00B840E2"/>
    <w:rsid w:val="00B858F9"/>
    <w:rsid w:val="00B9094A"/>
    <w:rsid w:val="00B90FBC"/>
    <w:rsid w:val="00B923EE"/>
    <w:rsid w:val="00B9304A"/>
    <w:rsid w:val="00B93154"/>
    <w:rsid w:val="00B95CA2"/>
    <w:rsid w:val="00B961DA"/>
    <w:rsid w:val="00B96292"/>
    <w:rsid w:val="00B96597"/>
    <w:rsid w:val="00B96FF8"/>
    <w:rsid w:val="00B97679"/>
    <w:rsid w:val="00BA19BB"/>
    <w:rsid w:val="00BA316E"/>
    <w:rsid w:val="00BA329C"/>
    <w:rsid w:val="00BA4DA8"/>
    <w:rsid w:val="00BA7BF7"/>
    <w:rsid w:val="00BB0B80"/>
    <w:rsid w:val="00BB2426"/>
    <w:rsid w:val="00BB4E75"/>
    <w:rsid w:val="00BB582D"/>
    <w:rsid w:val="00BB5CA4"/>
    <w:rsid w:val="00BB6D3D"/>
    <w:rsid w:val="00BB7C1F"/>
    <w:rsid w:val="00BC4DDA"/>
    <w:rsid w:val="00BC7212"/>
    <w:rsid w:val="00BC75E8"/>
    <w:rsid w:val="00BD03CE"/>
    <w:rsid w:val="00BD2EDF"/>
    <w:rsid w:val="00BE08C5"/>
    <w:rsid w:val="00BE130C"/>
    <w:rsid w:val="00BE2F45"/>
    <w:rsid w:val="00BE74DA"/>
    <w:rsid w:val="00BF79D6"/>
    <w:rsid w:val="00C02A84"/>
    <w:rsid w:val="00C03960"/>
    <w:rsid w:val="00C107F7"/>
    <w:rsid w:val="00C11533"/>
    <w:rsid w:val="00C13318"/>
    <w:rsid w:val="00C13F1A"/>
    <w:rsid w:val="00C17A4D"/>
    <w:rsid w:val="00C2045B"/>
    <w:rsid w:val="00C27DEC"/>
    <w:rsid w:val="00C373E6"/>
    <w:rsid w:val="00C40F0B"/>
    <w:rsid w:val="00C410A2"/>
    <w:rsid w:val="00C42004"/>
    <w:rsid w:val="00C43836"/>
    <w:rsid w:val="00C4396D"/>
    <w:rsid w:val="00C523B8"/>
    <w:rsid w:val="00C53211"/>
    <w:rsid w:val="00C550EC"/>
    <w:rsid w:val="00C6214E"/>
    <w:rsid w:val="00C62F9B"/>
    <w:rsid w:val="00C63468"/>
    <w:rsid w:val="00C65E13"/>
    <w:rsid w:val="00C6741C"/>
    <w:rsid w:val="00C67A43"/>
    <w:rsid w:val="00C702A5"/>
    <w:rsid w:val="00C7040C"/>
    <w:rsid w:val="00C73F68"/>
    <w:rsid w:val="00C74C38"/>
    <w:rsid w:val="00C81402"/>
    <w:rsid w:val="00C83086"/>
    <w:rsid w:val="00C83C01"/>
    <w:rsid w:val="00C85367"/>
    <w:rsid w:val="00C86E5D"/>
    <w:rsid w:val="00C87442"/>
    <w:rsid w:val="00C94F0A"/>
    <w:rsid w:val="00C96F77"/>
    <w:rsid w:val="00CA60E2"/>
    <w:rsid w:val="00CA6F79"/>
    <w:rsid w:val="00CB0102"/>
    <w:rsid w:val="00CB2F77"/>
    <w:rsid w:val="00CB2FA6"/>
    <w:rsid w:val="00CB302E"/>
    <w:rsid w:val="00CB316D"/>
    <w:rsid w:val="00CB7739"/>
    <w:rsid w:val="00CB7DBA"/>
    <w:rsid w:val="00CC024B"/>
    <w:rsid w:val="00CC292A"/>
    <w:rsid w:val="00CC2D96"/>
    <w:rsid w:val="00CC3FA7"/>
    <w:rsid w:val="00CC4E57"/>
    <w:rsid w:val="00CC5F21"/>
    <w:rsid w:val="00CD0AF0"/>
    <w:rsid w:val="00CD50C1"/>
    <w:rsid w:val="00CD7948"/>
    <w:rsid w:val="00CE111A"/>
    <w:rsid w:val="00CE1992"/>
    <w:rsid w:val="00CE36FB"/>
    <w:rsid w:val="00CE38B0"/>
    <w:rsid w:val="00CE714C"/>
    <w:rsid w:val="00CF1DEB"/>
    <w:rsid w:val="00CF55DA"/>
    <w:rsid w:val="00D0430A"/>
    <w:rsid w:val="00D066D4"/>
    <w:rsid w:val="00D077C4"/>
    <w:rsid w:val="00D121DD"/>
    <w:rsid w:val="00D15570"/>
    <w:rsid w:val="00D166AD"/>
    <w:rsid w:val="00D202B4"/>
    <w:rsid w:val="00D21B05"/>
    <w:rsid w:val="00D31EA7"/>
    <w:rsid w:val="00D32882"/>
    <w:rsid w:val="00D32C64"/>
    <w:rsid w:val="00D33548"/>
    <w:rsid w:val="00D404DE"/>
    <w:rsid w:val="00D40D69"/>
    <w:rsid w:val="00D44D17"/>
    <w:rsid w:val="00D5119D"/>
    <w:rsid w:val="00D5417D"/>
    <w:rsid w:val="00D56779"/>
    <w:rsid w:val="00D612B8"/>
    <w:rsid w:val="00D61DCD"/>
    <w:rsid w:val="00D665B0"/>
    <w:rsid w:val="00D66A03"/>
    <w:rsid w:val="00D66C43"/>
    <w:rsid w:val="00D672EE"/>
    <w:rsid w:val="00D67D7E"/>
    <w:rsid w:val="00D702E4"/>
    <w:rsid w:val="00D70CEA"/>
    <w:rsid w:val="00D71DF3"/>
    <w:rsid w:val="00D73083"/>
    <w:rsid w:val="00D73AB7"/>
    <w:rsid w:val="00D74A46"/>
    <w:rsid w:val="00D75293"/>
    <w:rsid w:val="00D76447"/>
    <w:rsid w:val="00D776F0"/>
    <w:rsid w:val="00D7777C"/>
    <w:rsid w:val="00D8031F"/>
    <w:rsid w:val="00D8452B"/>
    <w:rsid w:val="00D8472B"/>
    <w:rsid w:val="00D85F80"/>
    <w:rsid w:val="00D87351"/>
    <w:rsid w:val="00D943A8"/>
    <w:rsid w:val="00D95C6E"/>
    <w:rsid w:val="00D962C2"/>
    <w:rsid w:val="00D973B6"/>
    <w:rsid w:val="00DA10C2"/>
    <w:rsid w:val="00DA228F"/>
    <w:rsid w:val="00DA3D23"/>
    <w:rsid w:val="00DA5A09"/>
    <w:rsid w:val="00DB01B6"/>
    <w:rsid w:val="00DB1408"/>
    <w:rsid w:val="00DB45DC"/>
    <w:rsid w:val="00DB4FA9"/>
    <w:rsid w:val="00DB5369"/>
    <w:rsid w:val="00DB70C4"/>
    <w:rsid w:val="00DC2F7B"/>
    <w:rsid w:val="00DC4C7A"/>
    <w:rsid w:val="00DD47DE"/>
    <w:rsid w:val="00DD4F67"/>
    <w:rsid w:val="00DD5B16"/>
    <w:rsid w:val="00DD6400"/>
    <w:rsid w:val="00DE09E5"/>
    <w:rsid w:val="00DE1429"/>
    <w:rsid w:val="00DE6774"/>
    <w:rsid w:val="00DE7759"/>
    <w:rsid w:val="00DF1AB9"/>
    <w:rsid w:val="00DF4B74"/>
    <w:rsid w:val="00E04735"/>
    <w:rsid w:val="00E04A1E"/>
    <w:rsid w:val="00E20B52"/>
    <w:rsid w:val="00E213ED"/>
    <w:rsid w:val="00E22F60"/>
    <w:rsid w:val="00E26510"/>
    <w:rsid w:val="00E302C6"/>
    <w:rsid w:val="00E30637"/>
    <w:rsid w:val="00E329C2"/>
    <w:rsid w:val="00E33314"/>
    <w:rsid w:val="00E36AA3"/>
    <w:rsid w:val="00E36B6B"/>
    <w:rsid w:val="00E41D1C"/>
    <w:rsid w:val="00E452D7"/>
    <w:rsid w:val="00E45342"/>
    <w:rsid w:val="00E4777D"/>
    <w:rsid w:val="00E50C5A"/>
    <w:rsid w:val="00E518C0"/>
    <w:rsid w:val="00E534DF"/>
    <w:rsid w:val="00E55CF0"/>
    <w:rsid w:val="00E5757A"/>
    <w:rsid w:val="00E60730"/>
    <w:rsid w:val="00E613DD"/>
    <w:rsid w:val="00E61B47"/>
    <w:rsid w:val="00E61E33"/>
    <w:rsid w:val="00E66E34"/>
    <w:rsid w:val="00E67CE7"/>
    <w:rsid w:val="00E7078E"/>
    <w:rsid w:val="00E76030"/>
    <w:rsid w:val="00E77F24"/>
    <w:rsid w:val="00E80A50"/>
    <w:rsid w:val="00E8344C"/>
    <w:rsid w:val="00E83785"/>
    <w:rsid w:val="00E8399F"/>
    <w:rsid w:val="00E84D78"/>
    <w:rsid w:val="00E9061F"/>
    <w:rsid w:val="00E9141F"/>
    <w:rsid w:val="00E91835"/>
    <w:rsid w:val="00E92438"/>
    <w:rsid w:val="00E930F8"/>
    <w:rsid w:val="00E932BE"/>
    <w:rsid w:val="00E94057"/>
    <w:rsid w:val="00E94DEE"/>
    <w:rsid w:val="00E953B0"/>
    <w:rsid w:val="00E95D11"/>
    <w:rsid w:val="00EA1414"/>
    <w:rsid w:val="00EA15D4"/>
    <w:rsid w:val="00EA2F15"/>
    <w:rsid w:val="00EA5AAF"/>
    <w:rsid w:val="00EA639E"/>
    <w:rsid w:val="00EA7EEE"/>
    <w:rsid w:val="00EB1155"/>
    <w:rsid w:val="00EB2D2B"/>
    <w:rsid w:val="00EB41A9"/>
    <w:rsid w:val="00EB5B21"/>
    <w:rsid w:val="00EB6345"/>
    <w:rsid w:val="00EB726C"/>
    <w:rsid w:val="00EC186E"/>
    <w:rsid w:val="00EC1E4A"/>
    <w:rsid w:val="00EC67D3"/>
    <w:rsid w:val="00EC6D50"/>
    <w:rsid w:val="00EC7D0A"/>
    <w:rsid w:val="00EC7DF8"/>
    <w:rsid w:val="00ED12C2"/>
    <w:rsid w:val="00ED2A6F"/>
    <w:rsid w:val="00ED4C81"/>
    <w:rsid w:val="00ED4C94"/>
    <w:rsid w:val="00ED6AE0"/>
    <w:rsid w:val="00ED744B"/>
    <w:rsid w:val="00ED761F"/>
    <w:rsid w:val="00ED7DDE"/>
    <w:rsid w:val="00EE0865"/>
    <w:rsid w:val="00EE1A7B"/>
    <w:rsid w:val="00EE4E18"/>
    <w:rsid w:val="00EE5472"/>
    <w:rsid w:val="00EF2621"/>
    <w:rsid w:val="00EF3853"/>
    <w:rsid w:val="00EF3998"/>
    <w:rsid w:val="00EF4A8D"/>
    <w:rsid w:val="00F020BB"/>
    <w:rsid w:val="00F020BE"/>
    <w:rsid w:val="00F0298E"/>
    <w:rsid w:val="00F02DC0"/>
    <w:rsid w:val="00F04255"/>
    <w:rsid w:val="00F04605"/>
    <w:rsid w:val="00F069A3"/>
    <w:rsid w:val="00F0788F"/>
    <w:rsid w:val="00F07AB4"/>
    <w:rsid w:val="00F1057C"/>
    <w:rsid w:val="00F1518C"/>
    <w:rsid w:val="00F17A73"/>
    <w:rsid w:val="00F202BB"/>
    <w:rsid w:val="00F21D2D"/>
    <w:rsid w:val="00F23827"/>
    <w:rsid w:val="00F2693B"/>
    <w:rsid w:val="00F301B3"/>
    <w:rsid w:val="00F30A03"/>
    <w:rsid w:val="00F3125E"/>
    <w:rsid w:val="00F37569"/>
    <w:rsid w:val="00F41D50"/>
    <w:rsid w:val="00F42FC8"/>
    <w:rsid w:val="00F435BC"/>
    <w:rsid w:val="00F435F8"/>
    <w:rsid w:val="00F43AB9"/>
    <w:rsid w:val="00F44EA4"/>
    <w:rsid w:val="00F44F4E"/>
    <w:rsid w:val="00F45110"/>
    <w:rsid w:val="00F451CD"/>
    <w:rsid w:val="00F466FC"/>
    <w:rsid w:val="00F47085"/>
    <w:rsid w:val="00F470CE"/>
    <w:rsid w:val="00F47659"/>
    <w:rsid w:val="00F47B86"/>
    <w:rsid w:val="00F50C60"/>
    <w:rsid w:val="00F51C1A"/>
    <w:rsid w:val="00F51D5B"/>
    <w:rsid w:val="00F51F16"/>
    <w:rsid w:val="00F5283F"/>
    <w:rsid w:val="00F547CA"/>
    <w:rsid w:val="00F64EB8"/>
    <w:rsid w:val="00F65804"/>
    <w:rsid w:val="00F659F2"/>
    <w:rsid w:val="00F6602F"/>
    <w:rsid w:val="00F6608F"/>
    <w:rsid w:val="00F66C11"/>
    <w:rsid w:val="00F7095E"/>
    <w:rsid w:val="00F70A79"/>
    <w:rsid w:val="00F752B9"/>
    <w:rsid w:val="00F75CF8"/>
    <w:rsid w:val="00F760A2"/>
    <w:rsid w:val="00F76190"/>
    <w:rsid w:val="00F80B03"/>
    <w:rsid w:val="00F820AC"/>
    <w:rsid w:val="00F83227"/>
    <w:rsid w:val="00F83B39"/>
    <w:rsid w:val="00F84F36"/>
    <w:rsid w:val="00F85479"/>
    <w:rsid w:val="00F85C91"/>
    <w:rsid w:val="00F878D9"/>
    <w:rsid w:val="00F91B0D"/>
    <w:rsid w:val="00F928A6"/>
    <w:rsid w:val="00F938AB"/>
    <w:rsid w:val="00F949AF"/>
    <w:rsid w:val="00F949D2"/>
    <w:rsid w:val="00F9716E"/>
    <w:rsid w:val="00F97843"/>
    <w:rsid w:val="00FA0D97"/>
    <w:rsid w:val="00FA768A"/>
    <w:rsid w:val="00FB3E1E"/>
    <w:rsid w:val="00FB6F62"/>
    <w:rsid w:val="00FC0D2A"/>
    <w:rsid w:val="00FC14C9"/>
    <w:rsid w:val="00FC2CB8"/>
    <w:rsid w:val="00FC4031"/>
    <w:rsid w:val="00FC4753"/>
    <w:rsid w:val="00FC602E"/>
    <w:rsid w:val="00FC7EA2"/>
    <w:rsid w:val="00FD038E"/>
    <w:rsid w:val="00FD331C"/>
    <w:rsid w:val="00FD69A9"/>
    <w:rsid w:val="00FE13A7"/>
    <w:rsid w:val="00FE5297"/>
    <w:rsid w:val="00FE64BC"/>
    <w:rsid w:val="00FF0051"/>
    <w:rsid w:val="00FF077B"/>
    <w:rsid w:val="00FF2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2F46F"/>
  <w15:docId w15:val="{85AFB3B8-1B24-487B-881C-106E8020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8"/>
        <w:lang w:val="en-US" w:eastAsia="zh-TW" w:bidi="th-TH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0941"/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90094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900941"/>
    <w:rPr>
      <w:rFonts w:ascii="Calibri" w:hAnsi="Calibri" w:cs="Calibri"/>
      <w:noProof/>
      <w:szCs w:val="22"/>
      <w:lang w:bidi="ar-SA"/>
    </w:rPr>
  </w:style>
  <w:style w:type="paragraph" w:customStyle="1" w:styleId="EndNoteBibliography">
    <w:name w:val="EndNote Bibliography"/>
    <w:basedOn w:val="a"/>
    <w:link w:val="EndNoteBibliography0"/>
    <w:rsid w:val="00900941"/>
    <w:pPr>
      <w:spacing w:line="36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900941"/>
    <w:rPr>
      <w:rFonts w:ascii="Calibri" w:hAnsi="Calibri" w:cs="Calibri"/>
      <w:noProof/>
      <w:szCs w:val="22"/>
      <w:lang w:bidi="ar-SA"/>
    </w:rPr>
  </w:style>
  <w:style w:type="character" w:styleId="a3">
    <w:name w:val="Hyperlink"/>
    <w:basedOn w:val="a0"/>
    <w:uiPriority w:val="99"/>
    <w:unhideWhenUsed/>
    <w:rsid w:val="00900941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900941"/>
    <w:rPr>
      <w:color w:val="808080"/>
      <w:shd w:val="clear" w:color="auto" w:fill="E6E6E6"/>
    </w:rPr>
  </w:style>
  <w:style w:type="character" w:styleId="a4">
    <w:name w:val="FollowedHyperlink"/>
    <w:basedOn w:val="a0"/>
    <w:uiPriority w:val="99"/>
    <w:semiHidden/>
    <w:unhideWhenUsed/>
    <w:rsid w:val="00900941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9009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00941"/>
    <w:rPr>
      <w:sz w:val="20"/>
      <w:szCs w:val="20"/>
      <w:lang w:bidi="ar-SA"/>
    </w:rPr>
  </w:style>
  <w:style w:type="paragraph" w:styleId="a7">
    <w:name w:val="footer"/>
    <w:basedOn w:val="a"/>
    <w:link w:val="a8"/>
    <w:uiPriority w:val="99"/>
    <w:unhideWhenUsed/>
    <w:rsid w:val="0090094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00941"/>
    <w:rPr>
      <w:sz w:val="20"/>
      <w:szCs w:val="20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9009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00941"/>
    <w:rPr>
      <w:rFonts w:asciiTheme="majorHAnsi" w:eastAsiaTheme="majorEastAsia" w:hAnsiTheme="majorHAnsi" w:cstheme="majorBidi"/>
      <w:sz w:val="18"/>
      <w:szCs w:val="18"/>
      <w:lang w:bidi="ar-SA"/>
    </w:rPr>
  </w:style>
  <w:style w:type="character" w:customStyle="1" w:styleId="highlight">
    <w:name w:val="highlight"/>
    <w:basedOn w:val="a0"/>
    <w:rsid w:val="00900941"/>
  </w:style>
  <w:style w:type="character" w:styleId="ab">
    <w:name w:val="Placeholder Text"/>
    <w:basedOn w:val="a0"/>
    <w:uiPriority w:val="99"/>
    <w:semiHidden/>
    <w:rsid w:val="00900941"/>
    <w:rPr>
      <w:color w:val="808080"/>
    </w:rPr>
  </w:style>
  <w:style w:type="character" w:customStyle="1" w:styleId="result">
    <w:name w:val="result"/>
    <w:basedOn w:val="a0"/>
    <w:rsid w:val="00900941"/>
    <w:rPr>
      <w:color w:val="000080"/>
    </w:rPr>
  </w:style>
  <w:style w:type="paragraph" w:styleId="ac">
    <w:name w:val="List Paragraph"/>
    <w:basedOn w:val="a"/>
    <w:uiPriority w:val="34"/>
    <w:qFormat/>
    <w:rsid w:val="00DF1AB9"/>
    <w:pPr>
      <w:ind w:leftChars="200" w:left="480"/>
    </w:pPr>
  </w:style>
  <w:style w:type="character" w:styleId="ad">
    <w:name w:val="line number"/>
    <w:basedOn w:val="a0"/>
    <w:uiPriority w:val="99"/>
    <w:semiHidden/>
    <w:unhideWhenUsed/>
    <w:rsid w:val="00746CF4"/>
  </w:style>
  <w:style w:type="paragraph" w:styleId="Web">
    <w:name w:val="Normal (Web)"/>
    <w:basedOn w:val="a"/>
    <w:uiPriority w:val="99"/>
    <w:semiHidden/>
    <w:unhideWhenUsed/>
    <w:rsid w:val="0017759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character" w:styleId="ae">
    <w:name w:val="Unresolved Mention"/>
    <w:basedOn w:val="a0"/>
    <w:uiPriority w:val="99"/>
    <w:semiHidden/>
    <w:unhideWhenUsed/>
    <w:rsid w:val="00B832CB"/>
    <w:rPr>
      <w:color w:val="605E5C"/>
      <w:shd w:val="clear" w:color="auto" w:fill="E1DFDD"/>
    </w:rPr>
  </w:style>
  <w:style w:type="paragraph" w:customStyle="1" w:styleId="Default">
    <w:name w:val="Default"/>
    <w:rsid w:val="00615C0F"/>
    <w:pPr>
      <w:widowControl/>
      <w:autoSpaceDE w:val="0"/>
      <w:autoSpaceDN w:val="0"/>
      <w:adjustRightInd w:val="0"/>
    </w:pPr>
    <w:rPr>
      <w:rFonts w:ascii="EAHMN I+ Gulliver" w:eastAsia="EAHMN I+ Gulliver" w:cs="EAHMN I+ Gulliver"/>
      <w:color w:val="000000"/>
      <w:kern w:val="0"/>
      <w:szCs w:val="24"/>
      <w:lang w:bidi="ar-SA"/>
    </w:rPr>
  </w:style>
  <w:style w:type="paragraph" w:customStyle="1" w:styleId="s3">
    <w:name w:val="s3"/>
    <w:basedOn w:val="a"/>
    <w:rsid w:val="00CC024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bumpedfont15">
    <w:name w:val="bumpedfont15"/>
    <w:basedOn w:val="a0"/>
    <w:rsid w:val="00CC024B"/>
  </w:style>
  <w:style w:type="table" w:styleId="af">
    <w:name w:val="Table Grid"/>
    <w:basedOn w:val="a1"/>
    <w:uiPriority w:val="39"/>
    <w:rsid w:val="007168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A5F56-8911-4803-AAE7-60E2AACB7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916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cheer Chen</dc:creator>
  <cp:lastModifiedBy>陳奇良</cp:lastModifiedBy>
  <cp:revision>9</cp:revision>
  <cp:lastPrinted>2019-02-25T01:26:00Z</cp:lastPrinted>
  <dcterms:created xsi:type="dcterms:W3CDTF">2023-11-29T07:01:00Z</dcterms:created>
  <dcterms:modified xsi:type="dcterms:W3CDTF">2024-03-14T07:42:00Z</dcterms:modified>
</cp:coreProperties>
</file>