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855C4" w14:textId="77777777" w:rsidR="00AC1E22" w:rsidRPr="00A877DE" w:rsidRDefault="00AC1E22" w:rsidP="00FE09B6">
      <w:pPr>
        <w:spacing w:line="480" w:lineRule="auto"/>
        <w:rPr>
          <w:rFonts w:ascii="Times New Roman" w:hAnsi="Times New Roman"/>
          <w:sz w:val="28"/>
          <w:szCs w:val="28"/>
        </w:rPr>
      </w:pPr>
      <w:r>
        <w:rPr>
          <w:rFonts w:ascii="Times New Roman" w:hAnsi="Times New Roman"/>
          <w:sz w:val="28"/>
          <w:szCs w:val="28"/>
        </w:rPr>
        <w:t>Supplementary material</w:t>
      </w:r>
    </w:p>
    <w:p w14:paraId="557F2940" w14:textId="77777777" w:rsidR="00AC1E22" w:rsidRPr="00A877DE" w:rsidRDefault="00AC1E22" w:rsidP="00FE09B6">
      <w:pPr>
        <w:spacing w:line="480" w:lineRule="auto"/>
        <w:rPr>
          <w:rFonts w:ascii="Times New Roman" w:hAnsi="Times New Roman"/>
          <w:sz w:val="20"/>
          <w:szCs w:val="20"/>
        </w:rPr>
      </w:pPr>
    </w:p>
    <w:p w14:paraId="0A5E6F6B" w14:textId="77777777" w:rsidR="00AC1E22" w:rsidRPr="003A6D47" w:rsidRDefault="00AC1E22" w:rsidP="00FE09B6">
      <w:pPr>
        <w:spacing w:line="480" w:lineRule="auto"/>
        <w:rPr>
          <w:rFonts w:ascii="Times New Roman" w:hAnsi="Times New Roman"/>
          <w:sz w:val="24"/>
          <w:szCs w:val="24"/>
        </w:rPr>
      </w:pPr>
      <w:r>
        <w:rPr>
          <w:rFonts w:ascii="Times New Roman" w:hAnsi="Times New Roman"/>
          <w:sz w:val="24"/>
          <w:szCs w:val="24"/>
        </w:rPr>
        <w:t>1.  M</w:t>
      </w:r>
      <w:r w:rsidRPr="003A6D47">
        <w:rPr>
          <w:rFonts w:ascii="Times New Roman" w:hAnsi="Times New Roman"/>
          <w:sz w:val="24"/>
          <w:szCs w:val="24"/>
        </w:rPr>
        <w:t>odel structure</w:t>
      </w:r>
    </w:p>
    <w:p w14:paraId="63E51650" w14:textId="77777777" w:rsidR="00AC1E22" w:rsidRPr="00B44380" w:rsidRDefault="00AC1E22" w:rsidP="00FE09B6">
      <w:pPr>
        <w:spacing w:line="480" w:lineRule="auto"/>
        <w:rPr>
          <w:rFonts w:ascii="Times New Roman" w:hAnsi="Times New Roman"/>
          <w:i/>
          <w:sz w:val="20"/>
          <w:szCs w:val="20"/>
        </w:rPr>
      </w:pPr>
      <w:r w:rsidRPr="00B44380">
        <w:rPr>
          <w:rFonts w:ascii="Times New Roman" w:hAnsi="Times New Roman"/>
          <w:i/>
          <w:sz w:val="20"/>
          <w:szCs w:val="20"/>
        </w:rPr>
        <w:t>1.1.  Overview</w:t>
      </w:r>
    </w:p>
    <w:p w14:paraId="647C0962" w14:textId="57E435DD" w:rsidR="00505FA1" w:rsidRDefault="00B1765E" w:rsidP="00FE09B6">
      <w:pPr>
        <w:spacing w:line="480" w:lineRule="auto"/>
        <w:rPr>
          <w:rFonts w:ascii="Times New Roman" w:hAnsi="Times New Roman"/>
          <w:sz w:val="20"/>
          <w:szCs w:val="20"/>
        </w:rPr>
      </w:pPr>
      <w:r>
        <w:rPr>
          <w:rFonts w:ascii="Times New Roman" w:hAnsi="Times New Roman"/>
          <w:sz w:val="20"/>
          <w:szCs w:val="20"/>
        </w:rPr>
        <w:t xml:space="preserve">The core model structure, replicated for </w:t>
      </w:r>
      <w:r w:rsidR="00A364F2">
        <w:rPr>
          <w:rFonts w:ascii="Times New Roman" w:hAnsi="Times New Roman"/>
          <w:sz w:val="20"/>
          <w:szCs w:val="20"/>
        </w:rPr>
        <w:t xml:space="preserve">the </w:t>
      </w:r>
      <w:r w:rsidR="00F62128">
        <w:rPr>
          <w:rFonts w:ascii="Times New Roman" w:hAnsi="Times New Roman"/>
          <w:sz w:val="20"/>
          <w:szCs w:val="20"/>
        </w:rPr>
        <w:t>Hunter New England</w:t>
      </w:r>
      <w:r w:rsidR="00A364F2">
        <w:rPr>
          <w:rFonts w:ascii="Times New Roman" w:hAnsi="Times New Roman"/>
          <w:sz w:val="20"/>
          <w:szCs w:val="20"/>
        </w:rPr>
        <w:t xml:space="preserve"> Local Health District (LHD) and </w:t>
      </w:r>
      <w:r w:rsidR="0027303D">
        <w:rPr>
          <w:rFonts w:ascii="Times New Roman" w:hAnsi="Times New Roman"/>
          <w:sz w:val="20"/>
          <w:szCs w:val="20"/>
        </w:rPr>
        <w:t xml:space="preserve">the </w:t>
      </w:r>
      <w:r w:rsidR="00F62128">
        <w:rPr>
          <w:rFonts w:ascii="Times New Roman" w:hAnsi="Times New Roman"/>
          <w:sz w:val="20"/>
          <w:szCs w:val="20"/>
        </w:rPr>
        <w:t>Central Coast</w:t>
      </w:r>
      <w:r w:rsidR="00A364F2">
        <w:rPr>
          <w:rFonts w:ascii="Times New Roman" w:hAnsi="Times New Roman"/>
          <w:sz w:val="20"/>
          <w:szCs w:val="20"/>
        </w:rPr>
        <w:t xml:space="preserve"> LHD</w:t>
      </w:r>
      <w:r>
        <w:rPr>
          <w:rFonts w:ascii="Times New Roman" w:hAnsi="Times New Roman"/>
          <w:sz w:val="20"/>
          <w:szCs w:val="20"/>
        </w:rPr>
        <w:t xml:space="preserve">, </w:t>
      </w:r>
      <w:r w:rsidR="0027303D">
        <w:rPr>
          <w:rFonts w:ascii="Times New Roman" w:hAnsi="Times New Roman"/>
          <w:sz w:val="20"/>
          <w:szCs w:val="20"/>
        </w:rPr>
        <w:t>incorporates</w:t>
      </w:r>
      <w:r>
        <w:rPr>
          <w:rFonts w:ascii="Times New Roman" w:hAnsi="Times New Roman"/>
          <w:sz w:val="20"/>
          <w:szCs w:val="20"/>
        </w:rPr>
        <w:t xml:space="preserve"> a </w:t>
      </w:r>
      <w:r w:rsidR="005C2256">
        <w:rPr>
          <w:rFonts w:ascii="Times New Roman" w:hAnsi="Times New Roman"/>
          <w:sz w:val="20"/>
          <w:szCs w:val="20"/>
        </w:rPr>
        <w:t>set</w:t>
      </w:r>
      <w:r>
        <w:rPr>
          <w:rFonts w:ascii="Times New Roman" w:hAnsi="Times New Roman"/>
          <w:sz w:val="20"/>
          <w:szCs w:val="20"/>
        </w:rPr>
        <w:t xml:space="preserve"> of interconnected sub-models or sectors, including: 1) a population sector, capturing changes in population size</w:t>
      </w:r>
      <w:r w:rsidR="0027303D">
        <w:rPr>
          <w:rFonts w:ascii="Times New Roman" w:hAnsi="Times New Roman"/>
          <w:sz w:val="20"/>
          <w:szCs w:val="20"/>
        </w:rPr>
        <w:t xml:space="preserve"> over time </w:t>
      </w:r>
      <w:r w:rsidR="00DD6B04">
        <w:rPr>
          <w:rFonts w:ascii="Times New Roman" w:hAnsi="Times New Roman"/>
          <w:sz w:val="20"/>
          <w:szCs w:val="20"/>
        </w:rPr>
        <w:t>due to</w:t>
      </w:r>
      <w:r>
        <w:rPr>
          <w:rFonts w:ascii="Times New Roman" w:hAnsi="Times New Roman"/>
          <w:sz w:val="20"/>
          <w:szCs w:val="20"/>
        </w:rPr>
        <w:t xml:space="preserve"> births,</w:t>
      </w:r>
      <w:r w:rsidR="008F1ACC">
        <w:rPr>
          <w:rFonts w:ascii="Times New Roman" w:hAnsi="Times New Roman"/>
          <w:sz w:val="20"/>
          <w:szCs w:val="20"/>
        </w:rPr>
        <w:t xml:space="preserve"> migration, </w:t>
      </w:r>
      <w:r>
        <w:rPr>
          <w:rFonts w:ascii="Times New Roman" w:hAnsi="Times New Roman"/>
          <w:sz w:val="20"/>
          <w:szCs w:val="20"/>
        </w:rPr>
        <w:t xml:space="preserve">and </w:t>
      </w:r>
      <w:r w:rsidR="00DD6B04">
        <w:rPr>
          <w:rFonts w:ascii="Times New Roman" w:hAnsi="Times New Roman"/>
          <w:sz w:val="20"/>
          <w:szCs w:val="20"/>
        </w:rPr>
        <w:t xml:space="preserve">(all cause) </w:t>
      </w:r>
      <w:r>
        <w:rPr>
          <w:rFonts w:ascii="Times New Roman" w:hAnsi="Times New Roman"/>
          <w:sz w:val="20"/>
          <w:szCs w:val="20"/>
        </w:rPr>
        <w:t xml:space="preserve">mortality; 2) a psychological distress sector that models flows of people to and from states of low psychological </w:t>
      </w:r>
      <w:r w:rsidR="007D0B5B">
        <w:rPr>
          <w:rFonts w:ascii="Times New Roman" w:hAnsi="Times New Roman"/>
          <w:sz w:val="20"/>
          <w:szCs w:val="20"/>
        </w:rPr>
        <w:t>distress</w:t>
      </w:r>
      <w:r w:rsidR="008C457D">
        <w:rPr>
          <w:rFonts w:ascii="Times New Roman" w:hAnsi="Times New Roman"/>
          <w:sz w:val="20"/>
          <w:szCs w:val="20"/>
        </w:rPr>
        <w:t xml:space="preserve"> </w:t>
      </w:r>
      <w:r>
        <w:rPr>
          <w:rFonts w:ascii="Times New Roman" w:hAnsi="Times New Roman"/>
          <w:sz w:val="20"/>
          <w:szCs w:val="20"/>
        </w:rPr>
        <w:t xml:space="preserve">and moderate to very high psychological distress; 3) </w:t>
      </w:r>
      <w:r w:rsidR="00FF717B">
        <w:rPr>
          <w:rFonts w:ascii="Times New Roman" w:hAnsi="Times New Roman"/>
          <w:sz w:val="20"/>
          <w:szCs w:val="20"/>
        </w:rPr>
        <w:t>a</w:t>
      </w:r>
      <w:r w:rsidR="008C457D">
        <w:rPr>
          <w:rFonts w:ascii="Times New Roman" w:hAnsi="Times New Roman"/>
          <w:sz w:val="20"/>
          <w:szCs w:val="20"/>
        </w:rPr>
        <w:t xml:space="preserve"> mental </w:t>
      </w:r>
      <w:r w:rsidR="004E375D">
        <w:rPr>
          <w:rFonts w:ascii="Times New Roman" w:hAnsi="Times New Roman"/>
          <w:sz w:val="20"/>
          <w:szCs w:val="20"/>
        </w:rPr>
        <w:t xml:space="preserve">health </w:t>
      </w:r>
      <w:r>
        <w:rPr>
          <w:rFonts w:ascii="Times New Roman" w:hAnsi="Times New Roman"/>
          <w:sz w:val="20"/>
          <w:szCs w:val="20"/>
        </w:rPr>
        <w:t>services</w:t>
      </w:r>
      <w:r w:rsidR="00DD0523">
        <w:rPr>
          <w:rFonts w:ascii="Times New Roman" w:hAnsi="Times New Roman"/>
          <w:sz w:val="20"/>
          <w:szCs w:val="20"/>
        </w:rPr>
        <w:t xml:space="preserve"> </w:t>
      </w:r>
      <w:r>
        <w:rPr>
          <w:rFonts w:ascii="Times New Roman" w:hAnsi="Times New Roman"/>
          <w:sz w:val="20"/>
          <w:szCs w:val="20"/>
        </w:rPr>
        <w:t xml:space="preserve">sector, modelling the </w:t>
      </w:r>
      <w:r w:rsidRPr="00DA3E64">
        <w:rPr>
          <w:rFonts w:ascii="Times New Roman" w:hAnsi="Times New Roman"/>
          <w:sz w:val="20"/>
          <w:szCs w:val="20"/>
        </w:rPr>
        <w:t>movement of</w:t>
      </w:r>
      <w:r w:rsidR="008C457D">
        <w:rPr>
          <w:rFonts w:ascii="Times New Roman" w:hAnsi="Times New Roman"/>
          <w:sz w:val="20"/>
          <w:szCs w:val="20"/>
        </w:rPr>
        <w:t xml:space="preserve"> </w:t>
      </w:r>
      <w:r w:rsidR="00196334">
        <w:rPr>
          <w:rFonts w:ascii="Times New Roman" w:hAnsi="Times New Roman"/>
          <w:sz w:val="20"/>
          <w:szCs w:val="20"/>
        </w:rPr>
        <w:t xml:space="preserve">psychologically </w:t>
      </w:r>
      <w:r w:rsidR="008C457D">
        <w:rPr>
          <w:rFonts w:ascii="Times New Roman" w:hAnsi="Times New Roman"/>
          <w:sz w:val="20"/>
          <w:szCs w:val="20"/>
        </w:rPr>
        <w:t xml:space="preserve">distressed </w:t>
      </w:r>
      <w:r w:rsidRPr="00DA3E64">
        <w:rPr>
          <w:rFonts w:ascii="Times New Roman" w:hAnsi="Times New Roman"/>
          <w:sz w:val="20"/>
          <w:szCs w:val="20"/>
        </w:rPr>
        <w:t>p</w:t>
      </w:r>
      <w:r>
        <w:rPr>
          <w:rFonts w:ascii="Times New Roman" w:hAnsi="Times New Roman"/>
          <w:sz w:val="20"/>
          <w:szCs w:val="20"/>
        </w:rPr>
        <w:t>atients</w:t>
      </w:r>
      <w:r w:rsidRPr="00DA3E64">
        <w:rPr>
          <w:rFonts w:ascii="Times New Roman" w:hAnsi="Times New Roman"/>
          <w:sz w:val="20"/>
          <w:szCs w:val="20"/>
        </w:rPr>
        <w:t xml:space="preserve"> through</w:t>
      </w:r>
      <w:r>
        <w:rPr>
          <w:rFonts w:ascii="Times New Roman" w:hAnsi="Times New Roman"/>
          <w:sz w:val="20"/>
          <w:szCs w:val="20"/>
        </w:rPr>
        <w:t xml:space="preserve"> a network of</w:t>
      </w:r>
      <w:r w:rsidRPr="00DA3E64">
        <w:rPr>
          <w:rFonts w:ascii="Times New Roman" w:hAnsi="Times New Roman"/>
          <w:sz w:val="20"/>
          <w:szCs w:val="20"/>
        </w:rPr>
        <w:t xml:space="preserve"> possible service pathways involvi</w:t>
      </w:r>
      <w:r w:rsidR="00196334">
        <w:rPr>
          <w:rFonts w:ascii="Times New Roman" w:hAnsi="Times New Roman"/>
          <w:sz w:val="20"/>
          <w:szCs w:val="20"/>
        </w:rPr>
        <w:t xml:space="preserve">ng </w:t>
      </w:r>
      <w:r w:rsidRPr="00DA3E64">
        <w:rPr>
          <w:rFonts w:ascii="Times New Roman" w:hAnsi="Times New Roman"/>
          <w:sz w:val="20"/>
          <w:szCs w:val="20"/>
        </w:rPr>
        <w:t>general practitioners, psychiatrists and allied</w:t>
      </w:r>
      <w:r w:rsidR="008C457D">
        <w:rPr>
          <w:rFonts w:ascii="Times New Roman" w:hAnsi="Times New Roman"/>
          <w:sz w:val="20"/>
          <w:szCs w:val="20"/>
        </w:rPr>
        <w:t xml:space="preserve"> </w:t>
      </w:r>
      <w:r>
        <w:rPr>
          <w:rFonts w:ascii="Times New Roman" w:hAnsi="Times New Roman"/>
          <w:sz w:val="20"/>
          <w:szCs w:val="20"/>
        </w:rPr>
        <w:t>health</w:t>
      </w:r>
      <w:r w:rsidR="00196334">
        <w:rPr>
          <w:rFonts w:ascii="Times New Roman" w:hAnsi="Times New Roman"/>
          <w:sz w:val="20"/>
          <w:szCs w:val="20"/>
        </w:rPr>
        <w:t xml:space="preserve"> care</w:t>
      </w:r>
      <w:r w:rsidR="008C457D">
        <w:rPr>
          <w:rFonts w:ascii="Times New Roman" w:hAnsi="Times New Roman"/>
          <w:sz w:val="20"/>
          <w:szCs w:val="20"/>
        </w:rPr>
        <w:t xml:space="preserve"> </w:t>
      </w:r>
      <w:r>
        <w:rPr>
          <w:rFonts w:ascii="Times New Roman" w:hAnsi="Times New Roman"/>
          <w:sz w:val="20"/>
          <w:szCs w:val="20"/>
        </w:rPr>
        <w:t>providers</w:t>
      </w:r>
      <w:r w:rsidRPr="00DA3E64">
        <w:rPr>
          <w:rFonts w:ascii="Times New Roman" w:hAnsi="Times New Roman"/>
          <w:sz w:val="20"/>
          <w:szCs w:val="20"/>
        </w:rPr>
        <w:t xml:space="preserve">, </w:t>
      </w:r>
      <w:r w:rsidR="00196334">
        <w:rPr>
          <w:rFonts w:ascii="Times New Roman" w:hAnsi="Times New Roman"/>
          <w:sz w:val="20"/>
          <w:szCs w:val="20"/>
        </w:rPr>
        <w:t>hospital</w:t>
      </w:r>
      <w:r w:rsidRPr="00DA3E64">
        <w:rPr>
          <w:rFonts w:ascii="Times New Roman" w:hAnsi="Times New Roman"/>
          <w:sz w:val="20"/>
          <w:szCs w:val="20"/>
        </w:rPr>
        <w:t xml:space="preserve"> inpatient care,</w:t>
      </w:r>
      <w:r>
        <w:rPr>
          <w:rFonts w:ascii="Times New Roman" w:hAnsi="Times New Roman"/>
          <w:sz w:val="20"/>
          <w:szCs w:val="20"/>
        </w:rPr>
        <w:t xml:space="preserve"> community mental health care services</w:t>
      </w:r>
      <w:r w:rsidRPr="00DA3E64">
        <w:rPr>
          <w:rFonts w:ascii="Times New Roman" w:hAnsi="Times New Roman"/>
          <w:sz w:val="20"/>
          <w:szCs w:val="20"/>
        </w:rPr>
        <w:t>, and online</w:t>
      </w:r>
      <w:r>
        <w:rPr>
          <w:rFonts w:ascii="Times New Roman" w:hAnsi="Times New Roman"/>
          <w:sz w:val="20"/>
          <w:szCs w:val="20"/>
        </w:rPr>
        <w:t xml:space="preserve"> </w:t>
      </w:r>
      <w:r w:rsidRPr="00DA3E64">
        <w:rPr>
          <w:rFonts w:ascii="Times New Roman" w:hAnsi="Times New Roman"/>
          <w:sz w:val="20"/>
          <w:szCs w:val="20"/>
        </w:rPr>
        <w:t xml:space="preserve">services; and 4) a suicidal behaviour </w:t>
      </w:r>
      <w:r>
        <w:rPr>
          <w:rFonts w:ascii="Times New Roman" w:hAnsi="Times New Roman"/>
          <w:sz w:val="20"/>
          <w:szCs w:val="20"/>
        </w:rPr>
        <w:t>sector</w:t>
      </w:r>
      <w:r w:rsidRPr="00DA3E64">
        <w:rPr>
          <w:rFonts w:ascii="Times New Roman" w:hAnsi="Times New Roman"/>
          <w:sz w:val="20"/>
          <w:szCs w:val="20"/>
        </w:rPr>
        <w:t xml:space="preserve"> that captures </w:t>
      </w:r>
      <w:r>
        <w:rPr>
          <w:rFonts w:ascii="Times New Roman" w:hAnsi="Times New Roman"/>
          <w:sz w:val="20"/>
          <w:szCs w:val="20"/>
        </w:rPr>
        <w:t>numbers of self-harm</w:t>
      </w:r>
      <w:r w:rsidR="008F1ACC">
        <w:rPr>
          <w:rFonts w:ascii="Times New Roman" w:hAnsi="Times New Roman"/>
          <w:sz w:val="20"/>
          <w:szCs w:val="20"/>
        </w:rPr>
        <w:t xml:space="preserve"> </w:t>
      </w:r>
      <w:r w:rsidRPr="00DA3E64">
        <w:rPr>
          <w:rFonts w:ascii="Times New Roman" w:hAnsi="Times New Roman"/>
          <w:sz w:val="20"/>
          <w:szCs w:val="20"/>
        </w:rPr>
        <w:t>hospitalisations and suicide</w:t>
      </w:r>
      <w:r>
        <w:rPr>
          <w:rFonts w:ascii="Times New Roman" w:hAnsi="Times New Roman"/>
          <w:sz w:val="20"/>
          <w:szCs w:val="20"/>
        </w:rPr>
        <w:t>s</w:t>
      </w:r>
      <w:r w:rsidRPr="00DA3E64">
        <w:rPr>
          <w:rFonts w:ascii="Times New Roman" w:hAnsi="Times New Roman"/>
          <w:sz w:val="20"/>
          <w:szCs w:val="20"/>
        </w:rPr>
        <w:t>.</w:t>
      </w:r>
      <w:r w:rsidR="008C681D">
        <w:rPr>
          <w:rFonts w:ascii="Times New Roman" w:hAnsi="Times New Roman"/>
          <w:sz w:val="20"/>
          <w:szCs w:val="20"/>
        </w:rPr>
        <w:t xml:space="preserve">  </w:t>
      </w:r>
      <w:r w:rsidR="00ED284E">
        <w:rPr>
          <w:rFonts w:ascii="Times New Roman" w:hAnsi="Times New Roman"/>
          <w:sz w:val="20"/>
          <w:szCs w:val="20"/>
        </w:rPr>
        <w:t xml:space="preserve">Figure S1 presents a </w:t>
      </w:r>
      <w:r w:rsidR="00341503">
        <w:rPr>
          <w:rFonts w:ascii="Times New Roman" w:hAnsi="Times New Roman"/>
          <w:sz w:val="20"/>
          <w:szCs w:val="20"/>
        </w:rPr>
        <w:t xml:space="preserve">high-level map </w:t>
      </w:r>
      <w:r w:rsidR="00852F47">
        <w:rPr>
          <w:rFonts w:ascii="Times New Roman" w:hAnsi="Times New Roman"/>
          <w:sz w:val="20"/>
          <w:szCs w:val="20"/>
        </w:rPr>
        <w:t>of</w:t>
      </w:r>
      <w:r w:rsidR="00341503">
        <w:rPr>
          <w:rFonts w:ascii="Times New Roman" w:hAnsi="Times New Roman"/>
          <w:sz w:val="20"/>
          <w:szCs w:val="20"/>
        </w:rPr>
        <w:t xml:space="preserve"> the core model</w:t>
      </w:r>
      <w:r w:rsidR="002C390B">
        <w:rPr>
          <w:rFonts w:ascii="Times New Roman" w:hAnsi="Times New Roman"/>
          <w:sz w:val="20"/>
          <w:szCs w:val="20"/>
        </w:rPr>
        <w:t xml:space="preserve"> </w:t>
      </w:r>
      <w:r w:rsidR="00341503">
        <w:rPr>
          <w:rFonts w:ascii="Times New Roman" w:hAnsi="Times New Roman"/>
          <w:sz w:val="20"/>
          <w:szCs w:val="20"/>
        </w:rPr>
        <w:t>showing the</w:t>
      </w:r>
      <w:r w:rsidR="00852F47">
        <w:rPr>
          <w:rFonts w:ascii="Times New Roman" w:hAnsi="Times New Roman"/>
          <w:sz w:val="20"/>
          <w:szCs w:val="20"/>
        </w:rPr>
        <w:t xml:space="preserve"> </w:t>
      </w:r>
      <w:r w:rsidR="00341503">
        <w:rPr>
          <w:rFonts w:ascii="Times New Roman" w:hAnsi="Times New Roman"/>
          <w:sz w:val="20"/>
          <w:szCs w:val="20"/>
        </w:rPr>
        <w:t>connections among sect</w:t>
      </w:r>
      <w:r w:rsidR="00ED284E">
        <w:rPr>
          <w:rFonts w:ascii="Times New Roman" w:hAnsi="Times New Roman"/>
          <w:sz w:val="20"/>
          <w:szCs w:val="20"/>
        </w:rPr>
        <w:t>ors</w:t>
      </w:r>
      <w:r w:rsidR="008C681D">
        <w:rPr>
          <w:rFonts w:ascii="Times New Roman" w:hAnsi="Times New Roman"/>
          <w:sz w:val="20"/>
          <w:szCs w:val="20"/>
        </w:rPr>
        <w:t>.</w:t>
      </w:r>
    </w:p>
    <w:p w14:paraId="317DE9E8" w14:textId="77777777" w:rsidR="005C2256" w:rsidRDefault="005C2256" w:rsidP="00FE09B6">
      <w:pPr>
        <w:spacing w:line="480" w:lineRule="auto"/>
        <w:rPr>
          <w:rFonts w:ascii="Times New Roman" w:hAnsi="Times New Roman"/>
          <w:sz w:val="20"/>
          <w:szCs w:val="20"/>
        </w:rPr>
      </w:pPr>
    </w:p>
    <w:p w14:paraId="05E1C125" w14:textId="2E139FA4" w:rsidR="005C2256" w:rsidRDefault="005C2256" w:rsidP="005C2256">
      <w:pPr>
        <w:spacing w:line="480" w:lineRule="auto"/>
        <w:jc w:val="center"/>
        <w:rPr>
          <w:rFonts w:ascii="Times New Roman" w:hAnsi="Times New Roman"/>
          <w:sz w:val="20"/>
          <w:szCs w:val="20"/>
        </w:rPr>
      </w:pPr>
      <w:r>
        <w:rPr>
          <w:rFonts w:ascii="Times New Roman" w:hAnsi="Times New Roman"/>
          <w:noProof/>
          <w:sz w:val="20"/>
          <w:szCs w:val="20"/>
        </w:rPr>
        <w:drawing>
          <wp:inline distT="0" distB="0" distL="0" distR="0" wp14:anchorId="6FE74AD9" wp14:editId="6562AEF6">
            <wp:extent cx="4200525" cy="3418221"/>
            <wp:effectExtent l="0" t="0" r="0" b="0"/>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6"/>
                    <a:stretch>
                      <a:fillRect/>
                    </a:stretch>
                  </pic:blipFill>
                  <pic:spPr>
                    <a:xfrm>
                      <a:off x="0" y="0"/>
                      <a:ext cx="4246867" cy="3455932"/>
                    </a:xfrm>
                    <a:prstGeom prst="rect">
                      <a:avLst/>
                    </a:prstGeom>
                  </pic:spPr>
                </pic:pic>
              </a:graphicData>
            </a:graphic>
          </wp:inline>
        </w:drawing>
      </w:r>
    </w:p>
    <w:p w14:paraId="222ECD6D" w14:textId="682AE8B1" w:rsidR="005C2256" w:rsidRDefault="005C2256" w:rsidP="00FE09B6">
      <w:pPr>
        <w:spacing w:line="480" w:lineRule="auto"/>
        <w:rPr>
          <w:rFonts w:ascii="Times New Roman" w:hAnsi="Times New Roman"/>
          <w:sz w:val="20"/>
          <w:szCs w:val="20"/>
        </w:rPr>
      </w:pPr>
      <w:r>
        <w:rPr>
          <w:rFonts w:ascii="Times New Roman" w:hAnsi="Times New Roman"/>
          <w:sz w:val="20"/>
          <w:szCs w:val="20"/>
        </w:rPr>
        <w:t>Figure S1.  High-level map of the core system dynamics model showing the causal connections among model sectors.  Single-headed arrows indicate unidirectional causal connections; bidirectional causal connections are shown as double-headed arrows.</w:t>
      </w:r>
    </w:p>
    <w:p w14:paraId="40FD11C8" w14:textId="77777777" w:rsidR="003E47E1" w:rsidRPr="00B44380" w:rsidRDefault="003E47E1" w:rsidP="003E47E1">
      <w:pPr>
        <w:spacing w:line="480" w:lineRule="auto"/>
        <w:rPr>
          <w:rFonts w:ascii="Times New Roman" w:hAnsi="Times New Roman"/>
          <w:i/>
          <w:sz w:val="20"/>
          <w:szCs w:val="20"/>
        </w:rPr>
      </w:pPr>
      <w:r w:rsidRPr="00B44380">
        <w:rPr>
          <w:rFonts w:ascii="Times New Roman" w:hAnsi="Times New Roman"/>
          <w:i/>
          <w:sz w:val="20"/>
          <w:szCs w:val="20"/>
        </w:rPr>
        <w:lastRenderedPageBreak/>
        <w:t>1.2.  Population sector</w:t>
      </w:r>
    </w:p>
    <w:p w14:paraId="724AD30A" w14:textId="7E5EB2D4" w:rsidR="003B2019" w:rsidRDefault="003E47E1" w:rsidP="003E47E1">
      <w:pPr>
        <w:spacing w:line="480" w:lineRule="auto"/>
        <w:rPr>
          <w:rFonts w:ascii="Times New Roman" w:hAnsi="Times New Roman"/>
          <w:sz w:val="20"/>
          <w:szCs w:val="20"/>
        </w:rPr>
      </w:pPr>
      <w:r>
        <w:rPr>
          <w:rFonts w:ascii="Times New Roman" w:hAnsi="Times New Roman"/>
          <w:sz w:val="20"/>
          <w:szCs w:val="20"/>
        </w:rPr>
        <w:t xml:space="preserve">Figure S2 shows the structure of the population sector, which </w:t>
      </w:r>
      <w:r w:rsidR="00B1765E">
        <w:rPr>
          <w:rFonts w:ascii="Times New Roman" w:hAnsi="Times New Roman"/>
          <w:sz w:val="20"/>
          <w:szCs w:val="20"/>
        </w:rPr>
        <w:t xml:space="preserve">captures </w:t>
      </w:r>
      <w:r>
        <w:rPr>
          <w:rFonts w:ascii="Times New Roman" w:hAnsi="Times New Roman"/>
          <w:sz w:val="20"/>
          <w:szCs w:val="20"/>
        </w:rPr>
        <w:t xml:space="preserve">changes in </w:t>
      </w:r>
      <w:r w:rsidR="00B1765E">
        <w:rPr>
          <w:rFonts w:ascii="Times New Roman" w:hAnsi="Times New Roman"/>
          <w:sz w:val="20"/>
          <w:szCs w:val="20"/>
        </w:rPr>
        <w:t>catchment</w:t>
      </w:r>
      <w:r>
        <w:rPr>
          <w:rFonts w:ascii="Times New Roman" w:hAnsi="Times New Roman"/>
          <w:sz w:val="20"/>
          <w:szCs w:val="20"/>
        </w:rPr>
        <w:t xml:space="preserve"> population</w:t>
      </w:r>
      <w:r w:rsidR="00B1765E">
        <w:rPr>
          <w:rFonts w:ascii="Times New Roman" w:hAnsi="Times New Roman"/>
          <w:sz w:val="20"/>
          <w:szCs w:val="20"/>
        </w:rPr>
        <w:t xml:space="preserve"> size</w:t>
      </w:r>
      <w:r>
        <w:rPr>
          <w:rFonts w:ascii="Times New Roman" w:hAnsi="Times New Roman"/>
          <w:sz w:val="20"/>
          <w:szCs w:val="20"/>
        </w:rPr>
        <w:t xml:space="preserve"> </w:t>
      </w:r>
      <w:r w:rsidR="00B1765E">
        <w:rPr>
          <w:rFonts w:ascii="Times New Roman" w:hAnsi="Times New Roman"/>
          <w:sz w:val="20"/>
          <w:szCs w:val="20"/>
        </w:rPr>
        <w:t>due to</w:t>
      </w:r>
      <w:r>
        <w:rPr>
          <w:rFonts w:ascii="Times New Roman" w:hAnsi="Times New Roman"/>
          <w:sz w:val="20"/>
          <w:szCs w:val="20"/>
        </w:rPr>
        <w:t xml:space="preserve"> births, </w:t>
      </w:r>
      <w:r w:rsidR="0098448D">
        <w:rPr>
          <w:rFonts w:ascii="Times New Roman" w:hAnsi="Times New Roman"/>
          <w:sz w:val="20"/>
          <w:szCs w:val="20"/>
        </w:rPr>
        <w:t>migration</w:t>
      </w:r>
      <w:r w:rsidR="00B1765E">
        <w:rPr>
          <w:rFonts w:ascii="Times New Roman" w:hAnsi="Times New Roman"/>
          <w:sz w:val="20"/>
          <w:szCs w:val="20"/>
        </w:rPr>
        <w:t>,</w:t>
      </w:r>
      <w:r>
        <w:rPr>
          <w:rFonts w:ascii="Times New Roman" w:hAnsi="Times New Roman"/>
          <w:sz w:val="20"/>
          <w:szCs w:val="20"/>
        </w:rPr>
        <w:t xml:space="preserve"> and mortality.</w:t>
      </w:r>
      <w:r w:rsidR="008C5200">
        <w:rPr>
          <w:rFonts w:ascii="Times New Roman" w:hAnsi="Times New Roman"/>
          <w:sz w:val="20"/>
          <w:szCs w:val="20"/>
        </w:rPr>
        <w:t xml:space="preserve">  The total population of each </w:t>
      </w:r>
      <w:r w:rsidR="00690953">
        <w:rPr>
          <w:rFonts w:ascii="Times New Roman" w:hAnsi="Times New Roman"/>
          <w:sz w:val="20"/>
          <w:szCs w:val="20"/>
        </w:rPr>
        <w:t>LHD</w:t>
      </w:r>
      <w:r w:rsidR="008C5200">
        <w:rPr>
          <w:rFonts w:ascii="Times New Roman" w:hAnsi="Times New Roman"/>
          <w:sz w:val="20"/>
          <w:szCs w:val="20"/>
        </w:rPr>
        <w:t xml:space="preserve"> catchment is represented as a single stock that increases through births and immigration and dec</w:t>
      </w:r>
      <w:r w:rsidR="00DB6705">
        <w:rPr>
          <w:rFonts w:ascii="Times New Roman" w:hAnsi="Times New Roman"/>
          <w:sz w:val="20"/>
          <w:szCs w:val="20"/>
        </w:rPr>
        <w:t>reases</w:t>
      </w:r>
      <w:r w:rsidR="008C5200">
        <w:rPr>
          <w:rFonts w:ascii="Times New Roman" w:hAnsi="Times New Roman"/>
          <w:sz w:val="20"/>
          <w:szCs w:val="20"/>
        </w:rPr>
        <w:t xml:space="preserve"> </w:t>
      </w:r>
      <w:r w:rsidR="00DB6705">
        <w:rPr>
          <w:rFonts w:ascii="Times New Roman" w:hAnsi="Times New Roman"/>
          <w:sz w:val="20"/>
          <w:szCs w:val="20"/>
        </w:rPr>
        <w:t>via mortality</w:t>
      </w:r>
      <w:r w:rsidR="00D53147">
        <w:rPr>
          <w:rFonts w:ascii="Times New Roman" w:hAnsi="Times New Roman"/>
          <w:sz w:val="20"/>
          <w:szCs w:val="20"/>
        </w:rPr>
        <w:t xml:space="preserve"> and emigration</w:t>
      </w:r>
      <w:r w:rsidR="008C5200">
        <w:rPr>
          <w:rFonts w:ascii="Times New Roman" w:hAnsi="Times New Roman"/>
          <w:sz w:val="20"/>
          <w:szCs w:val="20"/>
        </w:rPr>
        <w:t>.</w:t>
      </w:r>
      <w:r w:rsidR="006E4146">
        <w:rPr>
          <w:rFonts w:ascii="Times New Roman" w:hAnsi="Times New Roman"/>
          <w:sz w:val="20"/>
          <w:szCs w:val="20"/>
        </w:rPr>
        <w:t xml:space="preserve">  </w:t>
      </w:r>
      <w:r w:rsidR="003B2019">
        <w:rPr>
          <w:rFonts w:ascii="Times New Roman" w:hAnsi="Times New Roman"/>
          <w:sz w:val="20"/>
          <w:szCs w:val="20"/>
        </w:rPr>
        <w:t xml:space="preserve">Births and deaths occur at </w:t>
      </w:r>
      <w:r w:rsidR="008B341B">
        <w:rPr>
          <w:rFonts w:ascii="Times New Roman" w:hAnsi="Times New Roman"/>
          <w:sz w:val="20"/>
          <w:szCs w:val="20"/>
        </w:rPr>
        <w:t xml:space="preserve">yearly </w:t>
      </w:r>
      <w:r w:rsidR="003B2019">
        <w:rPr>
          <w:rFonts w:ascii="Times New Roman" w:hAnsi="Times New Roman"/>
          <w:sz w:val="20"/>
          <w:szCs w:val="20"/>
        </w:rPr>
        <w:t xml:space="preserve">rates </w:t>
      </w:r>
      <m:oMath>
        <m:r>
          <w:rPr>
            <w:rFonts w:ascii="Cambria Math" w:hAnsi="Cambria Math"/>
            <w:sz w:val="20"/>
            <w:szCs w:val="20"/>
          </w:rPr>
          <m:t>bP</m:t>
        </m:r>
      </m:oMath>
      <w:r w:rsidR="003B2019">
        <w:rPr>
          <w:rFonts w:ascii="Times New Roman" w:hAnsi="Times New Roman"/>
          <w:sz w:val="20"/>
          <w:szCs w:val="20"/>
        </w:rPr>
        <w:t xml:space="preserve"> and </w:t>
      </w:r>
      <m:oMath>
        <m:r>
          <w:rPr>
            <w:rFonts w:ascii="Cambria Math" w:hAnsi="Cambria Math"/>
            <w:sz w:val="20"/>
            <w:szCs w:val="20"/>
          </w:rPr>
          <m:t>mP</m:t>
        </m:r>
      </m:oMath>
      <w:r w:rsidR="003B2019">
        <w:rPr>
          <w:rFonts w:ascii="Times New Roman" w:hAnsi="Times New Roman"/>
          <w:sz w:val="20"/>
          <w:szCs w:val="20"/>
        </w:rPr>
        <w:t xml:space="preserve">, respectively, where </w:t>
      </w:r>
      <m:oMath>
        <m:r>
          <w:rPr>
            <w:rFonts w:ascii="Cambria Math" w:hAnsi="Cambria Math"/>
            <w:sz w:val="20"/>
            <w:szCs w:val="20"/>
          </w:rPr>
          <m:t>P</m:t>
        </m:r>
      </m:oMath>
      <w:r w:rsidR="003B2019">
        <w:rPr>
          <w:rFonts w:ascii="Times New Roman" w:hAnsi="Times New Roman"/>
          <w:sz w:val="20"/>
          <w:szCs w:val="20"/>
        </w:rPr>
        <w:t xml:space="preserve"> is </w:t>
      </w:r>
      <w:r w:rsidR="00DB6705">
        <w:rPr>
          <w:rFonts w:ascii="Times New Roman" w:hAnsi="Times New Roman"/>
          <w:sz w:val="20"/>
          <w:szCs w:val="20"/>
        </w:rPr>
        <w:t>the</w:t>
      </w:r>
      <w:r w:rsidR="00835AFB">
        <w:rPr>
          <w:rFonts w:ascii="Times New Roman" w:hAnsi="Times New Roman"/>
          <w:sz w:val="20"/>
          <w:szCs w:val="20"/>
        </w:rPr>
        <w:t xml:space="preserve"> </w:t>
      </w:r>
      <w:r w:rsidR="002641A9">
        <w:rPr>
          <w:rFonts w:ascii="Times New Roman" w:hAnsi="Times New Roman"/>
          <w:sz w:val="20"/>
          <w:szCs w:val="20"/>
        </w:rPr>
        <w:t xml:space="preserve">catchment </w:t>
      </w:r>
      <w:r w:rsidR="003B2019">
        <w:rPr>
          <w:rFonts w:ascii="Times New Roman" w:hAnsi="Times New Roman"/>
          <w:sz w:val="20"/>
          <w:szCs w:val="20"/>
        </w:rPr>
        <w:t>population</w:t>
      </w:r>
      <w:r w:rsidR="00DB6705">
        <w:rPr>
          <w:rFonts w:ascii="Times New Roman" w:hAnsi="Times New Roman"/>
          <w:sz w:val="20"/>
          <w:szCs w:val="20"/>
        </w:rPr>
        <w:t xml:space="preserve"> </w:t>
      </w:r>
      <w:r w:rsidR="00835AFB">
        <w:rPr>
          <w:rFonts w:ascii="Times New Roman" w:hAnsi="Times New Roman"/>
          <w:sz w:val="20"/>
          <w:szCs w:val="20"/>
        </w:rPr>
        <w:t xml:space="preserve">size </w:t>
      </w:r>
      <w:r w:rsidR="003B2019">
        <w:rPr>
          <w:rFonts w:ascii="Times New Roman" w:hAnsi="Times New Roman"/>
          <w:sz w:val="20"/>
          <w:szCs w:val="20"/>
        </w:rPr>
        <w:t xml:space="preserve">and the per capita birth rate </w:t>
      </w:r>
      <m:oMath>
        <m:r>
          <w:rPr>
            <w:rFonts w:ascii="Cambria Math" w:hAnsi="Cambria Math"/>
            <w:sz w:val="20"/>
            <w:szCs w:val="20"/>
          </w:rPr>
          <m:t>b</m:t>
        </m:r>
      </m:oMath>
      <w:r w:rsidR="003B2019">
        <w:rPr>
          <w:rFonts w:ascii="Times New Roman" w:hAnsi="Times New Roman"/>
          <w:sz w:val="20"/>
          <w:szCs w:val="20"/>
        </w:rPr>
        <w:t xml:space="preserve"> and per capita mortality rate </w:t>
      </w:r>
      <m:oMath>
        <m:r>
          <w:rPr>
            <w:rFonts w:ascii="Cambria Math" w:hAnsi="Cambria Math"/>
            <w:sz w:val="20"/>
            <w:szCs w:val="20"/>
          </w:rPr>
          <m:t>m</m:t>
        </m:r>
      </m:oMath>
      <w:r w:rsidR="003B2019">
        <w:rPr>
          <w:rFonts w:ascii="Times New Roman" w:hAnsi="Times New Roman"/>
          <w:sz w:val="20"/>
          <w:szCs w:val="20"/>
        </w:rPr>
        <w:t xml:space="preserve"> </w:t>
      </w:r>
      <w:r w:rsidR="00835AFB">
        <w:rPr>
          <w:rFonts w:ascii="Times New Roman" w:hAnsi="Times New Roman"/>
          <w:sz w:val="20"/>
          <w:szCs w:val="20"/>
        </w:rPr>
        <w:t xml:space="preserve">decrease </w:t>
      </w:r>
      <w:r w:rsidR="008B341B">
        <w:rPr>
          <w:rFonts w:ascii="Times New Roman" w:hAnsi="Times New Roman"/>
          <w:sz w:val="20"/>
          <w:szCs w:val="20"/>
        </w:rPr>
        <w:t xml:space="preserve">by </w:t>
      </w:r>
      <w:r w:rsidR="002641A9">
        <w:rPr>
          <w:rFonts w:ascii="Times New Roman" w:hAnsi="Times New Roman"/>
          <w:sz w:val="20"/>
          <w:szCs w:val="20"/>
        </w:rPr>
        <w:t xml:space="preserve">a </w:t>
      </w:r>
      <w:r w:rsidR="008B341B">
        <w:rPr>
          <w:rFonts w:ascii="Times New Roman" w:hAnsi="Times New Roman"/>
          <w:sz w:val="20"/>
          <w:szCs w:val="20"/>
        </w:rPr>
        <w:t>constant fraction</w:t>
      </w:r>
      <w:r w:rsidR="003B2019">
        <w:rPr>
          <w:rFonts w:ascii="Times New Roman" w:hAnsi="Times New Roman"/>
          <w:sz w:val="20"/>
          <w:szCs w:val="20"/>
        </w:rPr>
        <w:t xml:space="preserve"> </w:t>
      </w:r>
      <w:r w:rsidR="002641A9">
        <w:rPr>
          <w:rFonts w:ascii="Times New Roman" w:hAnsi="Times New Roman"/>
          <w:sz w:val="20"/>
          <w:szCs w:val="20"/>
        </w:rPr>
        <w:t>each</w:t>
      </w:r>
      <w:r w:rsidR="008B341B">
        <w:rPr>
          <w:rFonts w:ascii="Times New Roman" w:hAnsi="Times New Roman"/>
          <w:sz w:val="20"/>
          <w:szCs w:val="20"/>
        </w:rPr>
        <w:t xml:space="preserve"> </w:t>
      </w:r>
      <w:r w:rsidR="003B2019">
        <w:rPr>
          <w:rFonts w:ascii="Times New Roman" w:hAnsi="Times New Roman"/>
          <w:sz w:val="20"/>
          <w:szCs w:val="20"/>
        </w:rPr>
        <w:t xml:space="preserve">year.  </w:t>
      </w:r>
      <w:r w:rsidR="007D34F8">
        <w:rPr>
          <w:rFonts w:ascii="Times New Roman" w:hAnsi="Times New Roman"/>
          <w:sz w:val="20"/>
          <w:szCs w:val="20"/>
        </w:rPr>
        <w:t xml:space="preserve">Net migration is equal to </w:t>
      </w:r>
      <m:oMath>
        <m:r>
          <w:rPr>
            <w:rFonts w:ascii="Cambria Math" w:hAnsi="Cambria Math"/>
            <w:sz w:val="20"/>
            <w:szCs w:val="20"/>
          </w:rPr>
          <m:t>I-eP</m:t>
        </m:r>
      </m:oMath>
      <w:r w:rsidR="007D34F8">
        <w:rPr>
          <w:rFonts w:ascii="Times New Roman" w:hAnsi="Times New Roman"/>
          <w:sz w:val="20"/>
          <w:szCs w:val="20"/>
        </w:rPr>
        <w:t xml:space="preserve">, where </w:t>
      </w:r>
      <m:oMath>
        <m:r>
          <w:rPr>
            <w:rFonts w:ascii="Cambria Math" w:hAnsi="Cambria Math"/>
            <w:sz w:val="20"/>
            <w:szCs w:val="20"/>
          </w:rPr>
          <m:t>I</m:t>
        </m:r>
      </m:oMath>
      <w:r w:rsidR="007D34F8">
        <w:rPr>
          <w:rFonts w:ascii="Times New Roman" w:hAnsi="Times New Roman"/>
          <w:sz w:val="20"/>
          <w:szCs w:val="20"/>
        </w:rPr>
        <w:t xml:space="preserve"> is total immigration per year and </w:t>
      </w:r>
      <m:oMath>
        <m:r>
          <w:rPr>
            <w:rFonts w:ascii="Cambria Math" w:hAnsi="Cambria Math"/>
            <w:sz w:val="20"/>
            <w:szCs w:val="20"/>
          </w:rPr>
          <m:t>e</m:t>
        </m:r>
      </m:oMath>
      <w:r w:rsidR="007D34F8">
        <w:rPr>
          <w:rFonts w:ascii="Times New Roman" w:hAnsi="Times New Roman"/>
          <w:sz w:val="20"/>
          <w:szCs w:val="20"/>
        </w:rPr>
        <w:t xml:space="preserve"> is the per capita emigration rate per year.  Population estimates derived from the system dynamics model and from </w:t>
      </w:r>
      <w:proofErr w:type="spellStart"/>
      <w:r w:rsidR="007D34F8">
        <w:rPr>
          <w:rFonts w:ascii="Times New Roman" w:hAnsi="Times New Roman"/>
          <w:sz w:val="20"/>
          <w:szCs w:val="20"/>
        </w:rPr>
        <w:t>HealthStats</w:t>
      </w:r>
      <w:proofErr w:type="spellEnd"/>
      <w:r w:rsidR="007D34F8">
        <w:rPr>
          <w:rFonts w:ascii="Times New Roman" w:hAnsi="Times New Roman"/>
          <w:sz w:val="20"/>
          <w:szCs w:val="20"/>
        </w:rPr>
        <w:t xml:space="preserve"> NSW (</w:t>
      </w:r>
      <w:r w:rsidR="007D34F8" w:rsidRPr="007F6828">
        <w:rPr>
          <w:rFonts w:ascii="Times New Roman" w:hAnsi="Times New Roman"/>
          <w:sz w:val="20"/>
          <w:szCs w:val="20"/>
        </w:rPr>
        <w:t>http://www.healthstats.nsw.gov.au/</w:t>
      </w:r>
      <w:r w:rsidR="007D34F8">
        <w:rPr>
          <w:rFonts w:ascii="Times New Roman" w:hAnsi="Times New Roman"/>
          <w:sz w:val="20"/>
          <w:szCs w:val="20"/>
        </w:rPr>
        <w:t>) are plotted in figure S3.</w:t>
      </w:r>
    </w:p>
    <w:p w14:paraId="1D2772CD" w14:textId="0D6BD221" w:rsidR="00C1588D" w:rsidRDefault="00C1588D" w:rsidP="003E47E1">
      <w:pPr>
        <w:spacing w:line="480" w:lineRule="auto"/>
        <w:rPr>
          <w:rFonts w:ascii="Times New Roman" w:hAnsi="Times New Roman"/>
          <w:sz w:val="20"/>
          <w:szCs w:val="20"/>
        </w:rPr>
      </w:pPr>
    </w:p>
    <w:p w14:paraId="14FDC6C9" w14:textId="77777777" w:rsidR="00C1588D" w:rsidRDefault="00C1588D" w:rsidP="00C1588D">
      <w:pPr>
        <w:spacing w:line="480" w:lineRule="auto"/>
        <w:rPr>
          <w:rFonts w:ascii="Times New Roman" w:hAnsi="Times New Roman"/>
          <w:sz w:val="20"/>
          <w:szCs w:val="20"/>
        </w:rPr>
      </w:pPr>
      <w:r>
        <w:rPr>
          <w:rFonts w:ascii="Times New Roman" w:hAnsi="Times New Roman"/>
          <w:noProof/>
          <w:sz w:val="20"/>
          <w:szCs w:val="20"/>
        </w:rPr>
        <w:drawing>
          <wp:inline distT="0" distB="0" distL="0" distR="0" wp14:anchorId="4EECD8DA" wp14:editId="6F47F131">
            <wp:extent cx="5731510" cy="3060700"/>
            <wp:effectExtent l="0" t="0" r="2540" b="6350"/>
            <wp:docPr id="1" name="Picture 1"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diagram&#10;&#10;Description automatically generated"/>
                    <pic:cNvPicPr/>
                  </pic:nvPicPr>
                  <pic:blipFill>
                    <a:blip r:embed="rId7"/>
                    <a:stretch>
                      <a:fillRect/>
                    </a:stretch>
                  </pic:blipFill>
                  <pic:spPr>
                    <a:xfrm>
                      <a:off x="0" y="0"/>
                      <a:ext cx="5731510" cy="3060700"/>
                    </a:xfrm>
                    <a:prstGeom prst="rect">
                      <a:avLst/>
                    </a:prstGeom>
                  </pic:spPr>
                </pic:pic>
              </a:graphicData>
            </a:graphic>
          </wp:inline>
        </w:drawing>
      </w:r>
    </w:p>
    <w:p w14:paraId="426B8337" w14:textId="77777777" w:rsidR="00C1588D" w:rsidRDefault="00C1588D" w:rsidP="00C1588D">
      <w:pPr>
        <w:spacing w:line="480" w:lineRule="auto"/>
        <w:rPr>
          <w:rFonts w:ascii="Times New Roman" w:hAnsi="Times New Roman"/>
          <w:sz w:val="20"/>
          <w:szCs w:val="20"/>
        </w:rPr>
      </w:pPr>
    </w:p>
    <w:p w14:paraId="64208721" w14:textId="35FCE860" w:rsidR="00C1588D" w:rsidRDefault="00C1588D" w:rsidP="00C1588D">
      <w:pPr>
        <w:spacing w:line="480" w:lineRule="auto"/>
        <w:rPr>
          <w:rFonts w:ascii="Times New Roman" w:hAnsi="Times New Roman"/>
          <w:sz w:val="20"/>
          <w:szCs w:val="20"/>
        </w:rPr>
      </w:pPr>
      <w:r>
        <w:rPr>
          <w:rFonts w:ascii="Times New Roman" w:hAnsi="Times New Roman"/>
          <w:sz w:val="20"/>
          <w:szCs w:val="20"/>
        </w:rPr>
        <w:t>Figure S2.  Structure of the population sector.</w:t>
      </w:r>
    </w:p>
    <w:p w14:paraId="589B9772" w14:textId="640DCF32" w:rsidR="005B0DB7" w:rsidRDefault="005B0DB7" w:rsidP="003E47E1">
      <w:pPr>
        <w:spacing w:line="480" w:lineRule="auto"/>
        <w:rPr>
          <w:rFonts w:ascii="Times New Roman" w:hAnsi="Times New Roman"/>
          <w:sz w:val="20"/>
          <w:szCs w:val="20"/>
        </w:rPr>
      </w:pPr>
    </w:p>
    <w:p w14:paraId="2CA0A3B2" w14:textId="77777777" w:rsidR="005B0DB7" w:rsidRPr="00183A7A" w:rsidRDefault="005B0DB7" w:rsidP="005B0DB7">
      <w:pPr>
        <w:spacing w:line="480" w:lineRule="auto"/>
        <w:rPr>
          <w:rFonts w:ascii="Times New Roman" w:hAnsi="Times New Roman"/>
          <w:i/>
          <w:iCs/>
          <w:sz w:val="20"/>
          <w:szCs w:val="20"/>
        </w:rPr>
      </w:pPr>
      <w:r w:rsidRPr="00183A7A">
        <w:rPr>
          <w:rFonts w:ascii="Times New Roman" w:hAnsi="Times New Roman"/>
          <w:i/>
          <w:iCs/>
          <w:sz w:val="20"/>
          <w:szCs w:val="20"/>
        </w:rPr>
        <w:t>1.3.  Psychological distress sector</w:t>
      </w:r>
    </w:p>
    <w:p w14:paraId="46708C0C" w14:textId="24F15DC7" w:rsidR="00C1588D" w:rsidRDefault="005B0DB7" w:rsidP="00E966E4">
      <w:pPr>
        <w:spacing w:line="480" w:lineRule="auto"/>
        <w:rPr>
          <w:rFonts w:ascii="Times New Roman" w:hAnsi="Times New Roman"/>
          <w:sz w:val="20"/>
          <w:szCs w:val="20"/>
        </w:rPr>
      </w:pPr>
      <w:r>
        <w:rPr>
          <w:rFonts w:ascii="Times New Roman" w:hAnsi="Times New Roman"/>
          <w:sz w:val="20"/>
          <w:szCs w:val="20"/>
        </w:rPr>
        <w:t xml:space="preserve">The psychological distress sector captures transitions between states of low psychological distress (K10 scores 10−15) and moderate to very high psychological distress (K10 scores 16 and above) in each </w:t>
      </w:r>
      <w:r w:rsidR="00690953">
        <w:rPr>
          <w:rFonts w:ascii="Times New Roman" w:hAnsi="Times New Roman"/>
          <w:sz w:val="20"/>
          <w:szCs w:val="20"/>
        </w:rPr>
        <w:t>LHD</w:t>
      </w:r>
      <w:r>
        <w:rPr>
          <w:rFonts w:ascii="Times New Roman" w:hAnsi="Times New Roman"/>
          <w:sz w:val="20"/>
          <w:szCs w:val="20"/>
        </w:rPr>
        <w:t xml:space="preserve"> catchment.</w:t>
      </w:r>
      <w:r w:rsidR="005C2256">
        <w:rPr>
          <w:rFonts w:ascii="Times New Roman" w:hAnsi="Times New Roman"/>
          <w:sz w:val="20"/>
          <w:szCs w:val="20"/>
        </w:rPr>
        <w:t xml:space="preserve">  </w:t>
      </w:r>
      <w:r>
        <w:rPr>
          <w:rFonts w:ascii="Times New Roman" w:hAnsi="Times New Roman"/>
          <w:sz w:val="20"/>
          <w:szCs w:val="20"/>
        </w:rPr>
        <w:t xml:space="preserve">People with no mental health issue (i.e., low psychological distress) and those experiencing moderate to very high levels of psychological distress are modelled as stocks connected by flows corresponding to psychological distress incidence and recovery (see figure S4).  Psychological distress incidence is equal to </w:t>
      </w:r>
      <m:oMath>
        <m:r>
          <w:rPr>
            <w:rFonts w:ascii="Cambria Math" w:hAnsi="Cambria Math"/>
            <w:sz w:val="20"/>
            <w:szCs w:val="20"/>
          </w:rPr>
          <m:t>sL</m:t>
        </m:r>
      </m:oMath>
      <w:r>
        <w:rPr>
          <w:rFonts w:ascii="Times New Roman" w:hAnsi="Times New Roman"/>
          <w:sz w:val="20"/>
          <w:szCs w:val="20"/>
        </w:rPr>
        <w:t xml:space="preserve">, where </w:t>
      </w:r>
      <m:oMath>
        <m:r>
          <w:rPr>
            <w:rFonts w:ascii="Cambria Math" w:hAnsi="Cambria Math"/>
            <w:sz w:val="20"/>
            <w:szCs w:val="20"/>
          </w:rPr>
          <m:t>s</m:t>
        </m:r>
      </m:oMath>
      <w:r>
        <w:rPr>
          <w:rFonts w:ascii="Times New Roman" w:hAnsi="Times New Roman"/>
          <w:sz w:val="20"/>
          <w:szCs w:val="20"/>
        </w:rPr>
        <w:t xml:space="preserve"> is the </w:t>
      </w:r>
    </w:p>
    <w:p w14:paraId="45CE8E1B" w14:textId="77777777" w:rsidR="00C1588D" w:rsidRDefault="00C1588D" w:rsidP="00C1588D">
      <w:pPr>
        <w:spacing w:line="480" w:lineRule="auto"/>
        <w:rPr>
          <w:rFonts w:ascii="Times New Roman" w:hAnsi="Times New Roman"/>
          <w:sz w:val="20"/>
          <w:szCs w:val="20"/>
        </w:rPr>
      </w:pPr>
      <w:r>
        <w:rPr>
          <w:rFonts w:ascii="Times New Roman" w:hAnsi="Times New Roman"/>
          <w:noProof/>
          <w:sz w:val="20"/>
          <w:szCs w:val="20"/>
        </w:rPr>
        <w:lastRenderedPageBreak/>
        <w:drawing>
          <wp:inline distT="0" distB="0" distL="0" distR="0" wp14:anchorId="324A60FA" wp14:editId="388A9A67">
            <wp:extent cx="5731510" cy="286575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stretch>
                      <a:fillRect/>
                    </a:stretch>
                  </pic:blipFill>
                  <pic:spPr>
                    <a:xfrm>
                      <a:off x="0" y="0"/>
                      <a:ext cx="5731510" cy="2865755"/>
                    </a:xfrm>
                    <a:prstGeom prst="rect">
                      <a:avLst/>
                    </a:prstGeom>
                  </pic:spPr>
                </pic:pic>
              </a:graphicData>
            </a:graphic>
          </wp:inline>
        </w:drawing>
      </w:r>
    </w:p>
    <w:p w14:paraId="202E7BA6" w14:textId="5F7C3DC5" w:rsidR="00C1588D" w:rsidRDefault="00C1588D" w:rsidP="00C1588D">
      <w:pPr>
        <w:spacing w:line="480" w:lineRule="auto"/>
        <w:rPr>
          <w:rFonts w:ascii="Times New Roman" w:hAnsi="Times New Roman"/>
          <w:sz w:val="20"/>
          <w:szCs w:val="20"/>
        </w:rPr>
      </w:pPr>
      <w:r>
        <w:rPr>
          <w:rFonts w:ascii="Times New Roman" w:hAnsi="Times New Roman"/>
          <w:sz w:val="20"/>
          <w:szCs w:val="20"/>
        </w:rPr>
        <w:t xml:space="preserve">Figure S3.  Population estimates </w:t>
      </w:r>
      <w:r w:rsidR="00690953">
        <w:rPr>
          <w:rFonts w:ascii="Times New Roman" w:hAnsi="Times New Roman"/>
          <w:sz w:val="20"/>
          <w:szCs w:val="20"/>
        </w:rPr>
        <w:t xml:space="preserve">for the Hunter New England </w:t>
      </w:r>
      <w:r w:rsidR="00F16A22">
        <w:rPr>
          <w:rFonts w:ascii="Times New Roman" w:hAnsi="Times New Roman"/>
          <w:sz w:val="20"/>
          <w:szCs w:val="20"/>
        </w:rPr>
        <w:t>Local Health District (</w:t>
      </w:r>
      <w:r w:rsidR="00690953">
        <w:rPr>
          <w:rFonts w:ascii="Times New Roman" w:hAnsi="Times New Roman"/>
          <w:sz w:val="20"/>
          <w:szCs w:val="20"/>
        </w:rPr>
        <w:t>LHD</w:t>
      </w:r>
      <w:r w:rsidR="00F16A22">
        <w:rPr>
          <w:rFonts w:ascii="Times New Roman" w:hAnsi="Times New Roman"/>
          <w:sz w:val="20"/>
          <w:szCs w:val="20"/>
        </w:rPr>
        <w:t>)</w:t>
      </w:r>
      <w:r w:rsidR="00690953">
        <w:rPr>
          <w:rFonts w:ascii="Times New Roman" w:hAnsi="Times New Roman"/>
          <w:sz w:val="20"/>
          <w:szCs w:val="20"/>
        </w:rPr>
        <w:t xml:space="preserve"> and Central Coast LHD </w:t>
      </w:r>
      <w:r>
        <w:rPr>
          <w:rFonts w:ascii="Times New Roman" w:hAnsi="Times New Roman"/>
          <w:sz w:val="20"/>
          <w:szCs w:val="20"/>
        </w:rPr>
        <w:t xml:space="preserve">derived from the </w:t>
      </w:r>
      <w:r w:rsidR="00F16A22">
        <w:rPr>
          <w:rFonts w:ascii="Times New Roman" w:hAnsi="Times New Roman"/>
          <w:sz w:val="20"/>
          <w:szCs w:val="20"/>
        </w:rPr>
        <w:t xml:space="preserve">simulation </w:t>
      </w:r>
      <w:r>
        <w:rPr>
          <w:rFonts w:ascii="Times New Roman" w:hAnsi="Times New Roman"/>
          <w:sz w:val="20"/>
          <w:szCs w:val="20"/>
        </w:rPr>
        <w:t xml:space="preserve">model and from </w:t>
      </w:r>
      <w:proofErr w:type="spellStart"/>
      <w:r>
        <w:rPr>
          <w:rFonts w:ascii="Times New Roman" w:hAnsi="Times New Roman"/>
          <w:sz w:val="20"/>
          <w:szCs w:val="20"/>
        </w:rPr>
        <w:t>HealthStats</w:t>
      </w:r>
      <w:proofErr w:type="spellEnd"/>
      <w:r>
        <w:rPr>
          <w:rFonts w:ascii="Times New Roman" w:hAnsi="Times New Roman"/>
          <w:sz w:val="20"/>
          <w:szCs w:val="20"/>
        </w:rPr>
        <w:t xml:space="preserve"> NSW (</w:t>
      </w:r>
      <w:r w:rsidRPr="007F6828">
        <w:rPr>
          <w:rFonts w:ascii="Times New Roman" w:hAnsi="Times New Roman"/>
          <w:sz w:val="20"/>
          <w:szCs w:val="20"/>
        </w:rPr>
        <w:t>http://www.healthstats.nsw.gov.au/</w:t>
      </w:r>
      <w:r>
        <w:rPr>
          <w:rFonts w:ascii="Times New Roman" w:hAnsi="Times New Roman"/>
          <w:sz w:val="20"/>
          <w:szCs w:val="20"/>
        </w:rPr>
        <w:t>).</w:t>
      </w:r>
    </w:p>
    <w:p w14:paraId="777F5C48" w14:textId="77777777" w:rsidR="00C1588D" w:rsidRDefault="00C1588D" w:rsidP="00E966E4">
      <w:pPr>
        <w:spacing w:line="480" w:lineRule="auto"/>
        <w:rPr>
          <w:rFonts w:ascii="Times New Roman" w:hAnsi="Times New Roman"/>
          <w:sz w:val="20"/>
          <w:szCs w:val="20"/>
        </w:rPr>
      </w:pPr>
    </w:p>
    <w:p w14:paraId="52944FFE" w14:textId="6C042114" w:rsidR="005B0DB7" w:rsidRDefault="005B0DB7" w:rsidP="00E966E4">
      <w:pPr>
        <w:spacing w:line="480" w:lineRule="auto"/>
        <w:rPr>
          <w:rFonts w:ascii="Times New Roman" w:hAnsi="Times New Roman"/>
          <w:sz w:val="20"/>
          <w:szCs w:val="20"/>
        </w:rPr>
      </w:pPr>
      <w:r>
        <w:rPr>
          <w:rFonts w:ascii="Times New Roman" w:hAnsi="Times New Roman"/>
          <w:sz w:val="20"/>
          <w:szCs w:val="20"/>
        </w:rPr>
        <w:t xml:space="preserve">per capita rate of psychological distress onset per year and </w:t>
      </w:r>
      <m:oMath>
        <m:r>
          <w:rPr>
            <w:rFonts w:ascii="Cambria Math" w:hAnsi="Cambria Math"/>
            <w:sz w:val="20"/>
            <w:szCs w:val="20"/>
          </w:rPr>
          <m:t>L</m:t>
        </m:r>
      </m:oMath>
      <w:r>
        <w:rPr>
          <w:rFonts w:ascii="Times New Roman" w:hAnsi="Times New Roman"/>
          <w:sz w:val="20"/>
          <w:szCs w:val="20"/>
        </w:rPr>
        <w:t xml:space="preserve"> is the number of people in the population experiencing low psychological distress.  People with moderate to very high psychological distress recover at a rate equal to </w:t>
      </w:r>
      <m:oMath>
        <m:r>
          <w:rPr>
            <w:rFonts w:ascii="Cambria Math" w:hAnsi="Cambria Math"/>
            <w:sz w:val="20"/>
            <w:szCs w:val="20"/>
          </w:rPr>
          <m:t>rH+T</m:t>
        </m:r>
      </m:oMath>
      <w:r>
        <w:rPr>
          <w:rFonts w:ascii="Times New Roman" w:hAnsi="Times New Roman"/>
          <w:sz w:val="20"/>
          <w:szCs w:val="20"/>
        </w:rPr>
        <w:t xml:space="preserve">, where </w:t>
      </w:r>
      <m:oMath>
        <m:r>
          <w:rPr>
            <w:rFonts w:ascii="Cambria Math" w:hAnsi="Cambria Math"/>
            <w:sz w:val="20"/>
            <w:szCs w:val="20"/>
          </w:rPr>
          <m:t>r</m:t>
        </m:r>
      </m:oMath>
      <w:r>
        <w:rPr>
          <w:rFonts w:ascii="Times New Roman" w:hAnsi="Times New Roman"/>
          <w:sz w:val="20"/>
          <w:szCs w:val="20"/>
        </w:rPr>
        <w:t xml:space="preserve"> is the per capita spontaneous recovery rate per year, </w:t>
      </w:r>
      <m:oMath>
        <m:r>
          <w:rPr>
            <w:rFonts w:ascii="Cambria Math" w:hAnsi="Cambria Math"/>
            <w:sz w:val="20"/>
            <w:szCs w:val="20"/>
          </w:rPr>
          <m:t>H</m:t>
        </m:r>
      </m:oMath>
      <w:r>
        <w:rPr>
          <w:rFonts w:ascii="Times New Roman" w:hAnsi="Times New Roman"/>
          <w:sz w:val="20"/>
          <w:szCs w:val="20"/>
        </w:rPr>
        <w:t xml:space="preserve"> is the number of moderately to highly distressed people in the population, and </w:t>
      </w:r>
      <m:oMath>
        <m:r>
          <w:rPr>
            <w:rFonts w:ascii="Cambria Math" w:hAnsi="Cambria Math"/>
            <w:sz w:val="20"/>
            <w:szCs w:val="20"/>
          </w:rPr>
          <m:t>T</m:t>
        </m:r>
      </m:oMath>
      <w:r>
        <w:rPr>
          <w:rFonts w:ascii="Times New Roman" w:hAnsi="Times New Roman"/>
          <w:sz w:val="20"/>
          <w:szCs w:val="20"/>
        </w:rPr>
        <w:t xml:space="preserve"> is the number of people moving from a state of higher psychological distress to a state of low psychological distress per year due to effective mental health treatment (see section 1.4 below).</w:t>
      </w:r>
    </w:p>
    <w:p w14:paraId="56D4871E" w14:textId="325075B9" w:rsidR="00C1588D" w:rsidRDefault="00C1588D" w:rsidP="00E966E4">
      <w:pPr>
        <w:spacing w:line="480" w:lineRule="auto"/>
        <w:rPr>
          <w:rFonts w:ascii="Times New Roman" w:hAnsi="Times New Roman"/>
          <w:sz w:val="20"/>
          <w:szCs w:val="20"/>
        </w:rPr>
      </w:pPr>
    </w:p>
    <w:p w14:paraId="2D9BAB07" w14:textId="5B5907B6" w:rsidR="00C1588D" w:rsidRDefault="00C1588D" w:rsidP="00C1588D">
      <w:pPr>
        <w:spacing w:line="480" w:lineRule="auto"/>
        <w:rPr>
          <w:rFonts w:ascii="Times New Roman" w:hAnsi="Times New Roman"/>
          <w:sz w:val="20"/>
          <w:szCs w:val="20"/>
        </w:rPr>
      </w:pPr>
      <w:r>
        <w:rPr>
          <w:rFonts w:ascii="Times New Roman" w:hAnsi="Times New Roman"/>
          <w:sz w:val="20"/>
          <w:szCs w:val="20"/>
        </w:rPr>
        <w:t xml:space="preserve">Numbers of people in each psychological distress state increase or decrease through net migration at rates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r>
          <w:rPr>
            <w:rFonts w:ascii="Cambria Math" w:hAnsi="Cambria Math"/>
            <w:sz w:val="20"/>
            <w:szCs w:val="20"/>
          </w:rPr>
          <m:t>I-</m:t>
        </m:r>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i</m:t>
            </m:r>
          </m:sub>
        </m:sSub>
        <m:r>
          <w:rPr>
            <w:rFonts w:ascii="Cambria Math" w:hAnsi="Cambria Math"/>
            <w:sz w:val="20"/>
            <w:szCs w:val="20"/>
          </w:rPr>
          <m:t>eP</m:t>
        </m:r>
      </m:oMath>
      <w:r>
        <w:rPr>
          <w:rFonts w:ascii="Times New Roman" w:hAnsi="Times New Roman"/>
          <w:sz w:val="20"/>
          <w:szCs w:val="20"/>
        </w:rPr>
        <w:t xml:space="preserve">, where </w:t>
      </w: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i</m:t>
            </m:r>
          </m:sub>
        </m:sSub>
      </m:oMath>
      <w:r>
        <w:rPr>
          <w:rFonts w:ascii="Times New Roman" w:hAnsi="Times New Roman"/>
          <w:sz w:val="20"/>
          <w:szCs w:val="20"/>
        </w:rPr>
        <w:t xml:space="preserve"> and </w:t>
      </w:r>
      <m:oMath>
        <m:sSub>
          <m:sSubPr>
            <m:ctrlPr>
              <w:rPr>
                <w:rFonts w:ascii="Cambria Math" w:hAnsi="Cambria Math"/>
                <w:i/>
                <w:sz w:val="20"/>
                <w:szCs w:val="20"/>
              </w:rPr>
            </m:ctrlPr>
          </m:sSubPr>
          <m:e>
            <m:r>
              <w:rPr>
                <w:rFonts w:ascii="Cambria Math" w:hAnsi="Cambria Math"/>
                <w:sz w:val="20"/>
                <w:szCs w:val="20"/>
              </w:rPr>
              <m:t>q</m:t>
            </m:r>
          </m:e>
          <m:sub>
            <m:r>
              <w:rPr>
                <w:rFonts w:ascii="Cambria Math" w:hAnsi="Cambria Math"/>
                <w:sz w:val="20"/>
                <w:szCs w:val="20"/>
              </w:rPr>
              <m:t>i</m:t>
            </m:r>
          </m:sub>
        </m:sSub>
      </m:oMath>
      <w:r>
        <w:rPr>
          <w:rFonts w:ascii="Times New Roman" w:hAnsi="Times New Roman"/>
          <w:sz w:val="20"/>
          <w:szCs w:val="20"/>
        </w:rPr>
        <w:t xml:space="preserve"> are the proportions of people with psychological distress level </w:t>
      </w:r>
      <m:oMath>
        <m:r>
          <w:rPr>
            <w:rFonts w:ascii="Cambria Math" w:hAnsi="Cambria Math"/>
            <w:sz w:val="20"/>
            <w:szCs w:val="20"/>
          </w:rPr>
          <m:t>i</m:t>
        </m:r>
      </m:oMath>
      <w:r>
        <w:rPr>
          <w:rFonts w:ascii="Times New Roman" w:hAnsi="Times New Roman"/>
          <w:sz w:val="20"/>
          <w:szCs w:val="20"/>
        </w:rPr>
        <w:t xml:space="preserve"> (low or moderate to very high) in the total NSW population and the </w:t>
      </w:r>
      <w:r w:rsidR="00A2394B">
        <w:rPr>
          <w:rFonts w:ascii="Times New Roman" w:hAnsi="Times New Roman"/>
          <w:sz w:val="20"/>
          <w:szCs w:val="20"/>
        </w:rPr>
        <w:t>LHD</w:t>
      </w:r>
      <w:r>
        <w:rPr>
          <w:rFonts w:ascii="Times New Roman" w:hAnsi="Times New Roman"/>
          <w:sz w:val="20"/>
          <w:szCs w:val="20"/>
        </w:rPr>
        <w:t xml:space="preserve"> catchment population, respectively, </w:t>
      </w:r>
      <m:oMath>
        <m:r>
          <w:rPr>
            <w:rFonts w:ascii="Cambria Math" w:hAnsi="Cambria Math"/>
            <w:sz w:val="20"/>
            <w:szCs w:val="20"/>
          </w:rPr>
          <m:t>I</m:t>
        </m:r>
      </m:oMath>
      <w:r>
        <w:rPr>
          <w:rFonts w:ascii="Times New Roman" w:hAnsi="Times New Roman"/>
          <w:sz w:val="20"/>
          <w:szCs w:val="20"/>
        </w:rPr>
        <w:t xml:space="preserve"> is the total number of people immigrating into the </w:t>
      </w:r>
      <w:r w:rsidR="00A2394B">
        <w:rPr>
          <w:rFonts w:ascii="Times New Roman" w:hAnsi="Times New Roman"/>
          <w:sz w:val="20"/>
          <w:szCs w:val="20"/>
        </w:rPr>
        <w:t>LHD</w:t>
      </w:r>
      <w:r>
        <w:rPr>
          <w:rFonts w:ascii="Times New Roman" w:hAnsi="Times New Roman"/>
          <w:sz w:val="20"/>
          <w:szCs w:val="20"/>
        </w:rPr>
        <w:t xml:space="preserve"> catchment per year, </w:t>
      </w:r>
      <m:oMath>
        <m:r>
          <w:rPr>
            <w:rFonts w:ascii="Cambria Math" w:hAnsi="Cambria Math"/>
            <w:sz w:val="20"/>
            <w:szCs w:val="20"/>
          </w:rPr>
          <m:t>e</m:t>
        </m:r>
      </m:oMath>
      <w:r>
        <w:rPr>
          <w:rFonts w:ascii="Times New Roman" w:hAnsi="Times New Roman"/>
          <w:sz w:val="20"/>
          <w:szCs w:val="20"/>
        </w:rPr>
        <w:t xml:space="preserve"> is the per capita emigration rate per year, and </w:t>
      </w:r>
      <m:oMath>
        <m:r>
          <w:rPr>
            <w:rFonts w:ascii="Cambria Math" w:hAnsi="Cambria Math"/>
            <w:sz w:val="20"/>
            <w:szCs w:val="20"/>
          </w:rPr>
          <m:t>P</m:t>
        </m:r>
      </m:oMath>
      <w:r>
        <w:rPr>
          <w:rFonts w:ascii="Times New Roman" w:hAnsi="Times New Roman"/>
          <w:sz w:val="20"/>
          <w:szCs w:val="20"/>
        </w:rPr>
        <w:t xml:space="preserve"> is the size of the </w:t>
      </w:r>
      <w:r w:rsidR="00A2394B">
        <w:rPr>
          <w:rFonts w:ascii="Times New Roman" w:hAnsi="Times New Roman"/>
          <w:sz w:val="20"/>
          <w:szCs w:val="20"/>
        </w:rPr>
        <w:t>LHD</w:t>
      </w:r>
      <w:r>
        <w:rPr>
          <w:rFonts w:ascii="Times New Roman" w:hAnsi="Times New Roman"/>
          <w:sz w:val="20"/>
          <w:szCs w:val="20"/>
        </w:rPr>
        <w:t xml:space="preserve"> catchment population.  As high-prevalence mental disorders generally originate during adolescence and early adulthood (e.g., Weissman et al., 1996; Michael et al., 2007), children are assumed to be born without a mental health issue, so that births are added to the stock of people with a low level of psychological distress (at a rate </w:t>
      </w:r>
      <m:oMath>
        <m:r>
          <w:rPr>
            <w:rFonts w:ascii="Cambria Math" w:hAnsi="Cambria Math"/>
            <w:sz w:val="20"/>
            <w:szCs w:val="20"/>
          </w:rPr>
          <m:t>bP</m:t>
        </m:r>
      </m:oMath>
      <w:r>
        <w:rPr>
          <w:rFonts w:ascii="Times New Roman" w:hAnsi="Times New Roman"/>
          <w:sz w:val="20"/>
          <w:szCs w:val="20"/>
        </w:rPr>
        <w:t xml:space="preserve"> per year; see section 1.2).  Per capita mortality among people with moderate to very high psychological distress is assumed to be 1.27 times that among people experiencing low psychological distress based on Russ et al. (2012).  </w:t>
      </w:r>
      <w:r w:rsidRPr="00422F59">
        <w:rPr>
          <w:rFonts w:ascii="Times New Roman" w:hAnsi="Times New Roman"/>
          <w:sz w:val="20"/>
          <w:szCs w:val="20"/>
        </w:rPr>
        <w:t>Figure S</w:t>
      </w:r>
      <w:r>
        <w:rPr>
          <w:rFonts w:ascii="Times New Roman" w:hAnsi="Times New Roman"/>
          <w:sz w:val="20"/>
          <w:szCs w:val="20"/>
        </w:rPr>
        <w:t>5</w:t>
      </w:r>
      <w:r w:rsidRPr="00422F59">
        <w:rPr>
          <w:rFonts w:ascii="Times New Roman" w:hAnsi="Times New Roman"/>
          <w:sz w:val="20"/>
          <w:szCs w:val="20"/>
        </w:rPr>
        <w:t xml:space="preserve"> </w:t>
      </w:r>
      <w:r>
        <w:rPr>
          <w:rFonts w:ascii="Times New Roman" w:hAnsi="Times New Roman"/>
          <w:sz w:val="20"/>
          <w:szCs w:val="20"/>
        </w:rPr>
        <w:t xml:space="preserve">presents estimates of the prevalence of moderate </w:t>
      </w:r>
      <w:r>
        <w:rPr>
          <w:rFonts w:ascii="Times New Roman" w:hAnsi="Times New Roman"/>
          <w:sz w:val="20"/>
          <w:szCs w:val="20"/>
        </w:rPr>
        <w:lastRenderedPageBreak/>
        <w:t>to very high psychological distress derived from the simulation model and the NSW Population</w:t>
      </w:r>
      <w:r w:rsidRPr="00422F59">
        <w:rPr>
          <w:rFonts w:ascii="Times New Roman" w:hAnsi="Times New Roman"/>
          <w:sz w:val="20"/>
          <w:szCs w:val="20"/>
        </w:rPr>
        <w:t xml:space="preserve"> Health</w:t>
      </w:r>
      <w:r>
        <w:rPr>
          <w:rFonts w:ascii="Times New Roman" w:hAnsi="Times New Roman"/>
          <w:sz w:val="20"/>
          <w:szCs w:val="20"/>
        </w:rPr>
        <w:t xml:space="preserve"> </w:t>
      </w:r>
      <w:r w:rsidRPr="00422F59">
        <w:rPr>
          <w:rFonts w:ascii="Times New Roman" w:hAnsi="Times New Roman"/>
          <w:sz w:val="20"/>
          <w:szCs w:val="20"/>
        </w:rPr>
        <w:t>Survey</w:t>
      </w:r>
      <w:r>
        <w:rPr>
          <w:rFonts w:ascii="Times New Roman" w:hAnsi="Times New Roman"/>
          <w:sz w:val="20"/>
          <w:szCs w:val="20"/>
        </w:rPr>
        <w:t xml:space="preserve"> (see </w:t>
      </w:r>
      <w:r w:rsidRPr="007F6828">
        <w:rPr>
          <w:rFonts w:ascii="Times New Roman" w:hAnsi="Times New Roman"/>
          <w:sz w:val="20"/>
          <w:szCs w:val="20"/>
        </w:rPr>
        <w:t>http://www.healthstats.nsw.gov.au/</w:t>
      </w:r>
      <w:r>
        <w:rPr>
          <w:rFonts w:ascii="Times New Roman" w:hAnsi="Times New Roman"/>
          <w:sz w:val="20"/>
          <w:szCs w:val="20"/>
        </w:rPr>
        <w:t>)</w:t>
      </w:r>
      <w:r w:rsidRPr="00422F59">
        <w:rPr>
          <w:rFonts w:ascii="Times New Roman" w:hAnsi="Times New Roman"/>
          <w:sz w:val="20"/>
          <w:szCs w:val="20"/>
        </w:rPr>
        <w:t>.</w:t>
      </w:r>
    </w:p>
    <w:p w14:paraId="53C0FC4B" w14:textId="77777777" w:rsidR="00C1588D" w:rsidRDefault="00C1588D" w:rsidP="00E966E4">
      <w:pPr>
        <w:spacing w:line="480" w:lineRule="auto"/>
        <w:rPr>
          <w:rFonts w:ascii="Times New Roman" w:hAnsi="Times New Roman"/>
          <w:sz w:val="20"/>
          <w:szCs w:val="20"/>
        </w:rPr>
      </w:pPr>
    </w:p>
    <w:p w14:paraId="12EFB65F" w14:textId="22ACB808" w:rsidR="00784B24" w:rsidRDefault="00784B24" w:rsidP="00E966E4">
      <w:pPr>
        <w:spacing w:line="480" w:lineRule="auto"/>
        <w:rPr>
          <w:rFonts w:ascii="Times New Roman" w:hAnsi="Times New Roman"/>
          <w:sz w:val="20"/>
          <w:szCs w:val="20"/>
        </w:rPr>
      </w:pPr>
      <w:r>
        <w:rPr>
          <w:rFonts w:ascii="Times New Roman" w:hAnsi="Times New Roman"/>
          <w:noProof/>
          <w:sz w:val="20"/>
          <w:szCs w:val="20"/>
        </w:rPr>
        <w:drawing>
          <wp:inline distT="0" distB="0" distL="0" distR="0" wp14:anchorId="53FE2C45" wp14:editId="59FA28B3">
            <wp:extent cx="5731075" cy="349123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stretch>
                      <a:fillRect/>
                    </a:stretch>
                  </pic:blipFill>
                  <pic:spPr>
                    <a:xfrm>
                      <a:off x="0" y="0"/>
                      <a:ext cx="5731075" cy="3491230"/>
                    </a:xfrm>
                    <a:prstGeom prst="rect">
                      <a:avLst/>
                    </a:prstGeom>
                  </pic:spPr>
                </pic:pic>
              </a:graphicData>
            </a:graphic>
          </wp:inline>
        </w:drawing>
      </w:r>
    </w:p>
    <w:p w14:paraId="6BF5E29D" w14:textId="77777777" w:rsidR="00E3547B" w:rsidRDefault="00E3547B" w:rsidP="00E966E4">
      <w:pPr>
        <w:spacing w:line="480" w:lineRule="auto"/>
        <w:rPr>
          <w:rFonts w:ascii="Times New Roman" w:hAnsi="Times New Roman"/>
          <w:sz w:val="20"/>
          <w:szCs w:val="20"/>
        </w:rPr>
      </w:pPr>
    </w:p>
    <w:p w14:paraId="571CDEE6" w14:textId="4555143B" w:rsidR="00784B24" w:rsidRDefault="00784B24" w:rsidP="00E966E4">
      <w:pPr>
        <w:spacing w:line="480" w:lineRule="auto"/>
        <w:rPr>
          <w:rFonts w:ascii="Times New Roman" w:hAnsi="Times New Roman"/>
          <w:sz w:val="20"/>
          <w:szCs w:val="20"/>
        </w:rPr>
      </w:pPr>
      <w:r>
        <w:rPr>
          <w:rFonts w:ascii="Times New Roman" w:hAnsi="Times New Roman"/>
          <w:sz w:val="20"/>
          <w:szCs w:val="20"/>
        </w:rPr>
        <w:t>Figure S4.  Stock and flow structure of the psychological distress sector.</w:t>
      </w:r>
    </w:p>
    <w:p w14:paraId="375B7AC6" w14:textId="77777777" w:rsidR="00C1588D" w:rsidRDefault="00C1588D" w:rsidP="00C1588D">
      <w:pPr>
        <w:spacing w:line="480" w:lineRule="auto"/>
        <w:rPr>
          <w:rFonts w:ascii="Times New Roman" w:hAnsi="Times New Roman"/>
          <w:sz w:val="20"/>
          <w:szCs w:val="20"/>
        </w:rPr>
      </w:pPr>
    </w:p>
    <w:p w14:paraId="4B81CC74" w14:textId="77777777" w:rsidR="00C1588D" w:rsidRPr="00A547D4" w:rsidRDefault="00C1588D" w:rsidP="00C1588D">
      <w:pPr>
        <w:spacing w:line="480" w:lineRule="auto"/>
        <w:rPr>
          <w:rFonts w:ascii="Times New Roman" w:hAnsi="Times New Roman"/>
          <w:i/>
          <w:iCs/>
          <w:sz w:val="20"/>
          <w:szCs w:val="20"/>
        </w:rPr>
      </w:pPr>
      <w:r w:rsidRPr="00A00686">
        <w:rPr>
          <w:rFonts w:ascii="Times New Roman" w:hAnsi="Times New Roman"/>
          <w:i/>
          <w:iCs/>
          <w:sz w:val="20"/>
          <w:szCs w:val="20"/>
        </w:rPr>
        <w:t>1.4.  Mental</w:t>
      </w:r>
      <w:r w:rsidRPr="00A547D4">
        <w:rPr>
          <w:rFonts w:ascii="Times New Roman" w:hAnsi="Times New Roman"/>
          <w:i/>
          <w:iCs/>
          <w:sz w:val="20"/>
          <w:szCs w:val="20"/>
        </w:rPr>
        <w:t xml:space="preserve"> health services sector</w:t>
      </w:r>
    </w:p>
    <w:p w14:paraId="3D53645E" w14:textId="77777777" w:rsidR="00BC7455" w:rsidRDefault="00C1588D" w:rsidP="00BC7455">
      <w:pPr>
        <w:spacing w:line="480" w:lineRule="auto"/>
        <w:rPr>
          <w:rFonts w:ascii="Times New Roman" w:hAnsi="Times New Roman"/>
          <w:sz w:val="20"/>
          <w:szCs w:val="20"/>
        </w:rPr>
      </w:pPr>
      <w:r>
        <w:rPr>
          <w:rFonts w:ascii="Times New Roman" w:hAnsi="Times New Roman"/>
          <w:sz w:val="20"/>
          <w:szCs w:val="20"/>
        </w:rPr>
        <w:t xml:space="preserve">Figure S6 presents a high-level map of the mental health services sector, which models flows of psychologically distressed patients through the mental health care system.  People with moderate to very high levels of distress engage with mental health services in one of two ways; they may perceive a need for mental health care and seek help (e.g., from a general practitioner or online services), or they may present to an emergency department (e.g., for self-harm) without having previously perceived a need for treatment.  After engaging with mental health services, patients may recover following treatment, returning to the stock of people with no mental health issue, be treated but not recover, or disengage due to excessive waiting times (a consequence of insufficient services capacity) or because they are dissatisfied with the care they receive.  Patients who are treated but do not recover return to perceiving a need for services and will eventually seek help again if they do not recover </w:t>
      </w:r>
      <w:r w:rsidR="00BC7455">
        <w:rPr>
          <w:rFonts w:ascii="Times New Roman" w:hAnsi="Times New Roman"/>
          <w:sz w:val="20"/>
          <w:szCs w:val="20"/>
        </w:rPr>
        <w:t xml:space="preserve">spontaneously; psychologically distressed people entering the mental health services system therefore continue receiving treatment (modelled as individual service contacts; see below) until they recover, disengage, or die </w:t>
      </w:r>
      <w:r w:rsidR="00BC7455">
        <w:rPr>
          <w:rFonts w:ascii="Times New Roman" w:hAnsi="Times New Roman"/>
          <w:sz w:val="20"/>
          <w:szCs w:val="20"/>
        </w:rPr>
        <w:lastRenderedPageBreak/>
        <w:t>(mortality is captured in the model, but is not shown in figure S6 for simplicity).  The principal components of the mental health services sector are described in detail below.</w:t>
      </w:r>
    </w:p>
    <w:p w14:paraId="6BE631C9" w14:textId="433E42A4" w:rsidR="00C1588D" w:rsidRDefault="00C1588D" w:rsidP="00C1588D">
      <w:pPr>
        <w:spacing w:line="480" w:lineRule="auto"/>
        <w:rPr>
          <w:rFonts w:ascii="Times New Roman" w:hAnsi="Times New Roman"/>
          <w:sz w:val="20"/>
          <w:szCs w:val="20"/>
        </w:rPr>
      </w:pPr>
    </w:p>
    <w:p w14:paraId="19305EB9" w14:textId="77777777" w:rsidR="00C1588D" w:rsidRDefault="00C1588D" w:rsidP="00C1588D">
      <w:pPr>
        <w:spacing w:line="480" w:lineRule="auto"/>
        <w:rPr>
          <w:rFonts w:ascii="Times New Roman" w:hAnsi="Times New Roman"/>
          <w:sz w:val="20"/>
          <w:szCs w:val="20"/>
        </w:rPr>
      </w:pPr>
      <w:r>
        <w:rPr>
          <w:rFonts w:ascii="Times New Roman" w:hAnsi="Times New Roman"/>
          <w:noProof/>
          <w:sz w:val="20"/>
          <w:szCs w:val="20"/>
        </w:rPr>
        <w:drawing>
          <wp:inline distT="0" distB="0" distL="0" distR="0" wp14:anchorId="16AB7BD8" wp14:editId="449B9174">
            <wp:extent cx="5731510" cy="286575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a:stretch>
                      <a:fillRect/>
                    </a:stretch>
                  </pic:blipFill>
                  <pic:spPr>
                    <a:xfrm>
                      <a:off x="0" y="0"/>
                      <a:ext cx="5731510" cy="2865755"/>
                    </a:xfrm>
                    <a:prstGeom prst="rect">
                      <a:avLst/>
                    </a:prstGeom>
                  </pic:spPr>
                </pic:pic>
              </a:graphicData>
            </a:graphic>
          </wp:inline>
        </w:drawing>
      </w:r>
    </w:p>
    <w:p w14:paraId="6FAE8EDC" w14:textId="0566107B" w:rsidR="00C1588D" w:rsidRDefault="00C1588D" w:rsidP="00C1588D">
      <w:pPr>
        <w:spacing w:line="480" w:lineRule="auto"/>
        <w:rPr>
          <w:rFonts w:ascii="Times New Roman" w:hAnsi="Times New Roman"/>
          <w:sz w:val="20"/>
          <w:szCs w:val="20"/>
        </w:rPr>
      </w:pPr>
      <w:r>
        <w:rPr>
          <w:rFonts w:ascii="Times New Roman" w:hAnsi="Times New Roman"/>
          <w:sz w:val="20"/>
          <w:szCs w:val="20"/>
        </w:rPr>
        <w:t>Figure S5.  Psychological distress prevalence estimates</w:t>
      </w:r>
      <w:r w:rsidR="00BC7455">
        <w:rPr>
          <w:rFonts w:ascii="Times New Roman" w:hAnsi="Times New Roman"/>
          <w:sz w:val="20"/>
          <w:szCs w:val="20"/>
        </w:rPr>
        <w:t xml:space="preserve"> for the Hunter New England Local Health District (LHD) and Central Coast LHD </w:t>
      </w:r>
      <w:r>
        <w:rPr>
          <w:rFonts w:ascii="Times New Roman" w:hAnsi="Times New Roman"/>
          <w:sz w:val="20"/>
          <w:szCs w:val="20"/>
        </w:rPr>
        <w:t>derived from the</w:t>
      </w:r>
      <w:r w:rsidR="00BC7455">
        <w:rPr>
          <w:rFonts w:ascii="Times New Roman" w:hAnsi="Times New Roman"/>
          <w:sz w:val="20"/>
          <w:szCs w:val="20"/>
        </w:rPr>
        <w:t xml:space="preserve"> system dynamics</w:t>
      </w:r>
      <w:r>
        <w:rPr>
          <w:rFonts w:ascii="Times New Roman" w:hAnsi="Times New Roman"/>
          <w:sz w:val="20"/>
          <w:szCs w:val="20"/>
        </w:rPr>
        <w:t xml:space="preserve"> model and corresponding NSW Population Health Survey (PHS) estimates.</w:t>
      </w:r>
    </w:p>
    <w:p w14:paraId="2826E5D7" w14:textId="77777777" w:rsidR="00A8384F" w:rsidRDefault="00A8384F" w:rsidP="00E966E4">
      <w:pPr>
        <w:spacing w:line="480" w:lineRule="auto"/>
        <w:rPr>
          <w:rFonts w:ascii="Times New Roman" w:hAnsi="Times New Roman"/>
          <w:sz w:val="20"/>
          <w:szCs w:val="20"/>
        </w:rPr>
      </w:pPr>
    </w:p>
    <w:p w14:paraId="3C79FAA4" w14:textId="77777777" w:rsidR="00C1588D" w:rsidRDefault="00E82037" w:rsidP="00E82037">
      <w:pPr>
        <w:spacing w:line="480" w:lineRule="auto"/>
        <w:rPr>
          <w:rFonts w:ascii="Times New Roman" w:hAnsi="Times New Roman"/>
          <w:sz w:val="20"/>
          <w:szCs w:val="20"/>
        </w:rPr>
      </w:pPr>
      <w:r w:rsidRPr="00640AF7">
        <w:rPr>
          <w:rFonts w:ascii="Times New Roman" w:hAnsi="Times New Roman"/>
          <w:i/>
          <w:iCs/>
          <w:sz w:val="20"/>
          <w:szCs w:val="20"/>
        </w:rPr>
        <w:t>Help seeking</w:t>
      </w:r>
      <w:r>
        <w:rPr>
          <w:rFonts w:ascii="Times New Roman" w:hAnsi="Times New Roman"/>
          <w:sz w:val="20"/>
          <w:szCs w:val="20"/>
        </w:rPr>
        <w:t xml:space="preserve"> — People </w:t>
      </w:r>
      <w:r w:rsidR="00154F1F">
        <w:rPr>
          <w:rFonts w:ascii="Times New Roman" w:hAnsi="Times New Roman"/>
          <w:sz w:val="20"/>
          <w:szCs w:val="20"/>
        </w:rPr>
        <w:t>experiencing</w:t>
      </w:r>
      <w:r>
        <w:rPr>
          <w:rFonts w:ascii="Times New Roman" w:hAnsi="Times New Roman"/>
          <w:sz w:val="20"/>
          <w:szCs w:val="20"/>
        </w:rPr>
        <w:t xml:space="preserve"> moderate to very high </w:t>
      </w:r>
      <w:r w:rsidR="00A402FA">
        <w:rPr>
          <w:rFonts w:ascii="Times New Roman" w:hAnsi="Times New Roman"/>
          <w:sz w:val="20"/>
          <w:szCs w:val="20"/>
        </w:rPr>
        <w:t xml:space="preserve">levels of </w:t>
      </w:r>
      <w:r>
        <w:rPr>
          <w:rFonts w:ascii="Times New Roman" w:hAnsi="Times New Roman"/>
          <w:sz w:val="20"/>
          <w:szCs w:val="20"/>
        </w:rPr>
        <w:t xml:space="preserve">distress who are not considering engaging with mental health services perceive a need for care at a rate equal to </w:t>
      </w:r>
      <m:oMath>
        <m:r>
          <w:rPr>
            <w:rFonts w:ascii="Cambria Math" w:hAnsi="Cambria Math"/>
            <w:sz w:val="20"/>
            <w:szCs w:val="20"/>
          </w:rPr>
          <m:t>pD</m:t>
        </m:r>
      </m:oMath>
      <w:r>
        <w:rPr>
          <w:rFonts w:ascii="Times New Roman" w:hAnsi="Times New Roman"/>
          <w:sz w:val="20"/>
          <w:szCs w:val="20"/>
        </w:rPr>
        <w:t xml:space="preserve">, where </w:t>
      </w:r>
      <m:oMath>
        <m:r>
          <w:rPr>
            <w:rFonts w:ascii="Cambria Math" w:hAnsi="Cambria Math"/>
            <w:sz w:val="20"/>
            <w:szCs w:val="20"/>
          </w:rPr>
          <m:t>D</m:t>
        </m:r>
      </m:oMath>
      <w:r>
        <w:rPr>
          <w:rFonts w:ascii="Times New Roman" w:hAnsi="Times New Roman"/>
          <w:sz w:val="20"/>
          <w:szCs w:val="20"/>
        </w:rPr>
        <w:t xml:space="preserve"> is the number of moderately to highly distressed people not currently considering treatment and </w:t>
      </w:r>
      <m:oMath>
        <m:r>
          <w:rPr>
            <w:rFonts w:ascii="Cambria Math" w:hAnsi="Cambria Math"/>
            <w:sz w:val="20"/>
            <w:szCs w:val="20"/>
          </w:rPr>
          <m:t>p</m:t>
        </m:r>
      </m:oMath>
      <w:r>
        <w:rPr>
          <w:rFonts w:ascii="Times New Roman" w:hAnsi="Times New Roman"/>
          <w:sz w:val="20"/>
          <w:szCs w:val="20"/>
        </w:rPr>
        <w:t xml:space="preserve"> is the per capita rate that people </w:t>
      </w:r>
      <w:r w:rsidR="00A402FA">
        <w:rPr>
          <w:rFonts w:ascii="Times New Roman" w:hAnsi="Times New Roman"/>
          <w:sz w:val="20"/>
          <w:szCs w:val="20"/>
        </w:rPr>
        <w:t>with</w:t>
      </w:r>
      <w:r>
        <w:rPr>
          <w:rFonts w:ascii="Times New Roman" w:hAnsi="Times New Roman"/>
          <w:sz w:val="20"/>
          <w:szCs w:val="20"/>
        </w:rPr>
        <w:t xml:space="preserve"> </w:t>
      </w:r>
      <w:r w:rsidR="00853DA4">
        <w:rPr>
          <w:rFonts w:ascii="Times New Roman" w:hAnsi="Times New Roman"/>
          <w:sz w:val="20"/>
          <w:szCs w:val="20"/>
        </w:rPr>
        <w:t xml:space="preserve">moderate to very high </w:t>
      </w:r>
      <w:r w:rsidR="001B54AC">
        <w:rPr>
          <w:rFonts w:ascii="Times New Roman" w:hAnsi="Times New Roman"/>
          <w:sz w:val="20"/>
          <w:szCs w:val="20"/>
        </w:rPr>
        <w:t xml:space="preserve">psychological </w:t>
      </w:r>
      <w:r w:rsidR="00853DA4">
        <w:rPr>
          <w:rFonts w:ascii="Times New Roman" w:hAnsi="Times New Roman"/>
          <w:sz w:val="20"/>
          <w:szCs w:val="20"/>
        </w:rPr>
        <w:t>distress</w:t>
      </w:r>
      <w:r>
        <w:rPr>
          <w:rFonts w:ascii="Times New Roman" w:hAnsi="Times New Roman"/>
          <w:sz w:val="20"/>
          <w:szCs w:val="20"/>
        </w:rPr>
        <w:t xml:space="preserve"> perceive a need for care per year.  The per capita rate </w:t>
      </w:r>
      <m:oMath>
        <m:r>
          <w:rPr>
            <w:rFonts w:ascii="Cambria Math" w:hAnsi="Cambria Math"/>
            <w:sz w:val="20"/>
            <w:szCs w:val="20"/>
          </w:rPr>
          <m:t>p</m:t>
        </m:r>
      </m:oMath>
      <w:r>
        <w:rPr>
          <w:rFonts w:ascii="Times New Roman" w:hAnsi="Times New Roman"/>
          <w:sz w:val="20"/>
          <w:szCs w:val="20"/>
        </w:rPr>
        <w:t xml:space="preserve"> </w:t>
      </w:r>
      <w:r w:rsidR="00853DA4">
        <w:rPr>
          <w:rFonts w:ascii="Times New Roman" w:hAnsi="Times New Roman"/>
          <w:sz w:val="20"/>
          <w:szCs w:val="20"/>
        </w:rPr>
        <w:t>is</w:t>
      </w:r>
      <w:r>
        <w:rPr>
          <w:rFonts w:ascii="Times New Roman" w:hAnsi="Times New Roman"/>
          <w:sz w:val="20"/>
          <w:szCs w:val="20"/>
        </w:rPr>
        <w:t xml:space="preserve"> assumed to increase at a constant rate per year due to increasing public awareness of high-prevalence mental disorders and available treatment options.  After perceiving a need for treatment, people engage with mental health services at </w:t>
      </w:r>
      <w:r w:rsidR="00853DA4">
        <w:rPr>
          <w:rFonts w:ascii="Times New Roman" w:hAnsi="Times New Roman"/>
          <w:sz w:val="20"/>
          <w:szCs w:val="20"/>
        </w:rPr>
        <w:t xml:space="preserve">a </w:t>
      </w:r>
      <w:r>
        <w:rPr>
          <w:rFonts w:ascii="Times New Roman" w:hAnsi="Times New Roman"/>
          <w:sz w:val="20"/>
          <w:szCs w:val="20"/>
        </w:rPr>
        <w:t>per capita rate</w:t>
      </w:r>
      <w:r w:rsidR="0034270E">
        <w:rPr>
          <w:rFonts w:ascii="Times New Roman" w:hAnsi="Times New Roman"/>
          <w:sz w:val="20"/>
          <w:szCs w:val="20"/>
        </w:rPr>
        <w:t xml:space="preserve"> that also increases </w:t>
      </w:r>
      <w:r w:rsidR="00DB539E">
        <w:rPr>
          <w:rFonts w:ascii="Times New Roman" w:hAnsi="Times New Roman"/>
          <w:sz w:val="20"/>
          <w:szCs w:val="20"/>
        </w:rPr>
        <w:t>linearly over time</w:t>
      </w:r>
      <w:r w:rsidR="00A402FA">
        <w:rPr>
          <w:rFonts w:ascii="Times New Roman" w:hAnsi="Times New Roman"/>
          <w:sz w:val="20"/>
          <w:szCs w:val="20"/>
        </w:rPr>
        <w:t xml:space="preserve"> (see </w:t>
      </w:r>
      <w:r w:rsidR="00A402FA" w:rsidRPr="00A402FA">
        <w:rPr>
          <w:rFonts w:ascii="Times New Roman" w:hAnsi="Times New Roman"/>
          <w:i/>
          <w:iCs/>
          <w:sz w:val="20"/>
          <w:szCs w:val="20"/>
        </w:rPr>
        <w:t>GP and online services</w:t>
      </w:r>
      <w:r w:rsidR="00A402FA">
        <w:rPr>
          <w:rFonts w:ascii="Times New Roman" w:hAnsi="Times New Roman"/>
          <w:sz w:val="20"/>
          <w:szCs w:val="20"/>
        </w:rPr>
        <w:t xml:space="preserve"> below)</w:t>
      </w:r>
      <w:r>
        <w:rPr>
          <w:rFonts w:ascii="Times New Roman" w:hAnsi="Times New Roman"/>
          <w:sz w:val="20"/>
          <w:szCs w:val="20"/>
        </w:rPr>
        <w:t xml:space="preserve">.  Recently treated patients who have not recovered or disengaged from services return to perceiving a need for care and may attend subsequent (planned or unplanned) appointments with a GP or community-based psychiatric services, be admitted to a general hospital, commence online treatment, or present to an emergency department; </w:t>
      </w:r>
    </w:p>
    <w:p w14:paraId="46CA2A7A" w14:textId="77777777" w:rsidR="00C1588D" w:rsidRDefault="00C1588D" w:rsidP="00C1588D">
      <w:pPr>
        <w:spacing w:line="480" w:lineRule="auto"/>
        <w:rPr>
          <w:rFonts w:ascii="Times New Roman" w:hAnsi="Times New Roman"/>
          <w:sz w:val="20"/>
          <w:szCs w:val="20"/>
        </w:rPr>
      </w:pPr>
      <w:r>
        <w:rPr>
          <w:rFonts w:ascii="Times New Roman" w:hAnsi="Times New Roman"/>
          <w:noProof/>
          <w:sz w:val="20"/>
          <w:szCs w:val="20"/>
        </w:rPr>
        <w:lastRenderedPageBreak/>
        <w:drawing>
          <wp:inline distT="0" distB="0" distL="0" distR="0" wp14:anchorId="5F54E936" wp14:editId="5783B2C7">
            <wp:extent cx="5731282" cy="4559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S15-Services Overview.png"/>
                    <pic:cNvPicPr/>
                  </pic:nvPicPr>
                  <pic:blipFill>
                    <a:blip r:embed="rId11"/>
                    <a:stretch>
                      <a:fillRect/>
                    </a:stretch>
                  </pic:blipFill>
                  <pic:spPr>
                    <a:xfrm>
                      <a:off x="0" y="0"/>
                      <a:ext cx="5731282" cy="4559300"/>
                    </a:xfrm>
                    <a:prstGeom prst="rect">
                      <a:avLst/>
                    </a:prstGeom>
                  </pic:spPr>
                </pic:pic>
              </a:graphicData>
            </a:graphic>
          </wp:inline>
        </w:drawing>
      </w:r>
    </w:p>
    <w:p w14:paraId="54CC73D2" w14:textId="77777777" w:rsidR="00C1588D" w:rsidRDefault="00C1588D" w:rsidP="00C1588D">
      <w:pPr>
        <w:spacing w:line="480" w:lineRule="auto"/>
        <w:rPr>
          <w:rFonts w:ascii="Times New Roman" w:hAnsi="Times New Roman"/>
          <w:sz w:val="20"/>
          <w:szCs w:val="20"/>
        </w:rPr>
      </w:pPr>
    </w:p>
    <w:p w14:paraId="42840F8A" w14:textId="52775FD8" w:rsidR="00C1588D" w:rsidRDefault="00C1588D" w:rsidP="00C1588D">
      <w:pPr>
        <w:spacing w:line="480" w:lineRule="auto"/>
        <w:rPr>
          <w:rFonts w:ascii="Times New Roman" w:hAnsi="Times New Roman"/>
          <w:sz w:val="20"/>
          <w:szCs w:val="20"/>
        </w:rPr>
      </w:pPr>
      <w:r>
        <w:rPr>
          <w:rFonts w:ascii="Times New Roman" w:hAnsi="Times New Roman"/>
          <w:sz w:val="20"/>
          <w:szCs w:val="20"/>
        </w:rPr>
        <w:t>Figure S6.  High-level map of the mental health services sector.</w:t>
      </w:r>
    </w:p>
    <w:p w14:paraId="5A83BC19" w14:textId="77777777" w:rsidR="00C1588D" w:rsidRDefault="00C1588D" w:rsidP="00E82037">
      <w:pPr>
        <w:spacing w:line="480" w:lineRule="auto"/>
        <w:rPr>
          <w:rFonts w:ascii="Times New Roman" w:hAnsi="Times New Roman"/>
          <w:sz w:val="20"/>
          <w:szCs w:val="20"/>
        </w:rPr>
      </w:pPr>
    </w:p>
    <w:p w14:paraId="7377BA4B" w14:textId="4B7ECCCD" w:rsidR="00BF5478" w:rsidRDefault="00E82037" w:rsidP="00E82037">
      <w:pPr>
        <w:spacing w:line="480" w:lineRule="auto"/>
        <w:rPr>
          <w:rFonts w:ascii="Times New Roman" w:hAnsi="Times New Roman"/>
          <w:sz w:val="20"/>
          <w:szCs w:val="20"/>
        </w:rPr>
      </w:pPr>
      <w:r>
        <w:rPr>
          <w:rFonts w:ascii="Times New Roman" w:hAnsi="Times New Roman"/>
          <w:sz w:val="20"/>
          <w:szCs w:val="20"/>
        </w:rPr>
        <w:t xml:space="preserve">the stock of people perceiving a need for services </w:t>
      </w:r>
      <w:r w:rsidR="00A402FA">
        <w:rPr>
          <w:rFonts w:ascii="Times New Roman" w:hAnsi="Times New Roman"/>
          <w:sz w:val="20"/>
          <w:szCs w:val="20"/>
        </w:rPr>
        <w:t xml:space="preserve">(see </w:t>
      </w:r>
      <w:r>
        <w:rPr>
          <w:rFonts w:ascii="Times New Roman" w:hAnsi="Times New Roman"/>
          <w:sz w:val="20"/>
          <w:szCs w:val="20"/>
        </w:rPr>
        <w:t xml:space="preserve">figure </w:t>
      </w:r>
      <w:r w:rsidR="0034270E">
        <w:rPr>
          <w:rFonts w:ascii="Times New Roman" w:hAnsi="Times New Roman"/>
          <w:sz w:val="20"/>
          <w:szCs w:val="20"/>
        </w:rPr>
        <w:t>S7</w:t>
      </w:r>
      <w:r>
        <w:rPr>
          <w:rFonts w:ascii="Times New Roman" w:hAnsi="Times New Roman"/>
          <w:sz w:val="20"/>
          <w:szCs w:val="20"/>
        </w:rPr>
        <w:t>) therefore contain</w:t>
      </w:r>
      <w:r w:rsidR="0034270E">
        <w:rPr>
          <w:rFonts w:ascii="Times New Roman" w:hAnsi="Times New Roman"/>
          <w:sz w:val="20"/>
          <w:szCs w:val="20"/>
        </w:rPr>
        <w:t>s</w:t>
      </w:r>
      <w:r>
        <w:rPr>
          <w:rFonts w:ascii="Times New Roman" w:hAnsi="Times New Roman"/>
          <w:sz w:val="20"/>
          <w:szCs w:val="20"/>
        </w:rPr>
        <w:t xml:space="preserve"> a mix of prospective patients and patients already engaged with the mental health care system.  These prospective and current patients </w:t>
      </w:r>
      <w:r w:rsidR="0034270E">
        <w:rPr>
          <w:rFonts w:ascii="Times New Roman" w:hAnsi="Times New Roman"/>
          <w:sz w:val="20"/>
          <w:szCs w:val="20"/>
        </w:rPr>
        <w:t xml:space="preserve">are assumed to </w:t>
      </w:r>
      <w:r>
        <w:rPr>
          <w:rFonts w:ascii="Times New Roman" w:hAnsi="Times New Roman"/>
          <w:sz w:val="20"/>
          <w:szCs w:val="20"/>
        </w:rPr>
        <w:t xml:space="preserve">experience the same per capita mortality </w:t>
      </w:r>
      <w:r w:rsidR="0034270E">
        <w:rPr>
          <w:rFonts w:ascii="Times New Roman" w:hAnsi="Times New Roman"/>
          <w:sz w:val="20"/>
          <w:szCs w:val="20"/>
        </w:rPr>
        <w:t xml:space="preserve">and </w:t>
      </w:r>
      <w:r w:rsidR="00A402FA">
        <w:rPr>
          <w:rFonts w:ascii="Times New Roman" w:hAnsi="Times New Roman"/>
          <w:sz w:val="20"/>
          <w:szCs w:val="20"/>
        </w:rPr>
        <w:t>(</w:t>
      </w:r>
      <w:r w:rsidR="0034270E">
        <w:rPr>
          <w:rFonts w:ascii="Times New Roman" w:hAnsi="Times New Roman"/>
          <w:sz w:val="20"/>
          <w:szCs w:val="20"/>
        </w:rPr>
        <w:t>spontaneous</w:t>
      </w:r>
      <w:r w:rsidR="00A402FA">
        <w:rPr>
          <w:rFonts w:ascii="Times New Roman" w:hAnsi="Times New Roman"/>
          <w:sz w:val="20"/>
          <w:szCs w:val="20"/>
        </w:rPr>
        <w:t>)</w:t>
      </w:r>
      <w:r w:rsidR="0034270E">
        <w:rPr>
          <w:rFonts w:ascii="Times New Roman" w:hAnsi="Times New Roman"/>
          <w:sz w:val="20"/>
          <w:szCs w:val="20"/>
        </w:rPr>
        <w:t xml:space="preserve"> recovery </w:t>
      </w:r>
      <w:r>
        <w:rPr>
          <w:rFonts w:ascii="Times New Roman" w:hAnsi="Times New Roman"/>
          <w:sz w:val="20"/>
          <w:szCs w:val="20"/>
        </w:rPr>
        <w:t>rate</w:t>
      </w:r>
      <w:r w:rsidR="0034270E">
        <w:rPr>
          <w:rFonts w:ascii="Times New Roman" w:hAnsi="Times New Roman"/>
          <w:sz w:val="20"/>
          <w:szCs w:val="20"/>
        </w:rPr>
        <w:t>s</w:t>
      </w:r>
      <w:r>
        <w:rPr>
          <w:rFonts w:ascii="Times New Roman" w:hAnsi="Times New Roman"/>
          <w:sz w:val="20"/>
          <w:szCs w:val="20"/>
        </w:rPr>
        <w:t xml:space="preserve"> as </w:t>
      </w:r>
      <w:r w:rsidR="0034270E">
        <w:rPr>
          <w:rFonts w:ascii="Times New Roman" w:hAnsi="Times New Roman"/>
          <w:sz w:val="20"/>
          <w:szCs w:val="20"/>
        </w:rPr>
        <w:t xml:space="preserve">moderately to highly </w:t>
      </w:r>
      <w:r>
        <w:rPr>
          <w:rFonts w:ascii="Times New Roman" w:hAnsi="Times New Roman"/>
          <w:sz w:val="20"/>
          <w:szCs w:val="20"/>
        </w:rPr>
        <w:t>distress</w:t>
      </w:r>
      <w:r w:rsidR="0034270E">
        <w:rPr>
          <w:rFonts w:ascii="Times New Roman" w:hAnsi="Times New Roman"/>
          <w:sz w:val="20"/>
          <w:szCs w:val="20"/>
        </w:rPr>
        <w:t>ed people</w:t>
      </w:r>
      <w:r>
        <w:rPr>
          <w:rFonts w:ascii="Times New Roman" w:hAnsi="Times New Roman"/>
          <w:sz w:val="20"/>
          <w:szCs w:val="20"/>
        </w:rPr>
        <w:t xml:space="preserve"> who are not considering treatment.</w:t>
      </w:r>
    </w:p>
    <w:p w14:paraId="57465359" w14:textId="77777777" w:rsidR="007F7561" w:rsidRDefault="007F7561" w:rsidP="00E82037">
      <w:pPr>
        <w:spacing w:line="480" w:lineRule="auto"/>
        <w:rPr>
          <w:rFonts w:ascii="Times New Roman" w:hAnsi="Times New Roman"/>
          <w:sz w:val="20"/>
          <w:szCs w:val="20"/>
        </w:rPr>
      </w:pPr>
    </w:p>
    <w:p w14:paraId="39FDAE7E" w14:textId="6EC155C0" w:rsidR="00C1588D" w:rsidRDefault="002C5109" w:rsidP="00BF5478">
      <w:pPr>
        <w:spacing w:line="480" w:lineRule="auto"/>
        <w:rPr>
          <w:rFonts w:ascii="Times New Roman" w:hAnsi="Times New Roman"/>
          <w:sz w:val="20"/>
          <w:szCs w:val="20"/>
        </w:rPr>
        <w:sectPr w:rsidR="00C1588D" w:rsidSect="00E966E4">
          <w:footerReference w:type="default" r:id="rId12"/>
          <w:pgSz w:w="11906" w:h="16838" w:code="9"/>
          <w:pgMar w:top="1440" w:right="1440" w:bottom="1440" w:left="1440" w:header="284" w:footer="680" w:gutter="0"/>
          <w:cols w:space="708"/>
          <w:docGrid w:linePitch="360"/>
        </w:sectPr>
      </w:pPr>
      <w:r w:rsidRPr="00132ED4">
        <w:rPr>
          <w:rFonts w:ascii="Times New Roman" w:hAnsi="Times New Roman"/>
          <w:i/>
          <w:iCs/>
          <w:sz w:val="20"/>
          <w:szCs w:val="20"/>
        </w:rPr>
        <w:t>GP and online services</w:t>
      </w:r>
      <w:r>
        <w:rPr>
          <w:rFonts w:ascii="Times New Roman" w:hAnsi="Times New Roman"/>
          <w:sz w:val="20"/>
          <w:szCs w:val="20"/>
        </w:rPr>
        <w:t xml:space="preserve"> — People with a perceived need for </w:t>
      </w:r>
      <w:r w:rsidR="00AF6DF5">
        <w:rPr>
          <w:rFonts w:ascii="Times New Roman" w:hAnsi="Times New Roman"/>
          <w:sz w:val="20"/>
          <w:szCs w:val="20"/>
        </w:rPr>
        <w:t xml:space="preserve">mental health </w:t>
      </w:r>
      <w:r>
        <w:rPr>
          <w:rFonts w:ascii="Times New Roman" w:hAnsi="Times New Roman"/>
          <w:sz w:val="20"/>
          <w:szCs w:val="20"/>
        </w:rPr>
        <w:t>services seek help from a GP at a rate</w:t>
      </w:r>
      <w:r w:rsidR="00882B62">
        <w:rPr>
          <w:rFonts w:ascii="Times New Roman" w:hAnsi="Times New Roman"/>
          <w:sz w:val="20"/>
          <w:szCs w:val="20"/>
        </w:rPr>
        <w:t xml:space="preserve"> </w:t>
      </w:r>
      <m:oMath>
        <m:r>
          <w:rPr>
            <w:rFonts w:ascii="Cambria Math" w:hAnsi="Cambria Math"/>
            <w:sz w:val="20"/>
            <w:szCs w:val="20"/>
          </w:rPr>
          <m:t>sP</m:t>
        </m:r>
      </m:oMath>
      <w:r>
        <w:rPr>
          <w:rFonts w:ascii="Times New Roman" w:hAnsi="Times New Roman"/>
          <w:sz w:val="20"/>
          <w:szCs w:val="20"/>
        </w:rPr>
        <w:t xml:space="preserve">, where </w:t>
      </w:r>
      <m:oMath>
        <m:r>
          <w:rPr>
            <w:rFonts w:ascii="Cambria Math" w:hAnsi="Cambria Math"/>
            <w:sz w:val="20"/>
            <w:szCs w:val="20"/>
          </w:rPr>
          <m:t>P</m:t>
        </m:r>
      </m:oMath>
      <w:r>
        <w:rPr>
          <w:rFonts w:ascii="Times New Roman" w:hAnsi="Times New Roman"/>
          <w:sz w:val="20"/>
          <w:szCs w:val="20"/>
        </w:rPr>
        <w:t xml:space="preserve"> is the number o</w:t>
      </w:r>
      <w:r w:rsidR="00BF5478">
        <w:rPr>
          <w:rFonts w:ascii="Times New Roman" w:hAnsi="Times New Roman"/>
          <w:sz w:val="20"/>
          <w:szCs w:val="20"/>
        </w:rPr>
        <w:t>f</w:t>
      </w:r>
      <w:r w:rsidR="005D6DD1">
        <w:rPr>
          <w:rFonts w:ascii="Times New Roman" w:hAnsi="Times New Roman"/>
          <w:sz w:val="20"/>
          <w:szCs w:val="20"/>
        </w:rPr>
        <w:t xml:space="preserve"> </w:t>
      </w:r>
      <w:r w:rsidR="007F7561">
        <w:rPr>
          <w:rFonts w:ascii="Times New Roman" w:hAnsi="Times New Roman"/>
          <w:sz w:val="20"/>
          <w:szCs w:val="20"/>
        </w:rPr>
        <w:t xml:space="preserve">psychologically distressed </w:t>
      </w:r>
      <w:r>
        <w:rPr>
          <w:rFonts w:ascii="Times New Roman" w:hAnsi="Times New Roman"/>
          <w:sz w:val="20"/>
          <w:szCs w:val="20"/>
        </w:rPr>
        <w:t xml:space="preserve">people perceiving a need for </w:t>
      </w:r>
      <w:r w:rsidR="00214846">
        <w:rPr>
          <w:rFonts w:ascii="Times New Roman" w:hAnsi="Times New Roman"/>
          <w:sz w:val="20"/>
          <w:szCs w:val="20"/>
        </w:rPr>
        <w:t xml:space="preserve">care </w:t>
      </w:r>
      <w:r w:rsidR="007F7561">
        <w:rPr>
          <w:rFonts w:ascii="Times New Roman" w:hAnsi="Times New Roman"/>
          <w:sz w:val="20"/>
          <w:szCs w:val="20"/>
        </w:rPr>
        <w:t xml:space="preserve">(those in the stock labelled ‘Perceived need for services’ in figure S7) </w:t>
      </w:r>
      <w:r>
        <w:rPr>
          <w:rFonts w:ascii="Times New Roman" w:hAnsi="Times New Roman"/>
          <w:sz w:val="20"/>
          <w:szCs w:val="20"/>
        </w:rPr>
        <w:t xml:space="preserve">and </w:t>
      </w:r>
      <m:oMath>
        <m:r>
          <w:rPr>
            <w:rFonts w:ascii="Cambria Math" w:hAnsi="Cambria Math"/>
            <w:sz w:val="20"/>
            <w:szCs w:val="20"/>
          </w:rPr>
          <m:t>s</m:t>
        </m:r>
      </m:oMath>
      <w:r>
        <w:rPr>
          <w:rFonts w:ascii="Times New Roman" w:hAnsi="Times New Roman"/>
          <w:sz w:val="20"/>
          <w:szCs w:val="20"/>
        </w:rPr>
        <w:t xml:space="preserve"> is the per capita rate at which</w:t>
      </w:r>
      <w:r w:rsidR="00882B62">
        <w:rPr>
          <w:rFonts w:ascii="Times New Roman" w:hAnsi="Times New Roman"/>
          <w:sz w:val="20"/>
          <w:szCs w:val="20"/>
        </w:rPr>
        <w:t xml:space="preserve"> </w:t>
      </w:r>
      <w:r>
        <w:rPr>
          <w:rFonts w:ascii="Times New Roman" w:hAnsi="Times New Roman"/>
          <w:sz w:val="20"/>
          <w:szCs w:val="20"/>
        </w:rPr>
        <w:t>people with a perceived need for care seek help from a GP</w:t>
      </w:r>
      <w:r w:rsidR="00882B62">
        <w:rPr>
          <w:rFonts w:ascii="Times New Roman" w:hAnsi="Times New Roman"/>
          <w:sz w:val="20"/>
          <w:szCs w:val="20"/>
        </w:rPr>
        <w:t xml:space="preserve"> per year</w:t>
      </w:r>
      <w:r>
        <w:rPr>
          <w:rFonts w:ascii="Times New Roman" w:hAnsi="Times New Roman"/>
          <w:sz w:val="20"/>
          <w:szCs w:val="20"/>
        </w:rPr>
        <w:t xml:space="preserve">.  The per capita rate </w:t>
      </w:r>
      <m:oMath>
        <m:r>
          <w:rPr>
            <w:rFonts w:ascii="Cambria Math" w:hAnsi="Cambria Math"/>
            <w:sz w:val="20"/>
            <w:szCs w:val="20"/>
          </w:rPr>
          <m:t>s</m:t>
        </m:r>
      </m:oMath>
      <w:r>
        <w:rPr>
          <w:rFonts w:ascii="Times New Roman" w:hAnsi="Times New Roman"/>
          <w:sz w:val="20"/>
          <w:szCs w:val="20"/>
        </w:rPr>
        <w:t xml:space="preserve"> is assumed to increase at a constant rate per year, increasing </w:t>
      </w:r>
      <w:r w:rsidR="005D6DD1">
        <w:rPr>
          <w:rFonts w:ascii="Times New Roman" w:hAnsi="Times New Roman"/>
          <w:sz w:val="20"/>
          <w:szCs w:val="20"/>
        </w:rPr>
        <w:t xml:space="preserve">the </w:t>
      </w:r>
      <w:r>
        <w:rPr>
          <w:rFonts w:ascii="Times New Roman" w:hAnsi="Times New Roman"/>
          <w:sz w:val="20"/>
          <w:szCs w:val="20"/>
        </w:rPr>
        <w:t xml:space="preserve">help seeking rate among people who perceive a need for treatment.  Prior to receiving care, patients seeking help from a GP or referred to GP services after completing hospital inpatient care wait for a </w:t>
      </w:r>
      <w:r w:rsidR="00AA7411">
        <w:rPr>
          <w:rFonts w:ascii="Times New Roman" w:hAnsi="Times New Roman"/>
          <w:sz w:val="20"/>
          <w:szCs w:val="20"/>
        </w:rPr>
        <w:t xml:space="preserve"> </w:t>
      </w:r>
    </w:p>
    <w:p w14:paraId="6E86F6B8" w14:textId="77777777" w:rsidR="0041427A" w:rsidRDefault="0041427A" w:rsidP="0041427A">
      <w:pPr>
        <w:spacing w:line="480" w:lineRule="auto"/>
        <w:jc w:val="center"/>
        <w:rPr>
          <w:rFonts w:ascii="Times New Roman" w:hAnsi="Times New Roman"/>
          <w:sz w:val="20"/>
          <w:szCs w:val="20"/>
        </w:rPr>
      </w:pPr>
      <w:r>
        <w:rPr>
          <w:rFonts w:ascii="Times New Roman" w:hAnsi="Times New Roman"/>
          <w:noProof/>
          <w:sz w:val="20"/>
          <w:szCs w:val="20"/>
        </w:rPr>
        <w:lastRenderedPageBreak/>
        <w:drawing>
          <wp:inline distT="0" distB="0" distL="0" distR="0" wp14:anchorId="0FA1D5AA" wp14:editId="4E8EA769">
            <wp:extent cx="7071360" cy="5121952"/>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 S16-Primary Care Model.png"/>
                    <pic:cNvPicPr/>
                  </pic:nvPicPr>
                  <pic:blipFill>
                    <a:blip r:embed="rId13"/>
                    <a:stretch>
                      <a:fillRect/>
                    </a:stretch>
                  </pic:blipFill>
                  <pic:spPr>
                    <a:xfrm>
                      <a:off x="0" y="0"/>
                      <a:ext cx="7083304" cy="5130603"/>
                    </a:xfrm>
                    <a:prstGeom prst="rect">
                      <a:avLst/>
                    </a:prstGeom>
                  </pic:spPr>
                </pic:pic>
              </a:graphicData>
            </a:graphic>
          </wp:inline>
        </w:drawing>
      </w:r>
    </w:p>
    <w:p w14:paraId="4AB3E9DA" w14:textId="77777777" w:rsidR="0041427A" w:rsidRDefault="0041427A" w:rsidP="0041427A">
      <w:pPr>
        <w:spacing w:line="480" w:lineRule="auto"/>
        <w:rPr>
          <w:rFonts w:ascii="Times New Roman" w:hAnsi="Times New Roman"/>
          <w:sz w:val="20"/>
          <w:szCs w:val="20"/>
        </w:rPr>
      </w:pPr>
    </w:p>
    <w:p w14:paraId="00BB16CE" w14:textId="0819527F" w:rsidR="00C1588D" w:rsidRDefault="0041427A" w:rsidP="00BF5478">
      <w:pPr>
        <w:spacing w:line="480" w:lineRule="auto"/>
        <w:rPr>
          <w:rFonts w:ascii="Times New Roman" w:hAnsi="Times New Roman"/>
          <w:sz w:val="20"/>
          <w:szCs w:val="20"/>
        </w:rPr>
      </w:pPr>
      <w:r>
        <w:rPr>
          <w:rFonts w:ascii="Times New Roman" w:hAnsi="Times New Roman"/>
          <w:sz w:val="20"/>
          <w:szCs w:val="20"/>
        </w:rPr>
        <w:t>Figure S7.  Stock and flow structure of the help-seeking, general practitioner (GP) services, and online services components of the mental health services sector.</w:t>
      </w:r>
    </w:p>
    <w:p w14:paraId="0CC9A99A" w14:textId="77777777" w:rsidR="00C1588D" w:rsidRDefault="00C1588D" w:rsidP="00BF5478">
      <w:pPr>
        <w:spacing w:line="480" w:lineRule="auto"/>
        <w:rPr>
          <w:rFonts w:ascii="Times New Roman" w:hAnsi="Times New Roman"/>
          <w:sz w:val="20"/>
          <w:szCs w:val="20"/>
        </w:rPr>
        <w:sectPr w:rsidR="00C1588D" w:rsidSect="00C1588D">
          <w:pgSz w:w="16838" w:h="11906" w:orient="landscape" w:code="9"/>
          <w:pgMar w:top="1440" w:right="1440" w:bottom="1440" w:left="1440" w:header="284" w:footer="680" w:gutter="0"/>
          <w:cols w:space="708"/>
          <w:docGrid w:linePitch="360"/>
        </w:sectPr>
      </w:pPr>
    </w:p>
    <w:p w14:paraId="4001BF21" w14:textId="1512E697" w:rsidR="00BF5478" w:rsidRDefault="002C5109" w:rsidP="00BF5478">
      <w:pPr>
        <w:spacing w:line="480" w:lineRule="auto"/>
        <w:rPr>
          <w:rFonts w:ascii="Times New Roman" w:hAnsi="Times New Roman"/>
          <w:sz w:val="20"/>
          <w:szCs w:val="20"/>
        </w:rPr>
      </w:pPr>
      <w:r>
        <w:rPr>
          <w:rFonts w:ascii="Times New Roman" w:hAnsi="Times New Roman"/>
          <w:sz w:val="20"/>
          <w:szCs w:val="20"/>
        </w:rPr>
        <w:lastRenderedPageBreak/>
        <w:t>varying period of time that depends on services capacity and the total number of patients waiting for care.  GP services capacity, i.e., the</w:t>
      </w:r>
      <w:r w:rsidR="009D1E49">
        <w:rPr>
          <w:rFonts w:ascii="Times New Roman" w:hAnsi="Times New Roman"/>
          <w:sz w:val="20"/>
          <w:szCs w:val="20"/>
        </w:rPr>
        <w:t xml:space="preserve"> </w:t>
      </w:r>
      <w:r>
        <w:rPr>
          <w:rFonts w:ascii="Times New Roman" w:hAnsi="Times New Roman"/>
          <w:sz w:val="20"/>
          <w:szCs w:val="20"/>
        </w:rPr>
        <w:t>number of mental health-related GP consultations that can be provided per year, is assumed to increase at a constant rate per year, estimated from Medicare Benefits Schedule (MBS) claims data for the period 2012−2017 (</w:t>
      </w:r>
      <w:r w:rsidR="009D1E49">
        <w:rPr>
          <w:rFonts w:ascii="Times New Roman" w:hAnsi="Times New Roman"/>
          <w:sz w:val="20"/>
          <w:szCs w:val="20"/>
        </w:rPr>
        <w:t xml:space="preserve">see </w:t>
      </w:r>
      <w:r>
        <w:rPr>
          <w:rFonts w:ascii="Times New Roman" w:hAnsi="Times New Roman"/>
          <w:sz w:val="20"/>
          <w:szCs w:val="20"/>
        </w:rPr>
        <w:t>figure S</w:t>
      </w:r>
      <w:r w:rsidR="00CF41BD">
        <w:rPr>
          <w:rFonts w:ascii="Times New Roman" w:hAnsi="Times New Roman"/>
          <w:sz w:val="20"/>
          <w:szCs w:val="20"/>
        </w:rPr>
        <w:t>8</w:t>
      </w:r>
      <w:r>
        <w:rPr>
          <w:rFonts w:ascii="Times New Roman" w:hAnsi="Times New Roman"/>
          <w:sz w:val="20"/>
          <w:szCs w:val="20"/>
        </w:rPr>
        <w:t>).</w:t>
      </w:r>
      <w:r w:rsidR="00BF5478">
        <w:rPr>
          <w:rFonts w:ascii="Times New Roman" w:hAnsi="Times New Roman"/>
          <w:sz w:val="20"/>
          <w:szCs w:val="20"/>
        </w:rPr>
        <w:t xml:space="preserve">  Mental health-related GP consultations are represented as a stock with outflows corresponding to treatment completion, referral to other services (</w:t>
      </w:r>
      <w:r w:rsidR="009D1E49">
        <w:rPr>
          <w:rFonts w:ascii="Times New Roman" w:hAnsi="Times New Roman"/>
          <w:sz w:val="20"/>
          <w:szCs w:val="20"/>
        </w:rPr>
        <w:t xml:space="preserve">including </w:t>
      </w:r>
      <w:r w:rsidR="00BF5478">
        <w:rPr>
          <w:rFonts w:ascii="Times New Roman" w:hAnsi="Times New Roman"/>
          <w:sz w:val="20"/>
          <w:szCs w:val="20"/>
        </w:rPr>
        <w:t>psychiatrist and allied</w:t>
      </w:r>
      <w:r w:rsidR="009D1E49">
        <w:rPr>
          <w:rFonts w:ascii="Times New Roman" w:hAnsi="Times New Roman"/>
          <w:sz w:val="20"/>
          <w:szCs w:val="20"/>
        </w:rPr>
        <w:t xml:space="preserve"> </w:t>
      </w:r>
      <w:r w:rsidR="00BF5478">
        <w:rPr>
          <w:rFonts w:ascii="Times New Roman" w:hAnsi="Times New Roman"/>
          <w:sz w:val="20"/>
          <w:szCs w:val="20"/>
        </w:rPr>
        <w:t xml:space="preserve">health services, </w:t>
      </w:r>
      <w:r w:rsidR="009D1E49">
        <w:rPr>
          <w:rFonts w:ascii="Times New Roman" w:hAnsi="Times New Roman"/>
          <w:sz w:val="20"/>
          <w:szCs w:val="20"/>
        </w:rPr>
        <w:t xml:space="preserve">state-funded </w:t>
      </w:r>
      <w:r w:rsidR="00BF5478">
        <w:rPr>
          <w:rFonts w:ascii="Times New Roman" w:hAnsi="Times New Roman"/>
          <w:sz w:val="20"/>
          <w:szCs w:val="20"/>
        </w:rPr>
        <w:t xml:space="preserve">community mental health care services, and online services), and disengagement resulting from dissatisfaction with the care provided.  The recovery rate among patients completing treatment is equal to </w:t>
      </w:r>
      <m:oMath>
        <m:r>
          <w:rPr>
            <w:rFonts w:ascii="Cambria Math" w:hAnsi="Cambria Math"/>
            <w:sz w:val="20"/>
            <w:szCs w:val="20"/>
          </w:rPr>
          <m:t>vrT</m:t>
        </m:r>
      </m:oMath>
      <w:r w:rsidR="00BF5478">
        <w:rPr>
          <w:rFonts w:ascii="Times New Roman" w:hAnsi="Times New Roman"/>
          <w:sz w:val="20"/>
          <w:szCs w:val="20"/>
        </w:rPr>
        <w:t xml:space="preserve">, where </w:t>
      </w:r>
      <m:oMath>
        <m:r>
          <w:rPr>
            <w:rFonts w:ascii="Cambria Math" w:hAnsi="Cambria Math"/>
            <w:sz w:val="20"/>
            <w:szCs w:val="20"/>
          </w:rPr>
          <m:t>T</m:t>
        </m:r>
      </m:oMath>
      <w:r w:rsidR="00BF5478">
        <w:rPr>
          <w:rFonts w:ascii="Times New Roman" w:hAnsi="Times New Roman"/>
          <w:sz w:val="20"/>
          <w:szCs w:val="20"/>
        </w:rPr>
        <w:t xml:space="preserve"> is the number of patients completing treatment per yea</w:t>
      </w:r>
      <w:r w:rsidR="009D1E49">
        <w:rPr>
          <w:rFonts w:ascii="Times New Roman" w:hAnsi="Times New Roman"/>
          <w:sz w:val="20"/>
          <w:szCs w:val="20"/>
        </w:rPr>
        <w:t>r</w:t>
      </w:r>
      <w:r w:rsidR="00BF5478">
        <w:rPr>
          <w:rFonts w:ascii="Times New Roman" w:hAnsi="Times New Roman"/>
          <w:sz w:val="20"/>
          <w:szCs w:val="20"/>
        </w:rPr>
        <w:t xml:space="preserve">, </w:t>
      </w:r>
      <m:oMath>
        <m:r>
          <w:rPr>
            <w:rFonts w:ascii="Cambria Math" w:hAnsi="Cambria Math"/>
            <w:sz w:val="20"/>
            <w:szCs w:val="20"/>
          </w:rPr>
          <m:t>v</m:t>
        </m:r>
      </m:oMath>
      <w:r w:rsidR="00BF5478">
        <w:rPr>
          <w:rFonts w:ascii="Times New Roman" w:hAnsi="Times New Roman"/>
          <w:sz w:val="20"/>
          <w:szCs w:val="20"/>
        </w:rPr>
        <w:t xml:space="preserve"> is the proportion of patients completing treatment who receive psychological therapy, and </w:t>
      </w:r>
      <m:oMath>
        <m:r>
          <w:rPr>
            <w:rFonts w:ascii="Cambria Math" w:hAnsi="Cambria Math"/>
            <w:sz w:val="20"/>
            <w:szCs w:val="20"/>
          </w:rPr>
          <m:t>r</m:t>
        </m:r>
      </m:oMath>
      <w:r w:rsidR="00BF5478">
        <w:rPr>
          <w:rFonts w:ascii="Times New Roman" w:hAnsi="Times New Roman"/>
          <w:sz w:val="20"/>
          <w:szCs w:val="20"/>
        </w:rPr>
        <w:t xml:space="preserve"> is the proportion of patients who recover after receiving psychological therapy.  Patients completing </w:t>
      </w:r>
      <w:r w:rsidR="00556D87">
        <w:rPr>
          <w:rFonts w:ascii="Times New Roman" w:hAnsi="Times New Roman"/>
          <w:sz w:val="20"/>
          <w:szCs w:val="20"/>
        </w:rPr>
        <w:t>treatment</w:t>
      </w:r>
      <w:r w:rsidR="00BF5478">
        <w:rPr>
          <w:rFonts w:ascii="Times New Roman" w:hAnsi="Times New Roman"/>
          <w:sz w:val="20"/>
          <w:szCs w:val="20"/>
        </w:rPr>
        <w:t xml:space="preserve"> who do not recover return to the stock of people who perceive a need for care.</w:t>
      </w:r>
    </w:p>
    <w:p w14:paraId="072E2912" w14:textId="62556876" w:rsidR="00A8384F" w:rsidRDefault="00A8384F" w:rsidP="00E966E4">
      <w:pPr>
        <w:spacing w:line="480" w:lineRule="auto"/>
        <w:rPr>
          <w:rFonts w:ascii="Times New Roman" w:hAnsi="Times New Roman"/>
          <w:sz w:val="20"/>
          <w:szCs w:val="20"/>
        </w:rPr>
      </w:pPr>
    </w:p>
    <w:p w14:paraId="019561B8" w14:textId="34DDC8CB" w:rsidR="001E695A" w:rsidRDefault="00351FE6" w:rsidP="00E966E4">
      <w:pPr>
        <w:spacing w:line="480" w:lineRule="auto"/>
        <w:rPr>
          <w:rFonts w:ascii="Times New Roman" w:hAnsi="Times New Roman"/>
          <w:sz w:val="20"/>
          <w:szCs w:val="20"/>
        </w:rPr>
      </w:pPr>
      <w:r>
        <w:rPr>
          <w:rFonts w:ascii="Times New Roman" w:hAnsi="Times New Roman"/>
          <w:sz w:val="20"/>
          <w:szCs w:val="20"/>
        </w:rPr>
        <w:t xml:space="preserve">Treatment commencement rates for online </w:t>
      </w:r>
      <w:r w:rsidR="00BD105A">
        <w:rPr>
          <w:rFonts w:ascii="Times New Roman" w:hAnsi="Times New Roman"/>
          <w:sz w:val="20"/>
          <w:szCs w:val="20"/>
        </w:rPr>
        <w:t xml:space="preserve">(self-help) </w:t>
      </w:r>
      <w:r>
        <w:rPr>
          <w:rFonts w:ascii="Times New Roman" w:hAnsi="Times New Roman"/>
          <w:sz w:val="20"/>
          <w:szCs w:val="20"/>
        </w:rPr>
        <w:t xml:space="preserve">services </w:t>
      </w:r>
      <w:r w:rsidR="00ED134B">
        <w:rPr>
          <w:rFonts w:ascii="Times New Roman" w:hAnsi="Times New Roman"/>
          <w:sz w:val="20"/>
          <w:szCs w:val="20"/>
        </w:rPr>
        <w:t>in each</w:t>
      </w:r>
      <w:r w:rsidR="00BD105A">
        <w:rPr>
          <w:rFonts w:ascii="Times New Roman" w:hAnsi="Times New Roman"/>
          <w:sz w:val="20"/>
          <w:szCs w:val="20"/>
        </w:rPr>
        <w:t xml:space="preserve"> </w:t>
      </w:r>
      <w:r w:rsidR="00ED134B">
        <w:rPr>
          <w:rFonts w:ascii="Times New Roman" w:hAnsi="Times New Roman"/>
          <w:sz w:val="20"/>
          <w:szCs w:val="20"/>
        </w:rPr>
        <w:t>catchment are</w:t>
      </w:r>
      <w:r w:rsidR="001A16FB">
        <w:rPr>
          <w:rFonts w:ascii="Times New Roman" w:hAnsi="Times New Roman"/>
          <w:sz w:val="20"/>
          <w:szCs w:val="20"/>
        </w:rPr>
        <w:t xml:space="preserve"> equal to</w:t>
      </w:r>
      <w:r>
        <w:rPr>
          <w:rFonts w:ascii="Times New Roman" w:hAnsi="Times New Roman"/>
          <w:sz w:val="20"/>
          <w:szCs w:val="20"/>
        </w:rPr>
        <w:t xml:space="preserve"> </w:t>
      </w:r>
      <m:oMath>
        <m:r>
          <w:rPr>
            <w:rFonts w:ascii="Cambria Math" w:hAnsi="Cambria Math"/>
            <w:sz w:val="20"/>
            <w:szCs w:val="20"/>
          </w:rPr>
          <m:t>hP+uG</m:t>
        </m:r>
      </m:oMath>
      <w:r>
        <w:rPr>
          <w:rFonts w:ascii="Times New Roman" w:hAnsi="Times New Roman"/>
          <w:sz w:val="20"/>
          <w:szCs w:val="20"/>
        </w:rPr>
        <w:t xml:space="preserve">, where </w:t>
      </w:r>
      <m:oMath>
        <m:r>
          <w:rPr>
            <w:rFonts w:ascii="Cambria Math" w:hAnsi="Cambria Math"/>
            <w:sz w:val="20"/>
            <w:szCs w:val="20"/>
          </w:rPr>
          <m:t>P</m:t>
        </m:r>
      </m:oMath>
      <w:r>
        <w:rPr>
          <w:rFonts w:ascii="Times New Roman" w:hAnsi="Times New Roman"/>
          <w:sz w:val="20"/>
          <w:szCs w:val="20"/>
        </w:rPr>
        <w:t xml:space="preserve"> is the number of </w:t>
      </w:r>
      <w:r w:rsidR="00CD7E95">
        <w:rPr>
          <w:rFonts w:ascii="Times New Roman" w:hAnsi="Times New Roman"/>
          <w:sz w:val="20"/>
          <w:szCs w:val="20"/>
        </w:rPr>
        <w:t xml:space="preserve">moderately to highly distressed </w:t>
      </w:r>
      <w:r>
        <w:rPr>
          <w:rFonts w:ascii="Times New Roman" w:hAnsi="Times New Roman"/>
          <w:sz w:val="20"/>
          <w:szCs w:val="20"/>
        </w:rPr>
        <w:t>people who perceive a need for care (</w:t>
      </w:r>
      <w:r w:rsidR="00BD105A">
        <w:rPr>
          <w:rFonts w:ascii="Times New Roman" w:hAnsi="Times New Roman"/>
          <w:sz w:val="20"/>
          <w:szCs w:val="20"/>
        </w:rPr>
        <w:t xml:space="preserve">i.e., those </w:t>
      </w:r>
      <w:r>
        <w:rPr>
          <w:rFonts w:ascii="Times New Roman" w:hAnsi="Times New Roman"/>
          <w:sz w:val="20"/>
          <w:szCs w:val="20"/>
        </w:rPr>
        <w:t>in the</w:t>
      </w:r>
      <w:r w:rsidR="00CD7E95">
        <w:rPr>
          <w:rFonts w:ascii="Times New Roman" w:hAnsi="Times New Roman"/>
          <w:sz w:val="20"/>
          <w:szCs w:val="20"/>
        </w:rPr>
        <w:t xml:space="preserve"> </w:t>
      </w:r>
      <w:r>
        <w:rPr>
          <w:rFonts w:ascii="Times New Roman" w:hAnsi="Times New Roman"/>
          <w:sz w:val="20"/>
          <w:szCs w:val="20"/>
        </w:rPr>
        <w:t>stock labelled ‘Perceived need for services’ in figure S</w:t>
      </w:r>
      <w:r w:rsidR="00CD7E95">
        <w:rPr>
          <w:rFonts w:ascii="Times New Roman" w:hAnsi="Times New Roman"/>
          <w:sz w:val="20"/>
          <w:szCs w:val="20"/>
        </w:rPr>
        <w:t>7</w:t>
      </w:r>
      <w:r>
        <w:rPr>
          <w:rFonts w:ascii="Times New Roman" w:hAnsi="Times New Roman"/>
          <w:sz w:val="20"/>
          <w:szCs w:val="20"/>
        </w:rPr>
        <w:t xml:space="preserve">), </w:t>
      </w:r>
      <m:oMath>
        <m:r>
          <w:rPr>
            <w:rFonts w:ascii="Cambria Math" w:hAnsi="Cambria Math"/>
            <w:sz w:val="20"/>
            <w:szCs w:val="20"/>
          </w:rPr>
          <m:t>h</m:t>
        </m:r>
      </m:oMath>
      <w:r>
        <w:rPr>
          <w:rFonts w:ascii="Times New Roman" w:hAnsi="Times New Roman"/>
          <w:sz w:val="20"/>
          <w:szCs w:val="20"/>
        </w:rPr>
        <w:t xml:space="preserve"> is the per capita rate that people with a perceived need for care access online services per year, </w:t>
      </w:r>
      <m:oMath>
        <m:r>
          <w:rPr>
            <w:rFonts w:ascii="Cambria Math" w:hAnsi="Cambria Math"/>
            <w:sz w:val="20"/>
            <w:szCs w:val="20"/>
          </w:rPr>
          <m:t>G</m:t>
        </m:r>
      </m:oMath>
      <w:r>
        <w:rPr>
          <w:rFonts w:ascii="Times New Roman" w:hAnsi="Times New Roman"/>
          <w:sz w:val="20"/>
          <w:szCs w:val="20"/>
        </w:rPr>
        <w:t xml:space="preserve"> is the GP services provision rate (</w:t>
      </w:r>
      <w:r w:rsidR="00BD105A">
        <w:rPr>
          <w:rFonts w:ascii="Times New Roman" w:hAnsi="Times New Roman"/>
          <w:sz w:val="20"/>
          <w:szCs w:val="20"/>
        </w:rPr>
        <w:t xml:space="preserve">i.e., </w:t>
      </w:r>
      <w:r>
        <w:rPr>
          <w:rFonts w:ascii="Times New Roman" w:hAnsi="Times New Roman"/>
          <w:sz w:val="20"/>
          <w:szCs w:val="20"/>
        </w:rPr>
        <w:t xml:space="preserve">the </w:t>
      </w:r>
      <w:r w:rsidR="00BD105A">
        <w:rPr>
          <w:rFonts w:ascii="Times New Roman" w:hAnsi="Times New Roman"/>
          <w:sz w:val="20"/>
          <w:szCs w:val="20"/>
        </w:rPr>
        <w:t xml:space="preserve">total </w:t>
      </w:r>
      <w:r>
        <w:rPr>
          <w:rFonts w:ascii="Times New Roman" w:hAnsi="Times New Roman"/>
          <w:sz w:val="20"/>
          <w:szCs w:val="20"/>
        </w:rPr>
        <w:t>number of patients</w:t>
      </w:r>
      <w:r w:rsidR="00CD7E95">
        <w:rPr>
          <w:rFonts w:ascii="Times New Roman" w:hAnsi="Times New Roman"/>
          <w:sz w:val="20"/>
          <w:szCs w:val="20"/>
        </w:rPr>
        <w:t xml:space="preserve"> </w:t>
      </w:r>
      <w:r>
        <w:rPr>
          <w:rFonts w:ascii="Times New Roman" w:hAnsi="Times New Roman"/>
          <w:sz w:val="20"/>
          <w:szCs w:val="20"/>
        </w:rPr>
        <w:t xml:space="preserve">attending a GP consultation per year), and </w:t>
      </w:r>
      <m:oMath>
        <m:r>
          <w:rPr>
            <w:rFonts w:ascii="Cambria Math" w:hAnsi="Cambria Math"/>
            <w:sz w:val="20"/>
            <w:szCs w:val="20"/>
          </w:rPr>
          <m:t>u</m:t>
        </m:r>
      </m:oMath>
      <w:r>
        <w:rPr>
          <w:rFonts w:ascii="Times New Roman" w:hAnsi="Times New Roman"/>
          <w:sz w:val="20"/>
          <w:szCs w:val="20"/>
        </w:rPr>
        <w:t xml:space="preserve"> is the fraction of patients visiting a GP for a mental health issue referred to online services.  Prior to completing treatment, people accessing online services may recover spontaneously, present to an emergency department, or die (figure S</w:t>
      </w:r>
      <w:r w:rsidR="00CD7E95">
        <w:rPr>
          <w:rFonts w:ascii="Times New Roman" w:hAnsi="Times New Roman"/>
          <w:sz w:val="20"/>
          <w:szCs w:val="20"/>
        </w:rPr>
        <w:t>7</w:t>
      </w:r>
      <w:r>
        <w:rPr>
          <w:rFonts w:ascii="Times New Roman" w:hAnsi="Times New Roman"/>
          <w:sz w:val="20"/>
          <w:szCs w:val="20"/>
        </w:rPr>
        <w:t xml:space="preserve">); treatment completion rates are equal to </w:t>
      </w:r>
      <m:oMath>
        <m:f>
          <m:fPr>
            <m:type m:val="lin"/>
            <m:ctrlPr>
              <w:rPr>
                <w:rFonts w:ascii="Cambria Math" w:hAnsi="Cambria Math"/>
                <w:i/>
                <w:sz w:val="20"/>
                <w:szCs w:val="20"/>
              </w:rPr>
            </m:ctrlPr>
          </m:fPr>
          <m:num>
            <m:r>
              <w:rPr>
                <w:rFonts w:ascii="Cambria Math" w:hAnsi="Cambria Math"/>
                <w:sz w:val="20"/>
                <w:szCs w:val="20"/>
              </w:rPr>
              <m:t>O</m:t>
            </m:r>
          </m:num>
          <m:den>
            <m:r>
              <w:rPr>
                <w:rFonts w:ascii="Cambria Math" w:hAnsi="Cambria Math"/>
                <w:sz w:val="20"/>
                <w:szCs w:val="20"/>
              </w:rPr>
              <m:t>d</m:t>
            </m:r>
          </m:den>
        </m:f>
      </m:oMath>
      <w:r>
        <w:rPr>
          <w:rFonts w:ascii="Times New Roman" w:hAnsi="Times New Roman"/>
          <w:sz w:val="20"/>
          <w:szCs w:val="20"/>
        </w:rPr>
        <w:t xml:space="preserve">, where </w:t>
      </w:r>
      <m:oMath>
        <m:r>
          <w:rPr>
            <w:rFonts w:ascii="Cambria Math" w:hAnsi="Cambria Math"/>
            <w:sz w:val="20"/>
            <w:szCs w:val="20"/>
          </w:rPr>
          <m:t>O</m:t>
        </m:r>
      </m:oMath>
      <w:r>
        <w:rPr>
          <w:rFonts w:ascii="Times New Roman" w:hAnsi="Times New Roman"/>
          <w:sz w:val="20"/>
          <w:szCs w:val="20"/>
        </w:rPr>
        <w:t xml:space="preserve"> is the number of people engaged in online treatment</w:t>
      </w:r>
      <w:r w:rsidR="001F46A7">
        <w:rPr>
          <w:rFonts w:ascii="Times New Roman" w:hAnsi="Times New Roman"/>
          <w:sz w:val="20"/>
          <w:szCs w:val="20"/>
        </w:rPr>
        <w:t xml:space="preserve"> </w:t>
      </w:r>
      <w:r>
        <w:rPr>
          <w:rFonts w:ascii="Times New Roman" w:hAnsi="Times New Roman"/>
          <w:sz w:val="20"/>
          <w:szCs w:val="20"/>
        </w:rPr>
        <w:t xml:space="preserve">and </w:t>
      </w:r>
      <m:oMath>
        <m:r>
          <w:rPr>
            <w:rFonts w:ascii="Cambria Math" w:hAnsi="Cambria Math"/>
            <w:sz w:val="20"/>
            <w:szCs w:val="20"/>
          </w:rPr>
          <m:t>d</m:t>
        </m:r>
      </m:oMath>
      <w:r>
        <w:rPr>
          <w:rFonts w:ascii="Times New Roman" w:hAnsi="Times New Roman"/>
          <w:sz w:val="20"/>
          <w:szCs w:val="20"/>
        </w:rPr>
        <w:t xml:space="preserve"> is the mean duration of online treatment programs (6 weeks</w:t>
      </w:r>
      <w:r w:rsidR="00BD105A">
        <w:rPr>
          <w:rFonts w:ascii="Times New Roman" w:hAnsi="Times New Roman"/>
          <w:sz w:val="20"/>
          <w:szCs w:val="20"/>
        </w:rPr>
        <w:t>, or 0.115 years; see Christensen et al., 2004</w:t>
      </w:r>
      <w:r>
        <w:rPr>
          <w:rFonts w:ascii="Times New Roman" w:hAnsi="Times New Roman"/>
          <w:sz w:val="20"/>
          <w:szCs w:val="20"/>
        </w:rPr>
        <w:t xml:space="preserve">).  People completing online treatment programs recover at </w:t>
      </w:r>
      <w:r w:rsidR="00CD7E95">
        <w:rPr>
          <w:rFonts w:ascii="Times New Roman" w:hAnsi="Times New Roman"/>
          <w:sz w:val="20"/>
          <w:szCs w:val="20"/>
        </w:rPr>
        <w:t xml:space="preserve">a </w:t>
      </w:r>
      <w:r>
        <w:rPr>
          <w:rFonts w:ascii="Times New Roman" w:hAnsi="Times New Roman"/>
          <w:sz w:val="20"/>
          <w:szCs w:val="20"/>
        </w:rPr>
        <w:t xml:space="preserve">rate equal to </w:t>
      </w:r>
      <m:oMath>
        <m:f>
          <m:fPr>
            <m:type m:val="lin"/>
            <m:ctrlPr>
              <w:rPr>
                <w:rFonts w:ascii="Cambria Math" w:hAnsi="Cambria Math"/>
                <w:i/>
                <w:sz w:val="20"/>
                <w:szCs w:val="20"/>
              </w:rPr>
            </m:ctrlPr>
          </m:fPr>
          <m:num>
            <m:r>
              <w:rPr>
                <w:rFonts w:ascii="Cambria Math" w:hAnsi="Cambria Math"/>
                <w:sz w:val="20"/>
                <w:szCs w:val="20"/>
              </w:rPr>
              <m:t>zO</m:t>
            </m:r>
          </m:num>
          <m:den>
            <m:r>
              <w:rPr>
                <w:rFonts w:ascii="Cambria Math" w:hAnsi="Cambria Math"/>
                <w:sz w:val="20"/>
                <w:szCs w:val="20"/>
              </w:rPr>
              <m:t>d</m:t>
            </m:r>
          </m:den>
        </m:f>
      </m:oMath>
      <w:r>
        <w:rPr>
          <w:rFonts w:ascii="Times New Roman" w:hAnsi="Times New Roman"/>
          <w:sz w:val="20"/>
          <w:szCs w:val="20"/>
        </w:rPr>
        <w:t xml:space="preserve">, where </w:t>
      </w:r>
      <m:oMath>
        <m:r>
          <w:rPr>
            <w:rFonts w:ascii="Cambria Math" w:hAnsi="Cambria Math"/>
            <w:sz w:val="20"/>
            <w:szCs w:val="20"/>
          </w:rPr>
          <m:t>z</m:t>
        </m:r>
      </m:oMath>
      <w:r>
        <w:rPr>
          <w:rFonts w:ascii="Times New Roman" w:hAnsi="Times New Roman"/>
          <w:sz w:val="20"/>
          <w:szCs w:val="20"/>
        </w:rPr>
        <w:t xml:space="preserve"> is the </w:t>
      </w:r>
      <w:r w:rsidR="004B3B0A">
        <w:rPr>
          <w:rFonts w:ascii="Times New Roman" w:hAnsi="Times New Roman"/>
          <w:sz w:val="20"/>
          <w:szCs w:val="20"/>
        </w:rPr>
        <w:t>proportion</w:t>
      </w:r>
      <w:r>
        <w:rPr>
          <w:rFonts w:ascii="Times New Roman" w:hAnsi="Times New Roman"/>
          <w:sz w:val="20"/>
          <w:szCs w:val="20"/>
        </w:rPr>
        <w:t xml:space="preserve"> of </w:t>
      </w:r>
      <w:r w:rsidR="00B17EFC">
        <w:rPr>
          <w:rFonts w:ascii="Times New Roman" w:hAnsi="Times New Roman"/>
          <w:sz w:val="20"/>
          <w:szCs w:val="20"/>
        </w:rPr>
        <w:t xml:space="preserve">psychologically distressed </w:t>
      </w:r>
      <w:r>
        <w:rPr>
          <w:rFonts w:ascii="Times New Roman" w:hAnsi="Times New Roman"/>
          <w:sz w:val="20"/>
          <w:szCs w:val="20"/>
        </w:rPr>
        <w:t>people</w:t>
      </w:r>
      <w:r w:rsidR="004B3B0A">
        <w:rPr>
          <w:rFonts w:ascii="Times New Roman" w:hAnsi="Times New Roman"/>
          <w:sz w:val="20"/>
          <w:szCs w:val="20"/>
        </w:rPr>
        <w:t xml:space="preserve"> </w:t>
      </w:r>
      <w:r>
        <w:rPr>
          <w:rFonts w:ascii="Times New Roman" w:hAnsi="Times New Roman"/>
          <w:sz w:val="20"/>
          <w:szCs w:val="20"/>
        </w:rPr>
        <w:t xml:space="preserve">completing treatment who </w:t>
      </w:r>
      <w:r w:rsidR="00B32E97">
        <w:rPr>
          <w:rFonts w:ascii="Times New Roman" w:hAnsi="Times New Roman"/>
          <w:sz w:val="20"/>
          <w:szCs w:val="20"/>
        </w:rPr>
        <w:t xml:space="preserve">return to a state of low psychological distress </w:t>
      </w:r>
      <w:r w:rsidR="001F46A7">
        <w:rPr>
          <w:rFonts w:ascii="Times New Roman" w:hAnsi="Times New Roman"/>
          <w:sz w:val="20"/>
          <w:szCs w:val="20"/>
        </w:rPr>
        <w:t>(</w:t>
      </w:r>
      <w:r w:rsidR="00BD105A">
        <w:rPr>
          <w:rFonts w:ascii="Times New Roman" w:hAnsi="Times New Roman"/>
          <w:sz w:val="20"/>
          <w:szCs w:val="20"/>
        </w:rPr>
        <w:t xml:space="preserve">assumed to be </w:t>
      </w:r>
      <w:r w:rsidR="001F46A7">
        <w:rPr>
          <w:rFonts w:ascii="Times New Roman" w:hAnsi="Times New Roman"/>
          <w:sz w:val="20"/>
          <w:szCs w:val="20"/>
        </w:rPr>
        <w:t>0.4; see Christensen et al., 2004)</w:t>
      </w:r>
      <w:r>
        <w:rPr>
          <w:rFonts w:ascii="Times New Roman" w:hAnsi="Times New Roman"/>
          <w:sz w:val="20"/>
          <w:szCs w:val="20"/>
        </w:rPr>
        <w:t>.</w:t>
      </w:r>
    </w:p>
    <w:p w14:paraId="1C07038B" w14:textId="77777777" w:rsidR="00AA6CEC" w:rsidRDefault="00AA6CEC" w:rsidP="00E966E4">
      <w:pPr>
        <w:spacing w:line="480" w:lineRule="auto"/>
        <w:rPr>
          <w:rFonts w:ascii="Times New Roman" w:hAnsi="Times New Roman"/>
          <w:sz w:val="20"/>
          <w:szCs w:val="20"/>
        </w:rPr>
      </w:pPr>
    </w:p>
    <w:p w14:paraId="1607DFAC" w14:textId="77777777" w:rsidR="00695C23" w:rsidRDefault="00AB5D46" w:rsidP="00E966E4">
      <w:pPr>
        <w:spacing w:line="480" w:lineRule="auto"/>
        <w:rPr>
          <w:rFonts w:ascii="Times New Roman" w:hAnsi="Times New Roman"/>
          <w:sz w:val="20"/>
          <w:szCs w:val="20"/>
        </w:rPr>
      </w:pPr>
      <w:r w:rsidRPr="005E6FB2">
        <w:rPr>
          <w:rFonts w:ascii="Times New Roman" w:hAnsi="Times New Roman"/>
          <w:i/>
          <w:iCs/>
          <w:sz w:val="20"/>
          <w:szCs w:val="20"/>
        </w:rPr>
        <w:t>Psychiatrist and allied health services</w:t>
      </w:r>
      <w:r>
        <w:rPr>
          <w:rFonts w:ascii="Times New Roman" w:hAnsi="Times New Roman"/>
          <w:sz w:val="20"/>
          <w:szCs w:val="20"/>
        </w:rPr>
        <w:t xml:space="preserve"> — </w:t>
      </w:r>
      <w:r w:rsidR="00B61618">
        <w:rPr>
          <w:rFonts w:ascii="Times New Roman" w:hAnsi="Times New Roman"/>
          <w:sz w:val="20"/>
          <w:szCs w:val="20"/>
        </w:rPr>
        <w:t>T</w:t>
      </w:r>
      <w:r w:rsidR="003B0183">
        <w:rPr>
          <w:rFonts w:ascii="Times New Roman" w:hAnsi="Times New Roman"/>
          <w:sz w:val="20"/>
          <w:szCs w:val="20"/>
        </w:rPr>
        <w:t>he structure of the psychiatrist and allied health services component of the mental health services sector</w:t>
      </w:r>
      <w:r w:rsidR="00B61618">
        <w:rPr>
          <w:rFonts w:ascii="Times New Roman" w:hAnsi="Times New Roman"/>
          <w:sz w:val="20"/>
          <w:szCs w:val="20"/>
        </w:rPr>
        <w:t xml:space="preserve"> is shown in figure S9</w:t>
      </w:r>
      <w:r w:rsidR="003B0183">
        <w:rPr>
          <w:rFonts w:ascii="Times New Roman" w:hAnsi="Times New Roman"/>
          <w:sz w:val="20"/>
          <w:szCs w:val="20"/>
        </w:rPr>
        <w:t>.  Prior to receiving treatment, patients referred to</w:t>
      </w:r>
      <w:r w:rsidR="00AA6CEC">
        <w:rPr>
          <w:rFonts w:ascii="Times New Roman" w:hAnsi="Times New Roman"/>
          <w:sz w:val="20"/>
          <w:szCs w:val="20"/>
        </w:rPr>
        <w:t xml:space="preserve"> </w:t>
      </w:r>
      <w:r w:rsidR="003B0183">
        <w:rPr>
          <w:rFonts w:ascii="Times New Roman" w:hAnsi="Times New Roman"/>
          <w:sz w:val="20"/>
          <w:szCs w:val="20"/>
        </w:rPr>
        <w:t>psychiatrist or</w:t>
      </w:r>
      <w:r w:rsidR="003800B8">
        <w:rPr>
          <w:rFonts w:ascii="Times New Roman" w:hAnsi="Times New Roman"/>
          <w:sz w:val="20"/>
          <w:szCs w:val="20"/>
        </w:rPr>
        <w:t xml:space="preserve"> </w:t>
      </w:r>
      <w:r w:rsidR="003B0183">
        <w:rPr>
          <w:rFonts w:ascii="Times New Roman" w:hAnsi="Times New Roman"/>
          <w:sz w:val="20"/>
          <w:szCs w:val="20"/>
        </w:rPr>
        <w:t xml:space="preserve">allied health services by a GP or after completing hospital inpatient care wait for a period of time that depends on services capacity and the number of patients waiting for care.  The stock of people waiting for treatment also contains patients currently engaged with specialised services who have planned (follow-up) </w:t>
      </w:r>
    </w:p>
    <w:p w14:paraId="7A04D4D1" w14:textId="77777777" w:rsidR="00695C23" w:rsidRDefault="00695C23" w:rsidP="00695C23">
      <w:pPr>
        <w:spacing w:line="480" w:lineRule="auto"/>
        <w:rPr>
          <w:rFonts w:ascii="Times New Roman" w:hAnsi="Times New Roman"/>
          <w:sz w:val="20"/>
          <w:szCs w:val="20"/>
        </w:rPr>
      </w:pPr>
      <w:r>
        <w:rPr>
          <w:rFonts w:ascii="Times New Roman" w:hAnsi="Times New Roman"/>
          <w:noProof/>
          <w:sz w:val="20"/>
          <w:szCs w:val="20"/>
        </w:rPr>
        <w:lastRenderedPageBreak/>
        <w:drawing>
          <wp:inline distT="0" distB="0" distL="0" distR="0" wp14:anchorId="17868EAC" wp14:editId="56F6EFD0">
            <wp:extent cx="5731510" cy="5731510"/>
            <wp:effectExtent l="0" t="0" r="254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a:stretch>
                      <a:fillRect/>
                    </a:stretch>
                  </pic:blipFill>
                  <pic:spPr>
                    <a:xfrm>
                      <a:off x="0" y="0"/>
                      <a:ext cx="5731510" cy="5731510"/>
                    </a:xfrm>
                    <a:prstGeom prst="rect">
                      <a:avLst/>
                    </a:prstGeom>
                  </pic:spPr>
                </pic:pic>
              </a:graphicData>
            </a:graphic>
          </wp:inline>
        </w:drawing>
      </w:r>
    </w:p>
    <w:p w14:paraId="26654EA3" w14:textId="070E6B4E" w:rsidR="00695C23" w:rsidRDefault="00695C23" w:rsidP="00695C23">
      <w:pPr>
        <w:spacing w:line="480" w:lineRule="auto"/>
        <w:rPr>
          <w:rFonts w:ascii="Times New Roman" w:hAnsi="Times New Roman"/>
          <w:sz w:val="20"/>
          <w:szCs w:val="20"/>
        </w:rPr>
      </w:pPr>
      <w:r>
        <w:rPr>
          <w:rFonts w:ascii="Times New Roman" w:hAnsi="Times New Roman"/>
          <w:sz w:val="20"/>
          <w:szCs w:val="20"/>
        </w:rPr>
        <w:t xml:space="preserve">Figure S8.  Mental health services usage rates (for </w:t>
      </w:r>
      <w:r w:rsidR="00AA7411">
        <w:rPr>
          <w:rFonts w:ascii="Times New Roman" w:hAnsi="Times New Roman"/>
          <w:sz w:val="20"/>
          <w:szCs w:val="20"/>
        </w:rPr>
        <w:t>both LHD</w:t>
      </w:r>
      <w:r>
        <w:rPr>
          <w:rFonts w:ascii="Times New Roman" w:hAnsi="Times New Roman"/>
          <w:sz w:val="20"/>
          <w:szCs w:val="20"/>
        </w:rPr>
        <w:t xml:space="preserve"> catchments combined) derived from the system dynamics model and from Medicare Benefits Schedule (MBS) data, data published by the Australian Institute of Health and Welfare (AIHW), and data available from </w:t>
      </w:r>
      <w:proofErr w:type="spellStart"/>
      <w:r>
        <w:rPr>
          <w:rFonts w:ascii="Times New Roman" w:hAnsi="Times New Roman"/>
          <w:sz w:val="20"/>
          <w:szCs w:val="20"/>
        </w:rPr>
        <w:t>HealthStats</w:t>
      </w:r>
      <w:proofErr w:type="spellEnd"/>
      <w:r>
        <w:rPr>
          <w:rFonts w:ascii="Times New Roman" w:hAnsi="Times New Roman"/>
          <w:sz w:val="20"/>
          <w:szCs w:val="20"/>
        </w:rPr>
        <w:t xml:space="preserve"> NSW (</w:t>
      </w:r>
      <w:r w:rsidRPr="007F6828">
        <w:rPr>
          <w:rFonts w:ascii="Times New Roman" w:hAnsi="Times New Roman"/>
          <w:sz w:val="20"/>
          <w:szCs w:val="20"/>
        </w:rPr>
        <w:t>http://www.healthstats.nsw.gov.au/</w:t>
      </w:r>
      <w:r>
        <w:rPr>
          <w:rFonts w:ascii="Times New Roman" w:hAnsi="Times New Roman"/>
          <w:sz w:val="20"/>
          <w:szCs w:val="20"/>
        </w:rPr>
        <w:t>).</w:t>
      </w:r>
    </w:p>
    <w:p w14:paraId="2B12599E" w14:textId="77777777" w:rsidR="00695C23" w:rsidRDefault="00695C23" w:rsidP="00E966E4">
      <w:pPr>
        <w:spacing w:line="480" w:lineRule="auto"/>
        <w:rPr>
          <w:rFonts w:ascii="Times New Roman" w:hAnsi="Times New Roman"/>
          <w:sz w:val="20"/>
          <w:szCs w:val="20"/>
        </w:rPr>
      </w:pPr>
    </w:p>
    <w:p w14:paraId="4C4C38E1" w14:textId="471C7DC9" w:rsidR="00A8384F" w:rsidRDefault="003B0183" w:rsidP="00E966E4">
      <w:pPr>
        <w:spacing w:line="480" w:lineRule="auto"/>
        <w:rPr>
          <w:rFonts w:ascii="Times New Roman" w:hAnsi="Times New Roman"/>
          <w:sz w:val="20"/>
          <w:szCs w:val="20"/>
        </w:rPr>
      </w:pPr>
      <w:r>
        <w:rPr>
          <w:rFonts w:ascii="Times New Roman" w:hAnsi="Times New Roman"/>
          <w:sz w:val="20"/>
          <w:szCs w:val="20"/>
        </w:rPr>
        <w:t xml:space="preserve">appointments (these patients and patients referred to services after receiving hospital </w:t>
      </w:r>
      <w:r w:rsidR="00B61618">
        <w:rPr>
          <w:rFonts w:ascii="Times New Roman" w:hAnsi="Times New Roman"/>
          <w:sz w:val="20"/>
          <w:szCs w:val="20"/>
        </w:rPr>
        <w:t xml:space="preserve">inpatient </w:t>
      </w:r>
      <w:r>
        <w:rPr>
          <w:rFonts w:ascii="Times New Roman" w:hAnsi="Times New Roman"/>
          <w:sz w:val="20"/>
          <w:szCs w:val="20"/>
        </w:rPr>
        <w:t>care enter via the flow labelled ‘Additional psychiatrist or allied health services’</w:t>
      </w:r>
      <w:r w:rsidR="003800B8">
        <w:rPr>
          <w:rFonts w:ascii="Times New Roman" w:hAnsi="Times New Roman"/>
          <w:sz w:val="20"/>
          <w:szCs w:val="20"/>
        </w:rPr>
        <w:t>;</w:t>
      </w:r>
      <w:r w:rsidR="00AA6CEC">
        <w:rPr>
          <w:rFonts w:ascii="Times New Roman" w:hAnsi="Times New Roman"/>
          <w:sz w:val="20"/>
          <w:szCs w:val="20"/>
        </w:rPr>
        <w:t xml:space="preserve"> see</w:t>
      </w:r>
      <w:r w:rsidR="00B61618">
        <w:rPr>
          <w:rFonts w:ascii="Times New Roman" w:hAnsi="Times New Roman"/>
          <w:sz w:val="20"/>
          <w:szCs w:val="20"/>
        </w:rPr>
        <w:t xml:space="preserve"> </w:t>
      </w:r>
      <w:r>
        <w:rPr>
          <w:rFonts w:ascii="Times New Roman" w:hAnsi="Times New Roman"/>
          <w:sz w:val="20"/>
          <w:szCs w:val="20"/>
        </w:rPr>
        <w:t xml:space="preserve">figure S9).  Services capacity, i.e., the </w:t>
      </w:r>
      <w:r w:rsidR="00B61618">
        <w:rPr>
          <w:rFonts w:ascii="Times New Roman" w:hAnsi="Times New Roman"/>
          <w:sz w:val="20"/>
          <w:szCs w:val="20"/>
        </w:rPr>
        <w:t xml:space="preserve">total </w:t>
      </w:r>
      <w:r>
        <w:rPr>
          <w:rFonts w:ascii="Times New Roman" w:hAnsi="Times New Roman"/>
          <w:sz w:val="20"/>
          <w:szCs w:val="20"/>
        </w:rPr>
        <w:t xml:space="preserve">number of psychiatrist and allied health services that can be provided per year, increases at a constant rate per year, estimated from MBS claims data for the period 2012−2017 (see figure S8).  Patients receiving treatment are referred to psychiatric hospital services, disengage from the mental health services system due to dissatisfaction with the care </w:t>
      </w:r>
      <w:r w:rsidR="00B61618">
        <w:rPr>
          <w:rFonts w:ascii="Times New Roman" w:hAnsi="Times New Roman"/>
          <w:sz w:val="20"/>
          <w:szCs w:val="20"/>
        </w:rPr>
        <w:t>provided</w:t>
      </w:r>
      <w:r>
        <w:rPr>
          <w:rFonts w:ascii="Times New Roman" w:hAnsi="Times New Roman"/>
          <w:sz w:val="20"/>
          <w:szCs w:val="20"/>
        </w:rPr>
        <w:t xml:space="preserve">, recover, or return to perceiving a need for care (these patients flow back </w:t>
      </w:r>
      <w:r>
        <w:rPr>
          <w:rFonts w:ascii="Times New Roman" w:hAnsi="Times New Roman"/>
          <w:sz w:val="20"/>
          <w:szCs w:val="20"/>
        </w:rPr>
        <w:lastRenderedPageBreak/>
        <w:t xml:space="preserve">into the stock labelled ‘Perceived need for services’; see figure S7).  </w:t>
      </w:r>
      <w:r w:rsidR="00080444">
        <w:rPr>
          <w:rFonts w:ascii="Times New Roman" w:hAnsi="Times New Roman"/>
          <w:sz w:val="20"/>
          <w:szCs w:val="20"/>
        </w:rPr>
        <w:t>The r</w:t>
      </w:r>
      <w:r>
        <w:rPr>
          <w:rFonts w:ascii="Times New Roman" w:hAnsi="Times New Roman"/>
          <w:sz w:val="20"/>
          <w:szCs w:val="20"/>
        </w:rPr>
        <w:t>ecovery rate</w:t>
      </w:r>
      <w:r w:rsidR="00080444">
        <w:rPr>
          <w:rFonts w:ascii="Times New Roman" w:hAnsi="Times New Roman"/>
          <w:sz w:val="20"/>
          <w:szCs w:val="20"/>
        </w:rPr>
        <w:t xml:space="preserve"> is</w:t>
      </w:r>
      <w:r>
        <w:rPr>
          <w:rFonts w:ascii="Times New Roman" w:hAnsi="Times New Roman"/>
          <w:sz w:val="20"/>
          <w:szCs w:val="20"/>
        </w:rPr>
        <w:t xml:space="preserve"> equal to </w:t>
      </w:r>
      <m:oMath>
        <m:r>
          <w:rPr>
            <w:rFonts w:ascii="Cambria Math" w:hAnsi="Cambria Math"/>
            <w:sz w:val="20"/>
            <w:szCs w:val="20"/>
          </w:rPr>
          <m:t>rT</m:t>
        </m:r>
      </m:oMath>
      <w:r>
        <w:rPr>
          <w:rFonts w:ascii="Times New Roman" w:hAnsi="Times New Roman"/>
          <w:sz w:val="20"/>
          <w:szCs w:val="20"/>
        </w:rPr>
        <w:t xml:space="preserve">, where </w:t>
      </w:r>
      <m:oMath>
        <m:r>
          <w:rPr>
            <w:rFonts w:ascii="Cambria Math" w:hAnsi="Cambria Math"/>
            <w:sz w:val="20"/>
            <w:szCs w:val="20"/>
          </w:rPr>
          <m:t>T</m:t>
        </m:r>
      </m:oMath>
      <w:r>
        <w:rPr>
          <w:rFonts w:ascii="Times New Roman" w:hAnsi="Times New Roman"/>
          <w:sz w:val="20"/>
          <w:szCs w:val="20"/>
        </w:rPr>
        <w:t xml:space="preserve"> is the number of patients who complete treatment per year and </w:t>
      </w:r>
      <m:oMath>
        <m:r>
          <w:rPr>
            <w:rFonts w:ascii="Cambria Math" w:hAnsi="Cambria Math"/>
            <w:sz w:val="20"/>
            <w:szCs w:val="20"/>
          </w:rPr>
          <m:t>r</m:t>
        </m:r>
      </m:oMath>
      <w:r>
        <w:rPr>
          <w:rFonts w:ascii="Times New Roman" w:hAnsi="Times New Roman"/>
          <w:sz w:val="20"/>
          <w:szCs w:val="20"/>
        </w:rPr>
        <w:t xml:space="preserve"> is the fraction of patients recovering after receiving specialised psychiatric care.  Psychiatrist and allied health services usage rates derived from the model and from MBS claims data are presented in figure S8.</w:t>
      </w:r>
    </w:p>
    <w:p w14:paraId="58E66566" w14:textId="7FD9337C" w:rsidR="00A8384F" w:rsidRDefault="00A8384F" w:rsidP="00E966E4">
      <w:pPr>
        <w:spacing w:line="480" w:lineRule="auto"/>
        <w:rPr>
          <w:rFonts w:ascii="Times New Roman" w:hAnsi="Times New Roman"/>
          <w:sz w:val="20"/>
          <w:szCs w:val="20"/>
        </w:rPr>
      </w:pPr>
    </w:p>
    <w:p w14:paraId="3351F0C3" w14:textId="446AC4FA" w:rsidR="00AB5091" w:rsidRDefault="00662111" w:rsidP="00AB5091">
      <w:pPr>
        <w:spacing w:line="480" w:lineRule="auto"/>
        <w:rPr>
          <w:rFonts w:ascii="Times New Roman" w:hAnsi="Times New Roman"/>
          <w:sz w:val="20"/>
          <w:szCs w:val="20"/>
        </w:rPr>
      </w:pPr>
      <w:r w:rsidRPr="006963DD">
        <w:rPr>
          <w:rFonts w:ascii="Times New Roman" w:hAnsi="Times New Roman"/>
          <w:i/>
          <w:iCs/>
          <w:sz w:val="20"/>
          <w:szCs w:val="20"/>
        </w:rPr>
        <w:t>Hospital services</w:t>
      </w:r>
      <w:r>
        <w:rPr>
          <w:rFonts w:ascii="Times New Roman" w:hAnsi="Times New Roman"/>
          <w:sz w:val="20"/>
          <w:szCs w:val="20"/>
        </w:rPr>
        <w:t xml:space="preserve"> — Mental health-related hospital services captured in the model include psychiatric and non-specialised inpatient care, outpatient care delivered by community mental health care (CMHC) teams, and emergency department attendances (</w:t>
      </w:r>
      <w:r w:rsidR="00AF336C">
        <w:rPr>
          <w:rFonts w:ascii="Times New Roman" w:hAnsi="Times New Roman"/>
          <w:sz w:val="20"/>
          <w:szCs w:val="20"/>
        </w:rPr>
        <w:t xml:space="preserve">see </w:t>
      </w:r>
      <w:r>
        <w:rPr>
          <w:rFonts w:ascii="Times New Roman" w:hAnsi="Times New Roman"/>
          <w:sz w:val="20"/>
          <w:szCs w:val="20"/>
        </w:rPr>
        <w:t xml:space="preserve">figure S10).  </w:t>
      </w:r>
      <w:r w:rsidR="00831978">
        <w:rPr>
          <w:rFonts w:ascii="Times New Roman" w:hAnsi="Times New Roman"/>
          <w:sz w:val="20"/>
          <w:szCs w:val="20"/>
        </w:rPr>
        <w:t>E</w:t>
      </w:r>
      <w:r w:rsidR="00AB5091">
        <w:rPr>
          <w:rFonts w:ascii="Times New Roman" w:hAnsi="Times New Roman"/>
          <w:sz w:val="20"/>
          <w:szCs w:val="20"/>
        </w:rPr>
        <w:t>mergency department (ED) presentation</w:t>
      </w:r>
      <w:r w:rsidR="00831978">
        <w:rPr>
          <w:rFonts w:ascii="Times New Roman" w:hAnsi="Times New Roman"/>
          <w:sz w:val="20"/>
          <w:szCs w:val="20"/>
        </w:rPr>
        <w:t>s</w:t>
      </w:r>
      <w:r w:rsidR="00AB5091">
        <w:rPr>
          <w:rFonts w:ascii="Times New Roman" w:hAnsi="Times New Roman"/>
          <w:sz w:val="20"/>
          <w:szCs w:val="20"/>
        </w:rPr>
        <w:t xml:space="preserve"> </w:t>
      </w:r>
      <w:r w:rsidR="00831978">
        <w:rPr>
          <w:rFonts w:ascii="Times New Roman" w:hAnsi="Times New Roman"/>
          <w:sz w:val="20"/>
          <w:szCs w:val="20"/>
        </w:rPr>
        <w:t xml:space="preserve">occur at a </w:t>
      </w:r>
      <w:r w:rsidR="00AB5091">
        <w:rPr>
          <w:rFonts w:ascii="Times New Roman" w:hAnsi="Times New Roman"/>
          <w:sz w:val="20"/>
          <w:szCs w:val="20"/>
        </w:rPr>
        <w:t>rate</w:t>
      </w:r>
      <w:r w:rsidR="000C5490">
        <w:rPr>
          <w:rFonts w:ascii="Times New Roman" w:hAnsi="Times New Roman"/>
          <w:sz w:val="20"/>
          <w:szCs w:val="20"/>
        </w:rPr>
        <w:t xml:space="preserve"> </w:t>
      </w:r>
      <m:oMath>
        <m:r>
          <w:rPr>
            <w:rFonts w:ascii="Cambria Math" w:hAnsi="Cambria Math"/>
            <w:sz w:val="20"/>
            <w:szCs w:val="20"/>
          </w:rPr>
          <m:t>eC+fN</m:t>
        </m:r>
      </m:oMath>
      <w:r w:rsidR="00AB5091">
        <w:rPr>
          <w:rFonts w:ascii="Times New Roman" w:hAnsi="Times New Roman"/>
          <w:sz w:val="20"/>
          <w:szCs w:val="20"/>
        </w:rPr>
        <w:t xml:space="preserve">, where </w:t>
      </w:r>
      <m:oMath>
        <m:r>
          <w:rPr>
            <w:rFonts w:ascii="Cambria Math" w:hAnsi="Cambria Math"/>
            <w:sz w:val="20"/>
            <w:szCs w:val="20"/>
          </w:rPr>
          <m:t>C</m:t>
        </m:r>
      </m:oMath>
      <w:r w:rsidR="00AB5091">
        <w:rPr>
          <w:rFonts w:ascii="Times New Roman" w:hAnsi="Times New Roman"/>
          <w:sz w:val="20"/>
          <w:szCs w:val="20"/>
        </w:rPr>
        <w:t xml:space="preserve"> is the number of people perceiving a need for </w:t>
      </w:r>
      <w:r w:rsidR="00595379">
        <w:rPr>
          <w:rFonts w:ascii="Times New Roman" w:hAnsi="Times New Roman"/>
          <w:sz w:val="20"/>
          <w:szCs w:val="20"/>
        </w:rPr>
        <w:t>care</w:t>
      </w:r>
      <w:r w:rsidR="00AB5091">
        <w:rPr>
          <w:rFonts w:ascii="Times New Roman" w:hAnsi="Times New Roman"/>
          <w:sz w:val="20"/>
          <w:szCs w:val="20"/>
        </w:rPr>
        <w:t xml:space="preserve"> (including all patients waiting for care or engaged in online treatment and those who have disengaged from services; figures S7, S9−S11), </w:t>
      </w:r>
      <m:oMath>
        <m:r>
          <w:rPr>
            <w:rFonts w:ascii="Cambria Math" w:hAnsi="Cambria Math"/>
            <w:sz w:val="20"/>
            <w:szCs w:val="20"/>
          </w:rPr>
          <m:t>N</m:t>
        </m:r>
      </m:oMath>
      <w:r w:rsidR="00AB5091">
        <w:rPr>
          <w:rFonts w:ascii="Times New Roman" w:hAnsi="Times New Roman"/>
          <w:sz w:val="20"/>
          <w:szCs w:val="20"/>
        </w:rPr>
        <w:t xml:space="preserve"> is the number of </w:t>
      </w:r>
      <w:r w:rsidR="00831978">
        <w:rPr>
          <w:rFonts w:ascii="Times New Roman" w:hAnsi="Times New Roman"/>
          <w:sz w:val="20"/>
          <w:szCs w:val="20"/>
        </w:rPr>
        <w:t>psychologically</w:t>
      </w:r>
      <w:r w:rsidR="004E5A73">
        <w:rPr>
          <w:rFonts w:ascii="Times New Roman" w:hAnsi="Times New Roman"/>
          <w:sz w:val="20"/>
          <w:szCs w:val="20"/>
        </w:rPr>
        <w:t xml:space="preserve"> distressed </w:t>
      </w:r>
      <w:r w:rsidR="00AB5091">
        <w:rPr>
          <w:rFonts w:ascii="Times New Roman" w:hAnsi="Times New Roman"/>
          <w:sz w:val="20"/>
          <w:szCs w:val="20"/>
        </w:rPr>
        <w:t xml:space="preserve">people who do not perceive a need for </w:t>
      </w:r>
      <w:r w:rsidR="00831978">
        <w:rPr>
          <w:rFonts w:ascii="Times New Roman" w:hAnsi="Times New Roman"/>
          <w:sz w:val="20"/>
          <w:szCs w:val="20"/>
        </w:rPr>
        <w:t>care</w:t>
      </w:r>
      <w:r w:rsidR="00AB5091">
        <w:rPr>
          <w:rFonts w:ascii="Times New Roman" w:hAnsi="Times New Roman"/>
          <w:sz w:val="20"/>
          <w:szCs w:val="20"/>
        </w:rPr>
        <w:t xml:space="preserve">, and </w:t>
      </w:r>
      <m:oMath>
        <m:r>
          <w:rPr>
            <w:rFonts w:ascii="Cambria Math" w:hAnsi="Cambria Math"/>
            <w:sz w:val="20"/>
            <w:szCs w:val="20"/>
          </w:rPr>
          <m:t>e</m:t>
        </m:r>
      </m:oMath>
      <w:r w:rsidR="00AB5091">
        <w:rPr>
          <w:rFonts w:ascii="Times New Roman" w:hAnsi="Times New Roman"/>
          <w:sz w:val="20"/>
          <w:szCs w:val="20"/>
        </w:rPr>
        <w:t xml:space="preserve"> and </w:t>
      </w:r>
      <m:oMath>
        <m:r>
          <w:rPr>
            <w:rFonts w:ascii="Cambria Math" w:hAnsi="Cambria Math"/>
            <w:sz w:val="20"/>
            <w:szCs w:val="20"/>
          </w:rPr>
          <m:t>f</m:t>
        </m:r>
      </m:oMath>
      <w:r w:rsidR="00AB5091">
        <w:rPr>
          <w:rFonts w:ascii="Times New Roman" w:hAnsi="Times New Roman"/>
          <w:sz w:val="20"/>
          <w:szCs w:val="20"/>
        </w:rPr>
        <w:t xml:space="preserve"> are per capita ED presentation rates for</w:t>
      </w:r>
      <w:r w:rsidR="00831978">
        <w:rPr>
          <w:rFonts w:ascii="Times New Roman" w:hAnsi="Times New Roman"/>
          <w:sz w:val="20"/>
          <w:szCs w:val="20"/>
        </w:rPr>
        <w:t xml:space="preserve"> distressed </w:t>
      </w:r>
      <w:r w:rsidR="00AB5091">
        <w:rPr>
          <w:rFonts w:ascii="Times New Roman" w:hAnsi="Times New Roman"/>
          <w:sz w:val="20"/>
          <w:szCs w:val="20"/>
        </w:rPr>
        <w:t xml:space="preserve">people perceiving a need for </w:t>
      </w:r>
      <w:r w:rsidR="00831978">
        <w:rPr>
          <w:rFonts w:ascii="Times New Roman" w:hAnsi="Times New Roman"/>
          <w:sz w:val="20"/>
          <w:szCs w:val="20"/>
        </w:rPr>
        <w:t>care</w:t>
      </w:r>
      <w:r w:rsidR="00AB5091">
        <w:rPr>
          <w:rFonts w:ascii="Times New Roman" w:hAnsi="Times New Roman"/>
          <w:sz w:val="20"/>
          <w:szCs w:val="20"/>
        </w:rPr>
        <w:t xml:space="preserve"> and with no perceived need for </w:t>
      </w:r>
      <w:r w:rsidR="00831978">
        <w:rPr>
          <w:rFonts w:ascii="Times New Roman" w:hAnsi="Times New Roman"/>
          <w:sz w:val="20"/>
          <w:szCs w:val="20"/>
        </w:rPr>
        <w:t>care</w:t>
      </w:r>
      <w:r w:rsidR="00AB5091">
        <w:rPr>
          <w:rFonts w:ascii="Times New Roman" w:hAnsi="Times New Roman"/>
          <w:sz w:val="20"/>
          <w:szCs w:val="20"/>
        </w:rPr>
        <w:t>, respectively.  People presenting to an ED may be admitted to a psychiatric or general hospital ward, referred to CMHC services, or discharged to the community.  A fraction of patients perceiving a need fo</w:t>
      </w:r>
      <w:r w:rsidR="00831978">
        <w:rPr>
          <w:rFonts w:ascii="Times New Roman" w:hAnsi="Times New Roman"/>
          <w:sz w:val="20"/>
          <w:szCs w:val="20"/>
        </w:rPr>
        <w:t>r care</w:t>
      </w:r>
      <w:r w:rsidR="00AB5091">
        <w:rPr>
          <w:rFonts w:ascii="Times New Roman" w:hAnsi="Times New Roman"/>
          <w:sz w:val="20"/>
          <w:szCs w:val="20"/>
        </w:rPr>
        <w:t xml:space="preserve"> who are discharged to the community disengage from services due to dissatisfaction with the care provided.</w:t>
      </w:r>
      <w:r w:rsidR="00831978">
        <w:rPr>
          <w:rFonts w:ascii="Times New Roman" w:hAnsi="Times New Roman"/>
          <w:sz w:val="20"/>
          <w:szCs w:val="20"/>
        </w:rPr>
        <w:t xml:space="preserve">  Figure S8 shows </w:t>
      </w:r>
      <w:r w:rsidR="00233CCA">
        <w:rPr>
          <w:rFonts w:ascii="Times New Roman" w:hAnsi="Times New Roman"/>
          <w:sz w:val="20"/>
          <w:szCs w:val="20"/>
        </w:rPr>
        <w:t xml:space="preserve">ED </w:t>
      </w:r>
      <w:r w:rsidR="006B52AF">
        <w:rPr>
          <w:rFonts w:ascii="Times New Roman" w:hAnsi="Times New Roman"/>
          <w:sz w:val="20"/>
          <w:szCs w:val="20"/>
        </w:rPr>
        <w:t>presentation</w:t>
      </w:r>
      <w:r w:rsidR="00233CCA">
        <w:rPr>
          <w:rFonts w:ascii="Times New Roman" w:hAnsi="Times New Roman"/>
          <w:sz w:val="20"/>
          <w:szCs w:val="20"/>
        </w:rPr>
        <w:t xml:space="preserve"> rates derived from the</w:t>
      </w:r>
      <w:r w:rsidR="006B52AF">
        <w:rPr>
          <w:rFonts w:ascii="Times New Roman" w:hAnsi="Times New Roman"/>
          <w:sz w:val="20"/>
          <w:szCs w:val="20"/>
        </w:rPr>
        <w:t xml:space="preserve"> </w:t>
      </w:r>
      <w:r w:rsidR="00233CCA">
        <w:rPr>
          <w:rFonts w:ascii="Times New Roman" w:hAnsi="Times New Roman"/>
          <w:sz w:val="20"/>
          <w:szCs w:val="20"/>
        </w:rPr>
        <w:t>model and from data published by the Australian Institute of Health and Welfare (2018).</w:t>
      </w:r>
    </w:p>
    <w:p w14:paraId="620C484F" w14:textId="22095DA7" w:rsidR="00A8384F" w:rsidRDefault="00A8384F" w:rsidP="00E966E4">
      <w:pPr>
        <w:spacing w:line="480" w:lineRule="auto"/>
        <w:rPr>
          <w:rFonts w:ascii="Times New Roman" w:hAnsi="Times New Roman"/>
          <w:sz w:val="20"/>
          <w:szCs w:val="20"/>
        </w:rPr>
      </w:pPr>
    </w:p>
    <w:p w14:paraId="50B33E63" w14:textId="77777777" w:rsidR="006A23D5" w:rsidRDefault="001B43D2" w:rsidP="00E966E4">
      <w:pPr>
        <w:spacing w:line="480" w:lineRule="auto"/>
        <w:rPr>
          <w:rFonts w:ascii="Times New Roman" w:hAnsi="Times New Roman"/>
          <w:sz w:val="20"/>
          <w:szCs w:val="20"/>
        </w:rPr>
        <w:sectPr w:rsidR="006A23D5" w:rsidSect="00E966E4">
          <w:pgSz w:w="11906" w:h="16838" w:code="9"/>
          <w:pgMar w:top="1440" w:right="1440" w:bottom="1440" w:left="1440" w:header="284" w:footer="680" w:gutter="0"/>
          <w:cols w:space="708"/>
          <w:docGrid w:linePitch="360"/>
        </w:sectPr>
      </w:pPr>
      <w:r>
        <w:rPr>
          <w:rFonts w:ascii="Times New Roman" w:hAnsi="Times New Roman"/>
          <w:sz w:val="20"/>
          <w:szCs w:val="20"/>
        </w:rPr>
        <w:t xml:space="preserve">Psychiatric and general </w:t>
      </w:r>
      <w:r w:rsidR="0010235A">
        <w:rPr>
          <w:rFonts w:ascii="Times New Roman" w:hAnsi="Times New Roman"/>
          <w:sz w:val="20"/>
          <w:szCs w:val="20"/>
        </w:rPr>
        <w:t xml:space="preserve">(non-specialised) </w:t>
      </w:r>
      <w:r>
        <w:rPr>
          <w:rFonts w:ascii="Times New Roman" w:hAnsi="Times New Roman"/>
          <w:sz w:val="20"/>
          <w:szCs w:val="20"/>
        </w:rPr>
        <w:t xml:space="preserve">hospital admission rates are constrained by hospital capacity (i.e., the total numbers of patients that can be admitted annually), which is assumed to increase linearly over the simulation period; capacity increase rates per year were estimated from hospital separations data available from </w:t>
      </w:r>
      <w:proofErr w:type="spellStart"/>
      <w:r>
        <w:rPr>
          <w:rFonts w:ascii="Times New Roman" w:hAnsi="Times New Roman"/>
          <w:sz w:val="20"/>
          <w:szCs w:val="20"/>
        </w:rPr>
        <w:t>HealthStats</w:t>
      </w:r>
      <w:proofErr w:type="spellEnd"/>
      <w:r>
        <w:rPr>
          <w:rFonts w:ascii="Times New Roman" w:hAnsi="Times New Roman"/>
          <w:sz w:val="20"/>
          <w:szCs w:val="20"/>
        </w:rPr>
        <w:t xml:space="preserve"> NSW (</w:t>
      </w:r>
      <w:r w:rsidR="009E65B7">
        <w:rPr>
          <w:rFonts w:ascii="Times New Roman" w:hAnsi="Times New Roman"/>
          <w:sz w:val="20"/>
          <w:szCs w:val="20"/>
        </w:rPr>
        <w:t xml:space="preserve">see </w:t>
      </w:r>
      <w:r w:rsidRPr="007F6828">
        <w:rPr>
          <w:rFonts w:ascii="Times New Roman" w:hAnsi="Times New Roman"/>
          <w:sz w:val="20"/>
          <w:szCs w:val="20"/>
        </w:rPr>
        <w:t>http://www.healthstats.nsw.gov.au/</w:t>
      </w:r>
      <w:r>
        <w:rPr>
          <w:rFonts w:ascii="Times New Roman" w:hAnsi="Times New Roman"/>
          <w:sz w:val="20"/>
          <w:szCs w:val="20"/>
        </w:rPr>
        <w:t xml:space="preserve">) and data published by the Australian Institute of Health and Welfare (2018).  Psychiatrists refer </w:t>
      </w:r>
      <w:r w:rsidR="00AD779C">
        <w:rPr>
          <w:rFonts w:ascii="Times New Roman" w:hAnsi="Times New Roman"/>
          <w:sz w:val="20"/>
          <w:szCs w:val="20"/>
        </w:rPr>
        <w:t xml:space="preserve">highly distressed </w:t>
      </w:r>
      <w:r>
        <w:rPr>
          <w:rFonts w:ascii="Times New Roman" w:hAnsi="Times New Roman"/>
          <w:sz w:val="20"/>
          <w:szCs w:val="20"/>
        </w:rPr>
        <w:t xml:space="preserve">patients to psychiatric hospital care at </w:t>
      </w:r>
      <w:r w:rsidR="00056C35">
        <w:rPr>
          <w:rFonts w:ascii="Times New Roman" w:hAnsi="Times New Roman"/>
          <w:sz w:val="20"/>
          <w:szCs w:val="20"/>
        </w:rPr>
        <w:t xml:space="preserve">a </w:t>
      </w:r>
      <w:r>
        <w:rPr>
          <w:rFonts w:ascii="Times New Roman" w:hAnsi="Times New Roman"/>
          <w:sz w:val="20"/>
          <w:szCs w:val="20"/>
        </w:rPr>
        <w:t>rate</w:t>
      </w:r>
      <w:r w:rsidR="00362E0B">
        <w:rPr>
          <w:rFonts w:ascii="Times New Roman" w:hAnsi="Times New Roman"/>
          <w:sz w:val="20"/>
          <w:szCs w:val="20"/>
        </w:rPr>
        <w:t xml:space="preserve"> equal to</w:t>
      </w:r>
      <w:r>
        <w:rPr>
          <w:rFonts w:ascii="Times New Roman" w:hAnsi="Times New Roman"/>
          <w:sz w:val="20"/>
          <w:szCs w:val="20"/>
        </w:rPr>
        <w:t xml:space="preserve"> </w:t>
      </w:r>
      <m:oMath>
        <m:r>
          <w:rPr>
            <w:rFonts w:ascii="Cambria Math" w:hAnsi="Cambria Math"/>
            <w:sz w:val="20"/>
            <w:szCs w:val="20"/>
          </w:rPr>
          <m:t>qM</m:t>
        </m:r>
      </m:oMath>
      <w:r>
        <w:rPr>
          <w:rFonts w:ascii="Times New Roman" w:hAnsi="Times New Roman"/>
          <w:sz w:val="20"/>
          <w:szCs w:val="20"/>
        </w:rPr>
        <w:t xml:space="preserve">, where </w:t>
      </w:r>
      <m:oMath>
        <m:r>
          <w:rPr>
            <w:rFonts w:ascii="Cambria Math" w:hAnsi="Cambria Math"/>
            <w:sz w:val="20"/>
            <w:szCs w:val="20"/>
          </w:rPr>
          <m:t>M</m:t>
        </m:r>
      </m:oMath>
      <w:r>
        <w:rPr>
          <w:rFonts w:ascii="Times New Roman" w:hAnsi="Times New Roman"/>
          <w:sz w:val="20"/>
          <w:szCs w:val="20"/>
        </w:rPr>
        <w:t xml:space="preserve"> is the number of patients receiving psychiatrist and allied health services per year and </w:t>
      </w:r>
      <m:oMath>
        <m:r>
          <w:rPr>
            <w:rFonts w:ascii="Cambria Math" w:hAnsi="Cambria Math"/>
            <w:sz w:val="20"/>
            <w:szCs w:val="20"/>
          </w:rPr>
          <m:t>q</m:t>
        </m:r>
      </m:oMath>
      <w:r>
        <w:rPr>
          <w:rFonts w:ascii="Times New Roman" w:hAnsi="Times New Roman"/>
          <w:sz w:val="20"/>
          <w:szCs w:val="20"/>
        </w:rPr>
        <w:t xml:space="preserve"> is the</w:t>
      </w:r>
      <w:r w:rsidR="00362E0B">
        <w:rPr>
          <w:rFonts w:ascii="Times New Roman" w:hAnsi="Times New Roman"/>
          <w:sz w:val="20"/>
          <w:szCs w:val="20"/>
        </w:rPr>
        <w:t xml:space="preserve"> fraction</w:t>
      </w:r>
      <w:r>
        <w:rPr>
          <w:rFonts w:ascii="Times New Roman" w:hAnsi="Times New Roman"/>
          <w:sz w:val="20"/>
          <w:szCs w:val="20"/>
        </w:rPr>
        <w:t xml:space="preserve"> of patients </w:t>
      </w:r>
      <w:r w:rsidR="00362E0B">
        <w:rPr>
          <w:rFonts w:ascii="Times New Roman" w:hAnsi="Times New Roman"/>
          <w:sz w:val="20"/>
          <w:szCs w:val="20"/>
        </w:rPr>
        <w:t xml:space="preserve">receiving psychiatrist and allied health services </w:t>
      </w:r>
      <w:r>
        <w:rPr>
          <w:rFonts w:ascii="Times New Roman" w:hAnsi="Times New Roman"/>
          <w:sz w:val="20"/>
          <w:szCs w:val="20"/>
        </w:rPr>
        <w:t xml:space="preserve">referred to psychiatric hospital care.  Prior to </w:t>
      </w:r>
      <w:r w:rsidR="0010235A">
        <w:rPr>
          <w:rFonts w:ascii="Times New Roman" w:hAnsi="Times New Roman"/>
          <w:sz w:val="20"/>
          <w:szCs w:val="20"/>
        </w:rPr>
        <w:t>being admitted</w:t>
      </w:r>
      <w:r>
        <w:rPr>
          <w:rFonts w:ascii="Times New Roman" w:hAnsi="Times New Roman"/>
          <w:sz w:val="20"/>
          <w:szCs w:val="20"/>
        </w:rPr>
        <w:t>, patients referred to a psychiatric hospital wait for a period of time that depends on hospital capacity, the</w:t>
      </w:r>
      <w:r w:rsidR="009C2AFF">
        <w:rPr>
          <w:rFonts w:ascii="Times New Roman" w:hAnsi="Times New Roman"/>
          <w:sz w:val="20"/>
          <w:szCs w:val="20"/>
        </w:rPr>
        <w:t xml:space="preserve"> </w:t>
      </w:r>
      <w:r w:rsidR="00362E0B">
        <w:rPr>
          <w:rFonts w:ascii="Times New Roman" w:hAnsi="Times New Roman"/>
          <w:sz w:val="20"/>
          <w:szCs w:val="20"/>
        </w:rPr>
        <w:t>n</w:t>
      </w:r>
      <w:r>
        <w:rPr>
          <w:rFonts w:ascii="Times New Roman" w:hAnsi="Times New Roman"/>
          <w:sz w:val="20"/>
          <w:szCs w:val="20"/>
        </w:rPr>
        <w:t>umber of</w:t>
      </w:r>
      <w:r w:rsidR="009C2AFF">
        <w:rPr>
          <w:rFonts w:ascii="Times New Roman" w:hAnsi="Times New Roman"/>
          <w:sz w:val="20"/>
          <w:szCs w:val="20"/>
        </w:rPr>
        <w:t xml:space="preserve"> </w:t>
      </w:r>
      <w:r>
        <w:rPr>
          <w:rFonts w:ascii="Times New Roman" w:hAnsi="Times New Roman"/>
          <w:sz w:val="20"/>
          <w:szCs w:val="20"/>
        </w:rPr>
        <w:t>patients waiting for care, and the rate at which patients are being admitted via</w:t>
      </w:r>
      <w:r w:rsidR="00362E0B">
        <w:rPr>
          <w:rFonts w:ascii="Times New Roman" w:hAnsi="Times New Roman"/>
          <w:sz w:val="20"/>
          <w:szCs w:val="20"/>
        </w:rPr>
        <w:t xml:space="preserve"> </w:t>
      </w:r>
      <w:r w:rsidR="0010235A">
        <w:rPr>
          <w:rFonts w:ascii="Times New Roman" w:hAnsi="Times New Roman"/>
          <w:sz w:val="20"/>
          <w:szCs w:val="20"/>
        </w:rPr>
        <w:t>ED</w:t>
      </w:r>
      <w:r w:rsidR="00362E0B">
        <w:rPr>
          <w:rFonts w:ascii="Times New Roman" w:hAnsi="Times New Roman"/>
          <w:sz w:val="20"/>
          <w:szCs w:val="20"/>
        </w:rPr>
        <w:t>s</w:t>
      </w:r>
      <w:r>
        <w:rPr>
          <w:rFonts w:ascii="Times New Roman" w:hAnsi="Times New Roman"/>
          <w:sz w:val="20"/>
          <w:szCs w:val="20"/>
        </w:rPr>
        <w:t xml:space="preserve"> (available capacity declines as the ED-related admission rate increases).  People with a perceived need for services are admitted for general hospital care without presenting to an ED at a per capita rate that remains constant over the simulation period (the flow labelled ‘Additional admissions non-specialised hospital care’</w:t>
      </w:r>
      <w:r w:rsidR="00AD779C">
        <w:rPr>
          <w:rFonts w:ascii="Times New Roman" w:hAnsi="Times New Roman"/>
          <w:sz w:val="20"/>
          <w:szCs w:val="20"/>
        </w:rPr>
        <w:t xml:space="preserve"> in </w:t>
      </w:r>
    </w:p>
    <w:p w14:paraId="60CA7D0E" w14:textId="77777777" w:rsidR="006A23D5" w:rsidRDefault="006A23D5" w:rsidP="006A23D5">
      <w:pPr>
        <w:spacing w:line="480" w:lineRule="auto"/>
        <w:jc w:val="center"/>
        <w:rPr>
          <w:rFonts w:ascii="Times New Roman" w:hAnsi="Times New Roman"/>
          <w:sz w:val="20"/>
          <w:szCs w:val="20"/>
        </w:rPr>
      </w:pPr>
      <w:r>
        <w:rPr>
          <w:rFonts w:ascii="Times New Roman" w:hAnsi="Times New Roman"/>
          <w:noProof/>
          <w:sz w:val="20"/>
          <w:szCs w:val="20"/>
        </w:rPr>
        <w:lastRenderedPageBreak/>
        <w:drawing>
          <wp:inline distT="0" distB="0" distL="0" distR="0" wp14:anchorId="438C8FEB" wp14:editId="0279F5FA">
            <wp:extent cx="6319860" cy="4317257"/>
            <wp:effectExtent l="0" t="0" r="508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 S18-Psych Services Model.png"/>
                    <pic:cNvPicPr/>
                  </pic:nvPicPr>
                  <pic:blipFill>
                    <a:blip r:embed="rId15"/>
                    <a:stretch>
                      <a:fillRect/>
                    </a:stretch>
                  </pic:blipFill>
                  <pic:spPr>
                    <a:xfrm>
                      <a:off x="0" y="0"/>
                      <a:ext cx="6319860" cy="4317257"/>
                    </a:xfrm>
                    <a:prstGeom prst="rect">
                      <a:avLst/>
                    </a:prstGeom>
                  </pic:spPr>
                </pic:pic>
              </a:graphicData>
            </a:graphic>
          </wp:inline>
        </w:drawing>
      </w:r>
    </w:p>
    <w:p w14:paraId="532C6A4F" w14:textId="77777777" w:rsidR="006A23D5" w:rsidRDefault="006A23D5" w:rsidP="006A23D5">
      <w:pPr>
        <w:spacing w:line="480" w:lineRule="auto"/>
        <w:rPr>
          <w:rFonts w:ascii="Times New Roman" w:hAnsi="Times New Roman"/>
          <w:sz w:val="20"/>
          <w:szCs w:val="20"/>
        </w:rPr>
      </w:pPr>
    </w:p>
    <w:p w14:paraId="69F74BF0" w14:textId="73863BDC" w:rsidR="006A23D5" w:rsidRDefault="006A23D5" w:rsidP="006A23D5">
      <w:pPr>
        <w:spacing w:line="480" w:lineRule="auto"/>
        <w:rPr>
          <w:rFonts w:ascii="Times New Roman" w:hAnsi="Times New Roman"/>
          <w:sz w:val="20"/>
          <w:szCs w:val="20"/>
        </w:rPr>
      </w:pPr>
      <w:r>
        <w:rPr>
          <w:rFonts w:ascii="Times New Roman" w:hAnsi="Times New Roman"/>
          <w:sz w:val="20"/>
          <w:szCs w:val="20"/>
        </w:rPr>
        <w:t>Figure S9.  Stock and flow structure of the psychiatrist and allied health services component of the mental health services sector.</w:t>
      </w:r>
    </w:p>
    <w:p w14:paraId="4F291DF6" w14:textId="77777777" w:rsidR="006A23D5" w:rsidRDefault="006A23D5" w:rsidP="006A23D5">
      <w:pPr>
        <w:spacing w:line="480" w:lineRule="auto"/>
        <w:rPr>
          <w:rFonts w:ascii="Times New Roman" w:hAnsi="Times New Roman"/>
          <w:sz w:val="20"/>
          <w:szCs w:val="20"/>
        </w:rPr>
      </w:pPr>
    </w:p>
    <w:p w14:paraId="776F5628" w14:textId="77777777" w:rsidR="006A23D5" w:rsidRDefault="006A23D5" w:rsidP="006A23D5">
      <w:pPr>
        <w:spacing w:line="480" w:lineRule="auto"/>
        <w:jc w:val="center"/>
        <w:rPr>
          <w:rFonts w:ascii="Times New Roman" w:hAnsi="Times New Roman"/>
          <w:sz w:val="20"/>
          <w:szCs w:val="20"/>
        </w:rPr>
      </w:pPr>
      <w:r>
        <w:rPr>
          <w:rFonts w:ascii="Times New Roman" w:hAnsi="Times New Roman"/>
          <w:noProof/>
          <w:sz w:val="20"/>
          <w:szCs w:val="20"/>
        </w:rPr>
        <w:lastRenderedPageBreak/>
        <w:drawing>
          <wp:inline distT="0" distB="0" distL="0" distR="0" wp14:anchorId="1BDE35DD" wp14:editId="36C5220D">
            <wp:extent cx="7276310" cy="5135880"/>
            <wp:effectExtent l="0" t="0" r="127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S19-Hosp Services Model.png"/>
                    <pic:cNvPicPr/>
                  </pic:nvPicPr>
                  <pic:blipFill>
                    <a:blip r:embed="rId16"/>
                    <a:stretch>
                      <a:fillRect/>
                    </a:stretch>
                  </pic:blipFill>
                  <pic:spPr>
                    <a:xfrm>
                      <a:off x="0" y="0"/>
                      <a:ext cx="7281530" cy="5139565"/>
                    </a:xfrm>
                    <a:prstGeom prst="rect">
                      <a:avLst/>
                    </a:prstGeom>
                  </pic:spPr>
                </pic:pic>
              </a:graphicData>
            </a:graphic>
          </wp:inline>
        </w:drawing>
      </w:r>
    </w:p>
    <w:p w14:paraId="05493D0A" w14:textId="77777777" w:rsidR="006A23D5" w:rsidRDefault="006A23D5" w:rsidP="006A23D5">
      <w:pPr>
        <w:spacing w:line="480" w:lineRule="auto"/>
        <w:rPr>
          <w:rFonts w:ascii="Times New Roman" w:hAnsi="Times New Roman"/>
          <w:sz w:val="20"/>
          <w:szCs w:val="20"/>
        </w:rPr>
      </w:pPr>
    </w:p>
    <w:p w14:paraId="6884BA3E" w14:textId="337F1EBB" w:rsidR="006A23D5" w:rsidRDefault="006A23D5" w:rsidP="00E966E4">
      <w:pPr>
        <w:spacing w:line="480" w:lineRule="auto"/>
        <w:rPr>
          <w:rFonts w:ascii="Times New Roman" w:hAnsi="Times New Roman"/>
          <w:sz w:val="20"/>
          <w:szCs w:val="20"/>
        </w:rPr>
      </w:pPr>
      <w:r>
        <w:rPr>
          <w:rFonts w:ascii="Times New Roman" w:hAnsi="Times New Roman"/>
          <w:sz w:val="20"/>
          <w:szCs w:val="20"/>
        </w:rPr>
        <w:t>Figure S10.  Stock and flow structure of the hospital services component of the mental health services sector.</w:t>
      </w:r>
    </w:p>
    <w:p w14:paraId="143023F8" w14:textId="77777777" w:rsidR="006A23D5" w:rsidRDefault="006A23D5" w:rsidP="00E966E4">
      <w:pPr>
        <w:spacing w:line="480" w:lineRule="auto"/>
        <w:rPr>
          <w:rFonts w:ascii="Times New Roman" w:hAnsi="Times New Roman"/>
          <w:sz w:val="20"/>
          <w:szCs w:val="20"/>
        </w:rPr>
        <w:sectPr w:rsidR="006A23D5" w:rsidSect="006A23D5">
          <w:pgSz w:w="16838" w:h="11906" w:orient="landscape" w:code="9"/>
          <w:pgMar w:top="1440" w:right="1440" w:bottom="1440" w:left="1440" w:header="284" w:footer="680" w:gutter="0"/>
          <w:cols w:space="708"/>
          <w:docGrid w:linePitch="360"/>
        </w:sectPr>
      </w:pPr>
    </w:p>
    <w:p w14:paraId="660B0981" w14:textId="0F97DDA7" w:rsidR="00A8384F" w:rsidRDefault="001B43D2" w:rsidP="00E966E4">
      <w:pPr>
        <w:spacing w:line="480" w:lineRule="auto"/>
        <w:rPr>
          <w:rFonts w:ascii="Times New Roman" w:hAnsi="Times New Roman"/>
          <w:sz w:val="20"/>
          <w:szCs w:val="20"/>
        </w:rPr>
      </w:pPr>
      <w:r>
        <w:rPr>
          <w:rFonts w:ascii="Times New Roman" w:hAnsi="Times New Roman"/>
          <w:sz w:val="20"/>
          <w:szCs w:val="20"/>
        </w:rPr>
        <w:lastRenderedPageBreak/>
        <w:t>figure S1</w:t>
      </w:r>
      <w:r w:rsidR="00056C35">
        <w:rPr>
          <w:rFonts w:ascii="Times New Roman" w:hAnsi="Times New Roman"/>
          <w:sz w:val="20"/>
          <w:szCs w:val="20"/>
        </w:rPr>
        <w:t>0</w:t>
      </w:r>
      <w:r>
        <w:rPr>
          <w:rFonts w:ascii="Times New Roman" w:hAnsi="Times New Roman"/>
          <w:sz w:val="20"/>
          <w:szCs w:val="20"/>
        </w:rPr>
        <w:t xml:space="preserve">).  </w:t>
      </w:r>
      <w:r w:rsidR="00872159">
        <w:rPr>
          <w:rFonts w:ascii="Times New Roman" w:hAnsi="Times New Roman"/>
          <w:sz w:val="20"/>
          <w:szCs w:val="20"/>
        </w:rPr>
        <w:t>A fraction of patients discharged from psychiatric or general hospital care disengage from services due to dissatisfaction with the care provided; patients who do not disengage from treatment are referred to a GP, psychiatrist and allied health services, or CMHC services for follow-up care.</w:t>
      </w:r>
    </w:p>
    <w:p w14:paraId="67770314" w14:textId="5BBE04C9" w:rsidR="003817A4" w:rsidRDefault="003817A4" w:rsidP="00E966E4">
      <w:pPr>
        <w:spacing w:line="480" w:lineRule="auto"/>
        <w:rPr>
          <w:rFonts w:ascii="Times New Roman" w:hAnsi="Times New Roman"/>
          <w:sz w:val="20"/>
          <w:szCs w:val="20"/>
        </w:rPr>
      </w:pPr>
    </w:p>
    <w:p w14:paraId="34B6EE09" w14:textId="4B145751" w:rsidR="007C2B59" w:rsidRDefault="007C2B59" w:rsidP="007C2B59">
      <w:pPr>
        <w:tabs>
          <w:tab w:val="left" w:pos="1632"/>
        </w:tabs>
        <w:spacing w:line="480" w:lineRule="auto"/>
        <w:rPr>
          <w:rFonts w:ascii="Times New Roman" w:hAnsi="Times New Roman"/>
          <w:sz w:val="20"/>
          <w:szCs w:val="20"/>
        </w:rPr>
      </w:pPr>
      <w:r>
        <w:rPr>
          <w:rFonts w:ascii="Times New Roman" w:hAnsi="Times New Roman"/>
          <w:sz w:val="20"/>
          <w:szCs w:val="20"/>
        </w:rPr>
        <w:t xml:space="preserve">Community mental health care (CMHC, or hospital outpatient) services are provided at a rate </w:t>
      </w:r>
      <m:oMath>
        <m:r>
          <w:rPr>
            <w:rFonts w:ascii="Cambria Math" w:hAnsi="Cambria Math"/>
            <w:sz w:val="20"/>
            <w:szCs w:val="20"/>
          </w:rPr>
          <m:t>hG+pE+S+A+uP</m:t>
        </m:r>
      </m:oMath>
      <w:r>
        <w:rPr>
          <w:rFonts w:ascii="Times New Roman" w:hAnsi="Times New Roman"/>
          <w:sz w:val="20"/>
          <w:szCs w:val="20"/>
        </w:rPr>
        <w:t xml:space="preserve">, where </w:t>
      </w:r>
      <m:oMath>
        <m:r>
          <w:rPr>
            <w:rFonts w:ascii="Cambria Math" w:hAnsi="Cambria Math"/>
            <w:sz w:val="20"/>
            <w:szCs w:val="20"/>
          </w:rPr>
          <m:t>G</m:t>
        </m:r>
      </m:oMath>
      <w:r>
        <w:rPr>
          <w:rFonts w:ascii="Times New Roman" w:hAnsi="Times New Roman"/>
          <w:sz w:val="20"/>
          <w:szCs w:val="20"/>
        </w:rPr>
        <w:t xml:space="preserve"> is the number of patients visiting a GP per year, </w:t>
      </w:r>
      <m:oMath>
        <m:r>
          <w:rPr>
            <w:rFonts w:ascii="Cambria Math" w:hAnsi="Cambria Math"/>
            <w:sz w:val="20"/>
            <w:szCs w:val="20"/>
          </w:rPr>
          <m:t>h</m:t>
        </m:r>
      </m:oMath>
      <w:r>
        <w:rPr>
          <w:rFonts w:ascii="Times New Roman" w:hAnsi="Times New Roman"/>
          <w:sz w:val="20"/>
          <w:szCs w:val="20"/>
        </w:rPr>
        <w:t xml:space="preserve"> is the proportion of patients visiting a GP</w:t>
      </w:r>
      <w:r w:rsidR="0003584D">
        <w:rPr>
          <w:rFonts w:ascii="Times New Roman" w:hAnsi="Times New Roman"/>
          <w:sz w:val="20"/>
          <w:szCs w:val="20"/>
        </w:rPr>
        <w:t xml:space="preserve"> who are</w:t>
      </w:r>
      <w:r>
        <w:rPr>
          <w:rFonts w:ascii="Times New Roman" w:hAnsi="Times New Roman"/>
          <w:sz w:val="20"/>
          <w:szCs w:val="20"/>
        </w:rPr>
        <w:t xml:space="preserve"> referred to CMHC services, </w:t>
      </w:r>
      <m:oMath>
        <m:r>
          <w:rPr>
            <w:rFonts w:ascii="Cambria Math" w:hAnsi="Cambria Math"/>
            <w:sz w:val="20"/>
            <w:szCs w:val="20"/>
          </w:rPr>
          <m:t>E</m:t>
        </m:r>
      </m:oMath>
      <w:r>
        <w:rPr>
          <w:rFonts w:ascii="Times New Roman" w:hAnsi="Times New Roman"/>
          <w:sz w:val="20"/>
          <w:szCs w:val="20"/>
        </w:rPr>
        <w:t xml:space="preserve"> is the number of people presenting to an ED per year </w:t>
      </w:r>
      <w:r w:rsidR="0003584D">
        <w:rPr>
          <w:rFonts w:ascii="Times New Roman" w:hAnsi="Times New Roman"/>
          <w:sz w:val="20"/>
          <w:szCs w:val="20"/>
        </w:rPr>
        <w:t xml:space="preserve">who are </w:t>
      </w:r>
      <w:r>
        <w:rPr>
          <w:rFonts w:ascii="Times New Roman" w:hAnsi="Times New Roman"/>
          <w:sz w:val="20"/>
          <w:szCs w:val="20"/>
        </w:rPr>
        <w:t xml:space="preserve">not admitted to hospital, </w:t>
      </w:r>
      <m:oMath>
        <m:r>
          <w:rPr>
            <w:rFonts w:ascii="Cambria Math" w:hAnsi="Cambria Math"/>
            <w:sz w:val="20"/>
            <w:szCs w:val="20"/>
          </w:rPr>
          <m:t>p</m:t>
        </m:r>
      </m:oMath>
      <w:r>
        <w:rPr>
          <w:rFonts w:ascii="Times New Roman" w:hAnsi="Times New Roman"/>
          <w:sz w:val="20"/>
          <w:szCs w:val="20"/>
        </w:rPr>
        <w:t xml:space="preserve"> is the proportion of patients discharged from an ED referred to CMHC services, </w:t>
      </w:r>
      <m:oMath>
        <m:r>
          <w:rPr>
            <w:rFonts w:ascii="Cambria Math" w:hAnsi="Cambria Math"/>
            <w:sz w:val="20"/>
            <w:szCs w:val="20"/>
          </w:rPr>
          <m:t>S</m:t>
        </m:r>
      </m:oMath>
      <w:r>
        <w:rPr>
          <w:rFonts w:ascii="Times New Roman" w:hAnsi="Times New Roman"/>
          <w:sz w:val="20"/>
          <w:szCs w:val="20"/>
        </w:rPr>
        <w:t xml:space="preserve"> and </w:t>
      </w:r>
      <m:oMath>
        <m:r>
          <w:rPr>
            <w:rFonts w:ascii="Cambria Math" w:hAnsi="Cambria Math"/>
            <w:sz w:val="20"/>
            <w:szCs w:val="20"/>
          </w:rPr>
          <m:t>A</m:t>
        </m:r>
      </m:oMath>
      <w:r>
        <w:rPr>
          <w:rFonts w:ascii="Times New Roman" w:hAnsi="Times New Roman"/>
          <w:sz w:val="20"/>
          <w:szCs w:val="20"/>
        </w:rPr>
        <w:t xml:space="preserve"> are, respectively, the numbers of patients discharged from psychiatric and general hospital inpatient care per year referred to CMHC services, </w:t>
      </w:r>
      <m:oMath>
        <m:r>
          <w:rPr>
            <w:rFonts w:ascii="Cambria Math" w:hAnsi="Cambria Math"/>
            <w:sz w:val="20"/>
            <w:szCs w:val="20"/>
          </w:rPr>
          <m:t>P</m:t>
        </m:r>
      </m:oMath>
      <w:r>
        <w:rPr>
          <w:rFonts w:ascii="Times New Roman" w:hAnsi="Times New Roman"/>
          <w:sz w:val="20"/>
          <w:szCs w:val="20"/>
        </w:rPr>
        <w:t xml:space="preserve"> is the number of people with a perceived need for care (</w:t>
      </w:r>
      <w:r w:rsidR="00B4712D">
        <w:rPr>
          <w:rFonts w:ascii="Times New Roman" w:hAnsi="Times New Roman"/>
          <w:sz w:val="20"/>
          <w:szCs w:val="20"/>
        </w:rPr>
        <w:t xml:space="preserve">i.e., </w:t>
      </w:r>
      <w:r>
        <w:rPr>
          <w:rFonts w:ascii="Times New Roman" w:hAnsi="Times New Roman"/>
          <w:sz w:val="20"/>
          <w:szCs w:val="20"/>
        </w:rPr>
        <w:t>those in the stock labelled ‘Perceived need for services’</w:t>
      </w:r>
      <w:r w:rsidR="00C906E5">
        <w:rPr>
          <w:rFonts w:ascii="Times New Roman" w:hAnsi="Times New Roman"/>
          <w:sz w:val="20"/>
          <w:szCs w:val="20"/>
        </w:rPr>
        <w:t>; see</w:t>
      </w:r>
      <w:r>
        <w:rPr>
          <w:rFonts w:ascii="Times New Roman" w:hAnsi="Times New Roman"/>
          <w:sz w:val="20"/>
          <w:szCs w:val="20"/>
        </w:rPr>
        <w:t xml:space="preserve"> figure S7), and </w:t>
      </w:r>
      <m:oMath>
        <m:r>
          <w:rPr>
            <w:rFonts w:ascii="Cambria Math" w:hAnsi="Cambria Math"/>
            <w:sz w:val="20"/>
            <w:szCs w:val="20"/>
          </w:rPr>
          <m:t>u</m:t>
        </m:r>
      </m:oMath>
      <w:r>
        <w:rPr>
          <w:rFonts w:ascii="Times New Roman" w:hAnsi="Times New Roman"/>
          <w:sz w:val="20"/>
          <w:szCs w:val="20"/>
        </w:rPr>
        <w:t xml:space="preserve"> is the per capita CMHC services contact rate among people with a perceived need for care (e.g., for follow-up appointments).  Patients receiving CMHC services recover, return to the stock of people perceiving a need for services, or disengage</w:t>
      </w:r>
      <w:r w:rsidR="00C906E5">
        <w:rPr>
          <w:rFonts w:ascii="Times New Roman" w:hAnsi="Times New Roman"/>
          <w:sz w:val="20"/>
          <w:szCs w:val="20"/>
        </w:rPr>
        <w:t xml:space="preserve"> </w:t>
      </w:r>
      <w:r>
        <w:rPr>
          <w:rFonts w:ascii="Times New Roman" w:hAnsi="Times New Roman"/>
          <w:sz w:val="20"/>
          <w:szCs w:val="20"/>
        </w:rPr>
        <w:t xml:space="preserve">due to dissatisfaction with the care provided (figure S10).  The per-service recovery rate for patients who do not disengage from treatment is calculated as </w:t>
      </w:r>
      <m:oMath>
        <m:f>
          <m:fPr>
            <m:type m:val="lin"/>
            <m:ctrlPr>
              <w:rPr>
                <w:rFonts w:ascii="Cambria Math" w:hAnsi="Cambria Math"/>
                <w:i/>
                <w:sz w:val="20"/>
                <w:szCs w:val="20"/>
              </w:rPr>
            </m:ctrlPr>
          </m:fPr>
          <m:num>
            <m:r>
              <w:rPr>
                <w:rFonts w:ascii="Cambria Math" w:hAnsi="Cambria Math"/>
                <w:sz w:val="20"/>
                <w:szCs w:val="20"/>
              </w:rPr>
              <m:t>rK</m:t>
            </m:r>
          </m:num>
          <m:den>
            <m:r>
              <w:rPr>
                <w:rFonts w:ascii="Cambria Math" w:hAnsi="Cambria Math"/>
                <w:sz w:val="20"/>
                <w:szCs w:val="20"/>
              </w:rPr>
              <m:t>T</m:t>
            </m:r>
          </m:den>
        </m:f>
      </m:oMath>
      <w:r>
        <w:rPr>
          <w:rFonts w:ascii="Times New Roman" w:hAnsi="Times New Roman"/>
          <w:sz w:val="20"/>
          <w:szCs w:val="20"/>
        </w:rPr>
        <w:t xml:space="preserve">, where </w:t>
      </w:r>
      <m:oMath>
        <m:r>
          <w:rPr>
            <w:rFonts w:ascii="Cambria Math" w:hAnsi="Cambria Math"/>
            <w:sz w:val="20"/>
            <w:szCs w:val="20"/>
          </w:rPr>
          <m:t>K</m:t>
        </m:r>
      </m:oMath>
      <w:r>
        <w:rPr>
          <w:rFonts w:ascii="Times New Roman" w:hAnsi="Times New Roman"/>
          <w:sz w:val="20"/>
          <w:szCs w:val="20"/>
        </w:rPr>
        <w:t xml:space="preserve"> is the number of CMHC services that can be provided per year while maintaining the base (</w:t>
      </w:r>
      <w:r w:rsidR="00C906E5">
        <w:rPr>
          <w:rFonts w:ascii="Times New Roman" w:hAnsi="Times New Roman"/>
          <w:sz w:val="20"/>
          <w:szCs w:val="20"/>
        </w:rPr>
        <w:t xml:space="preserve">or </w:t>
      </w:r>
      <w:r>
        <w:rPr>
          <w:rFonts w:ascii="Times New Roman" w:hAnsi="Times New Roman"/>
          <w:sz w:val="20"/>
          <w:szCs w:val="20"/>
        </w:rPr>
        <w:t xml:space="preserve">reference) per-service recovery rate </w:t>
      </w:r>
      <m:oMath>
        <m:r>
          <w:rPr>
            <w:rFonts w:ascii="Cambria Math" w:hAnsi="Cambria Math"/>
            <w:sz w:val="20"/>
            <w:szCs w:val="20"/>
          </w:rPr>
          <m:t>r</m:t>
        </m:r>
      </m:oMath>
      <w:r>
        <w:rPr>
          <w:rFonts w:ascii="Times New Roman" w:hAnsi="Times New Roman"/>
          <w:sz w:val="20"/>
          <w:szCs w:val="20"/>
        </w:rPr>
        <w:t xml:space="preserve"> and </w:t>
      </w:r>
      <m:oMath>
        <m:r>
          <w:rPr>
            <w:rFonts w:ascii="Cambria Math" w:hAnsi="Cambria Math"/>
            <w:sz w:val="20"/>
            <w:szCs w:val="20"/>
          </w:rPr>
          <m:t>T</m:t>
        </m:r>
      </m:oMath>
      <w:r>
        <w:rPr>
          <w:rFonts w:ascii="Times New Roman" w:hAnsi="Times New Roman"/>
          <w:sz w:val="20"/>
          <w:szCs w:val="20"/>
        </w:rPr>
        <w:t xml:space="preserve"> is the current CMHC services provision rate; note that as the current services provision rate, </w:t>
      </w:r>
      <m:oMath>
        <m:r>
          <w:rPr>
            <w:rFonts w:ascii="Cambria Math" w:hAnsi="Cambria Math"/>
            <w:sz w:val="20"/>
            <w:szCs w:val="20"/>
          </w:rPr>
          <m:t>T</m:t>
        </m:r>
      </m:oMath>
      <w:r>
        <w:rPr>
          <w:rFonts w:ascii="Times New Roman" w:hAnsi="Times New Roman"/>
          <w:sz w:val="20"/>
          <w:szCs w:val="20"/>
        </w:rPr>
        <w:t xml:space="preserve">, increases relative to the reference capacity </w:t>
      </w:r>
      <m:oMath>
        <m:r>
          <w:rPr>
            <w:rFonts w:ascii="Cambria Math" w:hAnsi="Cambria Math"/>
            <w:sz w:val="20"/>
            <w:szCs w:val="20"/>
          </w:rPr>
          <m:t>K</m:t>
        </m:r>
      </m:oMath>
      <w:r>
        <w:rPr>
          <w:rFonts w:ascii="Times New Roman" w:hAnsi="Times New Roman"/>
          <w:sz w:val="20"/>
          <w:szCs w:val="20"/>
        </w:rPr>
        <w:t xml:space="preserve">, the per-service recovery rate, </w:t>
      </w:r>
      <m:oMath>
        <m:f>
          <m:fPr>
            <m:type m:val="lin"/>
            <m:ctrlPr>
              <w:rPr>
                <w:rFonts w:ascii="Cambria Math" w:hAnsi="Cambria Math"/>
                <w:i/>
                <w:sz w:val="20"/>
                <w:szCs w:val="20"/>
              </w:rPr>
            </m:ctrlPr>
          </m:fPr>
          <m:num>
            <m:r>
              <w:rPr>
                <w:rFonts w:ascii="Cambria Math" w:hAnsi="Cambria Math"/>
                <w:sz w:val="20"/>
                <w:szCs w:val="20"/>
              </w:rPr>
              <m:t>rK</m:t>
            </m:r>
          </m:num>
          <m:den>
            <m:r>
              <w:rPr>
                <w:rFonts w:ascii="Cambria Math" w:hAnsi="Cambria Math"/>
                <w:sz w:val="20"/>
                <w:szCs w:val="20"/>
              </w:rPr>
              <m:t>T</m:t>
            </m:r>
          </m:den>
        </m:f>
      </m:oMath>
      <w:r>
        <w:rPr>
          <w:rFonts w:ascii="Times New Roman" w:hAnsi="Times New Roman"/>
          <w:sz w:val="20"/>
          <w:szCs w:val="20"/>
        </w:rPr>
        <w:t xml:space="preserve">, declines (due to increased pressure on services).  CMHC services capacity (i.e., </w:t>
      </w:r>
      <m:oMath>
        <m:r>
          <w:rPr>
            <w:rFonts w:ascii="Cambria Math" w:hAnsi="Cambria Math"/>
            <w:sz w:val="20"/>
            <w:szCs w:val="20"/>
          </w:rPr>
          <m:t>K</m:t>
        </m:r>
      </m:oMath>
      <w:r>
        <w:rPr>
          <w:rFonts w:ascii="Times New Roman" w:hAnsi="Times New Roman"/>
          <w:sz w:val="20"/>
          <w:szCs w:val="20"/>
        </w:rPr>
        <w:t>) is assumed to increase at a constant rate per year, estimated from services usage data published by the Australian Institute of Health and Welfare (2018).</w:t>
      </w:r>
    </w:p>
    <w:p w14:paraId="5363CF61" w14:textId="77777777" w:rsidR="00747D78" w:rsidRDefault="00747D78" w:rsidP="00E966E4">
      <w:pPr>
        <w:spacing w:line="480" w:lineRule="auto"/>
        <w:rPr>
          <w:rFonts w:ascii="Times New Roman" w:hAnsi="Times New Roman"/>
          <w:sz w:val="20"/>
          <w:szCs w:val="20"/>
        </w:rPr>
      </w:pPr>
    </w:p>
    <w:p w14:paraId="35A9F3A9" w14:textId="7ADF28B1" w:rsidR="00747D78" w:rsidRDefault="00BE6F54" w:rsidP="00E966E4">
      <w:pPr>
        <w:spacing w:line="480" w:lineRule="auto"/>
        <w:rPr>
          <w:rFonts w:ascii="Times New Roman" w:hAnsi="Times New Roman"/>
          <w:sz w:val="20"/>
          <w:szCs w:val="20"/>
        </w:rPr>
      </w:pPr>
      <w:r w:rsidRPr="00FF2AB1">
        <w:rPr>
          <w:rFonts w:ascii="Times New Roman" w:hAnsi="Times New Roman"/>
          <w:i/>
          <w:iCs/>
          <w:sz w:val="20"/>
          <w:szCs w:val="20"/>
        </w:rPr>
        <w:t>Disengagement</w:t>
      </w:r>
      <w:r>
        <w:rPr>
          <w:rFonts w:ascii="Times New Roman" w:hAnsi="Times New Roman"/>
          <w:sz w:val="20"/>
          <w:szCs w:val="20"/>
        </w:rPr>
        <w:t xml:space="preserve"> — Patients waiting for a GP, psychiatrist and allied health services, or psychiatric hospital care are assumed to disengage from the mental health care system at a constant per capita rate per year (estimated from data reported in </w:t>
      </w:r>
      <w:proofErr w:type="spellStart"/>
      <w:r>
        <w:rPr>
          <w:rFonts w:ascii="Times New Roman" w:hAnsi="Times New Roman"/>
          <w:sz w:val="20"/>
          <w:szCs w:val="20"/>
        </w:rPr>
        <w:t>Tyrer</w:t>
      </w:r>
      <w:proofErr w:type="spellEnd"/>
      <w:r>
        <w:rPr>
          <w:rFonts w:ascii="Times New Roman" w:hAnsi="Times New Roman"/>
          <w:sz w:val="20"/>
          <w:szCs w:val="20"/>
        </w:rPr>
        <w:t xml:space="preserve"> et al., 1995).  The total disengagement rate therefore increases whenever the demand for mental health services exceeds services capacity, as the number of patients waiting for care continues to increase while patients are being referred to services at a higher rate than they can be treated.  Patients receiving treatment also disengage from services due to dissatisfaction with the care provided (figures S7, S9, S10).</w:t>
      </w:r>
      <w:r w:rsidR="00747D78">
        <w:rPr>
          <w:rFonts w:ascii="Times New Roman" w:hAnsi="Times New Roman"/>
          <w:sz w:val="20"/>
          <w:szCs w:val="20"/>
        </w:rPr>
        <w:t xml:space="preserve">  Disengagement from the mental health care system is assumed to increase the risk of suicidal behaviour (due to a loss of hope that effective treatment is available, or trauma associated with inadequate care), so that an increase in the disengagement rate leads to an increase in self-harm hospitalisation and suicide death rates (see </w:t>
      </w:r>
      <w:r w:rsidR="00747D78">
        <w:rPr>
          <w:rFonts w:ascii="Times New Roman" w:hAnsi="Times New Roman"/>
          <w:sz w:val="20"/>
          <w:szCs w:val="20"/>
        </w:rPr>
        <w:lastRenderedPageBreak/>
        <w:t>section 1.5 below).  Patients who have disengaged from treatment return to the stock of people perceiving a need for care (i.e., they consider engaging with services again) at a constant per capita rate per year (figure S11).</w:t>
      </w:r>
    </w:p>
    <w:p w14:paraId="5E291A57" w14:textId="69E4682D" w:rsidR="00C62CB4" w:rsidRDefault="00C62CB4" w:rsidP="00E966E4">
      <w:pPr>
        <w:spacing w:line="480" w:lineRule="auto"/>
        <w:rPr>
          <w:rFonts w:ascii="Times New Roman" w:hAnsi="Times New Roman"/>
          <w:sz w:val="20"/>
          <w:szCs w:val="20"/>
        </w:rPr>
      </w:pPr>
    </w:p>
    <w:p w14:paraId="7A7D67C0" w14:textId="6B2F42FB" w:rsidR="00C62CB4" w:rsidRDefault="00C62CB4" w:rsidP="00C62CB4">
      <w:pPr>
        <w:spacing w:line="480" w:lineRule="auto"/>
        <w:jc w:val="center"/>
        <w:rPr>
          <w:rFonts w:ascii="Times New Roman" w:hAnsi="Times New Roman"/>
          <w:sz w:val="20"/>
          <w:szCs w:val="20"/>
        </w:rPr>
      </w:pPr>
      <w:r>
        <w:rPr>
          <w:rFonts w:ascii="Times New Roman" w:hAnsi="Times New Roman"/>
          <w:noProof/>
          <w:sz w:val="20"/>
          <w:szCs w:val="20"/>
        </w:rPr>
        <w:drawing>
          <wp:inline distT="0" distB="0" distL="0" distR="0" wp14:anchorId="0F299657" wp14:editId="0B5CFE57">
            <wp:extent cx="3884045" cy="2886172"/>
            <wp:effectExtent l="0" t="0" r="2540" b="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17"/>
                    <a:stretch>
                      <a:fillRect/>
                    </a:stretch>
                  </pic:blipFill>
                  <pic:spPr>
                    <a:xfrm>
                      <a:off x="0" y="0"/>
                      <a:ext cx="3884045" cy="2886172"/>
                    </a:xfrm>
                    <a:prstGeom prst="rect">
                      <a:avLst/>
                    </a:prstGeom>
                  </pic:spPr>
                </pic:pic>
              </a:graphicData>
            </a:graphic>
          </wp:inline>
        </w:drawing>
      </w:r>
    </w:p>
    <w:p w14:paraId="5ACA70C2" w14:textId="77777777" w:rsidR="00C62CB4" w:rsidRDefault="00C62CB4" w:rsidP="00E966E4">
      <w:pPr>
        <w:spacing w:line="480" w:lineRule="auto"/>
        <w:rPr>
          <w:rFonts w:ascii="Times New Roman" w:hAnsi="Times New Roman"/>
          <w:sz w:val="20"/>
          <w:szCs w:val="20"/>
        </w:rPr>
      </w:pPr>
    </w:p>
    <w:p w14:paraId="47E04998" w14:textId="099601A9" w:rsidR="00C62CB4" w:rsidRDefault="00C62CB4" w:rsidP="00E966E4">
      <w:pPr>
        <w:spacing w:line="480" w:lineRule="auto"/>
        <w:rPr>
          <w:rFonts w:ascii="Times New Roman" w:hAnsi="Times New Roman"/>
          <w:sz w:val="20"/>
          <w:szCs w:val="20"/>
        </w:rPr>
      </w:pPr>
      <w:r>
        <w:rPr>
          <w:rFonts w:ascii="Times New Roman" w:hAnsi="Times New Roman"/>
          <w:sz w:val="20"/>
          <w:szCs w:val="20"/>
        </w:rPr>
        <w:t>Figure S11.  Stock and flow structure of the disengagement component of the mental health services sector.</w:t>
      </w:r>
    </w:p>
    <w:p w14:paraId="4AAFA44E" w14:textId="4F3F2538" w:rsidR="00747D78" w:rsidRDefault="00747D78" w:rsidP="00E966E4">
      <w:pPr>
        <w:spacing w:line="480" w:lineRule="auto"/>
        <w:rPr>
          <w:rFonts w:ascii="Times New Roman" w:hAnsi="Times New Roman"/>
          <w:sz w:val="20"/>
          <w:szCs w:val="20"/>
        </w:rPr>
      </w:pPr>
    </w:p>
    <w:p w14:paraId="4483A9DD" w14:textId="504D5C52" w:rsidR="00747D78" w:rsidRPr="0095773F" w:rsidRDefault="00747D78" w:rsidP="00E966E4">
      <w:pPr>
        <w:spacing w:line="480" w:lineRule="auto"/>
        <w:rPr>
          <w:rFonts w:ascii="Times New Roman" w:hAnsi="Times New Roman"/>
          <w:i/>
          <w:iCs/>
          <w:sz w:val="20"/>
          <w:szCs w:val="20"/>
        </w:rPr>
      </w:pPr>
      <w:r w:rsidRPr="0095773F">
        <w:rPr>
          <w:rFonts w:ascii="Times New Roman" w:hAnsi="Times New Roman"/>
          <w:i/>
          <w:iCs/>
          <w:sz w:val="20"/>
          <w:szCs w:val="20"/>
        </w:rPr>
        <w:t>1.5.  Suicidal behaviour sector</w:t>
      </w:r>
    </w:p>
    <w:p w14:paraId="6F415DD1" w14:textId="16692D18" w:rsidR="000950ED" w:rsidRDefault="005E7EC5" w:rsidP="00E966E4">
      <w:pPr>
        <w:spacing w:line="480" w:lineRule="auto"/>
        <w:rPr>
          <w:rFonts w:ascii="Times New Roman" w:hAnsi="Times New Roman"/>
          <w:sz w:val="20"/>
          <w:szCs w:val="20"/>
        </w:rPr>
      </w:pPr>
      <w:r>
        <w:rPr>
          <w:rFonts w:ascii="Times New Roman" w:hAnsi="Times New Roman"/>
          <w:sz w:val="20"/>
          <w:szCs w:val="20"/>
        </w:rPr>
        <w:t xml:space="preserve">Figure S12 presents the structure of the suicidal behaviour sector, which captures self-harm hospitalisations and suicide deaths (note that we equate suicide attempts with self-harm hospitalisations due to data availability constraints).  </w:t>
      </w:r>
      <w:r w:rsidR="00130963">
        <w:rPr>
          <w:rFonts w:ascii="Times New Roman" w:hAnsi="Times New Roman"/>
          <w:sz w:val="20"/>
          <w:szCs w:val="20"/>
        </w:rPr>
        <w:t xml:space="preserve">The suicide attempt rate is equal to </w:t>
      </w:r>
      <m:oMath>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D-R</m:t>
            </m:r>
          </m:e>
        </m:d>
        <m:r>
          <w:rPr>
            <w:rFonts w:ascii="Cambria Math" w:hAnsi="Cambria Math"/>
            <w:sz w:val="20"/>
            <w:szCs w:val="20"/>
          </w:rPr>
          <m:t>+ηsR</m:t>
        </m:r>
      </m:oMath>
      <w:r w:rsidR="00130963">
        <w:rPr>
          <w:rFonts w:ascii="Times New Roman" w:hAnsi="Times New Roman"/>
          <w:sz w:val="20"/>
          <w:szCs w:val="20"/>
        </w:rPr>
        <w:t xml:space="preserve">, where </w:t>
      </w:r>
      <m:oMath>
        <m:r>
          <w:rPr>
            <w:rFonts w:ascii="Cambria Math" w:hAnsi="Cambria Math"/>
            <w:sz w:val="20"/>
            <w:szCs w:val="20"/>
          </w:rPr>
          <m:t>D</m:t>
        </m:r>
      </m:oMath>
      <w:r w:rsidR="00130963">
        <w:rPr>
          <w:rFonts w:ascii="Times New Roman" w:hAnsi="Times New Roman"/>
          <w:sz w:val="20"/>
          <w:szCs w:val="20"/>
        </w:rPr>
        <w:t xml:space="preserve"> </w:t>
      </w:r>
      <w:r w:rsidR="000950ED">
        <w:rPr>
          <w:rFonts w:ascii="Times New Roman" w:hAnsi="Times New Roman"/>
          <w:sz w:val="20"/>
          <w:szCs w:val="20"/>
        </w:rPr>
        <w:t>is the number of moderately to highly distressed people in the population</w:t>
      </w:r>
      <w:r w:rsidR="00130963">
        <w:rPr>
          <w:rFonts w:ascii="Times New Roman" w:hAnsi="Times New Roman"/>
          <w:sz w:val="20"/>
          <w:szCs w:val="20"/>
        </w:rPr>
        <w:t xml:space="preserve">, </w:t>
      </w:r>
      <m:oMath>
        <m:r>
          <w:rPr>
            <w:rFonts w:ascii="Cambria Math" w:hAnsi="Cambria Math"/>
            <w:sz w:val="20"/>
            <w:szCs w:val="20"/>
          </w:rPr>
          <m:t>R</m:t>
        </m:r>
      </m:oMath>
      <w:r w:rsidR="00130963">
        <w:rPr>
          <w:rFonts w:ascii="Times New Roman" w:hAnsi="Times New Roman"/>
          <w:sz w:val="20"/>
          <w:szCs w:val="20"/>
        </w:rPr>
        <w:t xml:space="preserve"> is the number of people disengaged from mental health services, </w:t>
      </w:r>
      <m:oMath>
        <m:r>
          <w:rPr>
            <w:rFonts w:ascii="Cambria Math" w:hAnsi="Cambria Math"/>
            <w:sz w:val="20"/>
            <w:szCs w:val="20"/>
          </w:rPr>
          <m:t>s</m:t>
        </m:r>
      </m:oMath>
      <w:r w:rsidR="00130963">
        <w:rPr>
          <w:rFonts w:ascii="Times New Roman" w:hAnsi="Times New Roman"/>
          <w:sz w:val="20"/>
          <w:szCs w:val="20"/>
        </w:rPr>
        <w:t xml:space="preserve"> is the per capita suicide attempt rate for </w:t>
      </w:r>
      <w:r w:rsidR="000950ED">
        <w:rPr>
          <w:rFonts w:ascii="Times New Roman" w:hAnsi="Times New Roman"/>
          <w:sz w:val="20"/>
          <w:szCs w:val="20"/>
        </w:rPr>
        <w:t>psychologically distressed people who have not disengaged from services</w:t>
      </w:r>
      <w:r w:rsidR="00130963">
        <w:rPr>
          <w:rFonts w:ascii="Times New Roman" w:hAnsi="Times New Roman"/>
          <w:sz w:val="20"/>
          <w:szCs w:val="20"/>
        </w:rPr>
        <w:t>, and</w:t>
      </w:r>
      <w:r w:rsidR="000950ED">
        <w:rPr>
          <w:rFonts w:ascii="Times New Roman" w:hAnsi="Times New Roman"/>
          <w:sz w:val="20"/>
          <w:szCs w:val="20"/>
        </w:rPr>
        <w:t xml:space="preserve"> the suicide attempt rate ratio</w:t>
      </w:r>
      <w:r w:rsidR="00130963">
        <w:rPr>
          <w:rFonts w:ascii="Times New Roman" w:hAnsi="Times New Roman"/>
          <w:sz w:val="20"/>
          <w:szCs w:val="20"/>
        </w:rPr>
        <w:t xml:space="preserve"> </w:t>
      </w:r>
      <m:oMath>
        <m:r>
          <w:rPr>
            <w:rFonts w:ascii="Cambria Math" w:hAnsi="Cambria Math"/>
            <w:sz w:val="20"/>
            <w:szCs w:val="20"/>
          </w:rPr>
          <m:t>η</m:t>
        </m:r>
      </m:oMath>
      <w:r w:rsidR="00130963">
        <w:rPr>
          <w:rFonts w:ascii="Times New Roman" w:hAnsi="Times New Roman"/>
          <w:sz w:val="20"/>
          <w:szCs w:val="20"/>
        </w:rPr>
        <w:t xml:space="preserve"> </w:t>
      </w:r>
      <w:r w:rsidR="000950ED">
        <w:rPr>
          <w:rFonts w:ascii="Times New Roman" w:hAnsi="Times New Roman"/>
          <w:sz w:val="20"/>
          <w:szCs w:val="20"/>
        </w:rPr>
        <w:t xml:space="preserve">is </w:t>
      </w:r>
      <w:r w:rsidR="00130963">
        <w:rPr>
          <w:rFonts w:ascii="Times New Roman" w:hAnsi="Times New Roman"/>
          <w:sz w:val="20"/>
          <w:szCs w:val="20"/>
        </w:rPr>
        <w:t>assumed to be greater than 1 (i.e., the per capita attempt rate for people who have disengaged from services</w:t>
      </w:r>
      <w:r w:rsidR="000950ED">
        <w:rPr>
          <w:rFonts w:ascii="Times New Roman" w:hAnsi="Times New Roman"/>
          <w:sz w:val="20"/>
          <w:szCs w:val="20"/>
        </w:rPr>
        <w:t xml:space="preserve"> is assumed to be higher than that for people who have not disengaged</w:t>
      </w:r>
      <w:r w:rsidR="00130963">
        <w:rPr>
          <w:rFonts w:ascii="Times New Roman" w:hAnsi="Times New Roman"/>
          <w:sz w:val="20"/>
          <w:szCs w:val="20"/>
        </w:rPr>
        <w:t xml:space="preserve">).  The number of suicide deaths per year is calculated as </w:t>
      </w:r>
      <m:oMath>
        <m:r>
          <w:rPr>
            <w:rFonts w:ascii="Cambria Math" w:hAnsi="Cambria Math"/>
            <w:sz w:val="20"/>
            <w:szCs w:val="20"/>
          </w:rPr>
          <m:t>λa</m:t>
        </m:r>
      </m:oMath>
      <w:r w:rsidR="00130963">
        <w:rPr>
          <w:rFonts w:ascii="Times New Roman" w:hAnsi="Times New Roman"/>
          <w:sz w:val="20"/>
          <w:szCs w:val="20"/>
        </w:rPr>
        <w:t xml:space="preserve">, where </w:t>
      </w:r>
      <m:oMath>
        <m:r>
          <w:rPr>
            <w:rFonts w:ascii="Cambria Math" w:hAnsi="Cambria Math"/>
            <w:sz w:val="20"/>
            <w:szCs w:val="20"/>
          </w:rPr>
          <m:t>a</m:t>
        </m:r>
      </m:oMath>
      <w:r w:rsidR="00130963">
        <w:rPr>
          <w:rFonts w:ascii="Times New Roman" w:hAnsi="Times New Roman"/>
          <w:sz w:val="20"/>
          <w:szCs w:val="20"/>
        </w:rPr>
        <w:t xml:space="preserve"> is the suicide attempt rate and </w:t>
      </w:r>
      <m:oMath>
        <m:r>
          <w:rPr>
            <w:rFonts w:ascii="Cambria Math" w:hAnsi="Cambria Math"/>
            <w:sz w:val="20"/>
            <w:szCs w:val="20"/>
          </w:rPr>
          <m:t>λ</m:t>
        </m:r>
      </m:oMath>
      <w:r w:rsidR="00130963">
        <w:rPr>
          <w:rFonts w:ascii="Times New Roman" w:hAnsi="Times New Roman"/>
          <w:sz w:val="20"/>
          <w:szCs w:val="20"/>
        </w:rPr>
        <w:t xml:space="preserve"> is attempt lethality (i.e., the proportion of suicide attempts that are fatal</w:t>
      </w:r>
      <w:r w:rsidR="003467E4">
        <w:rPr>
          <w:rFonts w:ascii="Times New Roman" w:hAnsi="Times New Roman"/>
          <w:sz w:val="20"/>
          <w:szCs w:val="20"/>
        </w:rPr>
        <w:t xml:space="preserve"> is</w:t>
      </w:r>
      <w:r w:rsidR="004B50B0">
        <w:rPr>
          <w:rFonts w:ascii="Times New Roman" w:hAnsi="Times New Roman"/>
          <w:sz w:val="20"/>
          <w:szCs w:val="20"/>
        </w:rPr>
        <w:t xml:space="preserve"> assumed to be constant</w:t>
      </w:r>
      <w:r w:rsidR="00130963">
        <w:rPr>
          <w:rFonts w:ascii="Times New Roman" w:hAnsi="Times New Roman"/>
          <w:sz w:val="20"/>
          <w:szCs w:val="20"/>
        </w:rPr>
        <w:t>).</w:t>
      </w:r>
      <w:r w:rsidR="004B50B0">
        <w:rPr>
          <w:rFonts w:ascii="Times New Roman" w:hAnsi="Times New Roman"/>
          <w:sz w:val="20"/>
          <w:szCs w:val="20"/>
        </w:rPr>
        <w:t xml:space="preserve">  Self-harm hospitalisation and suicide</w:t>
      </w:r>
      <w:r w:rsidR="00155D83">
        <w:rPr>
          <w:rFonts w:ascii="Times New Roman" w:hAnsi="Times New Roman"/>
          <w:sz w:val="20"/>
          <w:szCs w:val="20"/>
        </w:rPr>
        <w:t xml:space="preserve"> death</w:t>
      </w:r>
      <w:r w:rsidR="004B50B0">
        <w:rPr>
          <w:rFonts w:ascii="Times New Roman" w:hAnsi="Times New Roman"/>
          <w:sz w:val="20"/>
          <w:szCs w:val="20"/>
        </w:rPr>
        <w:t xml:space="preserve"> rate estimates derived from the system dynamics model and from </w:t>
      </w:r>
      <w:proofErr w:type="spellStart"/>
      <w:r w:rsidR="004B50B0">
        <w:rPr>
          <w:rFonts w:ascii="Times New Roman" w:hAnsi="Times New Roman"/>
          <w:sz w:val="20"/>
          <w:szCs w:val="20"/>
        </w:rPr>
        <w:t>HealthStats</w:t>
      </w:r>
      <w:proofErr w:type="spellEnd"/>
      <w:r w:rsidR="004B50B0">
        <w:rPr>
          <w:rFonts w:ascii="Times New Roman" w:hAnsi="Times New Roman"/>
          <w:sz w:val="20"/>
          <w:szCs w:val="20"/>
        </w:rPr>
        <w:t xml:space="preserve"> NSW (</w:t>
      </w:r>
      <w:r w:rsidR="004B50B0" w:rsidRPr="007F6828">
        <w:rPr>
          <w:rFonts w:ascii="Times New Roman" w:hAnsi="Times New Roman"/>
          <w:sz w:val="20"/>
          <w:szCs w:val="20"/>
        </w:rPr>
        <w:t>http://www.healthstats.nsw.gov.au/</w:t>
      </w:r>
      <w:r w:rsidR="004B50B0">
        <w:rPr>
          <w:rFonts w:ascii="Times New Roman" w:hAnsi="Times New Roman"/>
          <w:sz w:val="20"/>
          <w:szCs w:val="20"/>
        </w:rPr>
        <w:t>) are presented in figure S13.</w:t>
      </w:r>
    </w:p>
    <w:p w14:paraId="7803A311" w14:textId="23E3DE65" w:rsidR="00130963" w:rsidRDefault="00130963" w:rsidP="00E966E4">
      <w:pPr>
        <w:spacing w:line="480" w:lineRule="auto"/>
        <w:rPr>
          <w:rFonts w:ascii="Times New Roman" w:hAnsi="Times New Roman"/>
          <w:sz w:val="20"/>
          <w:szCs w:val="20"/>
        </w:rPr>
      </w:pPr>
    </w:p>
    <w:p w14:paraId="77D79AE2" w14:textId="1B2DF898" w:rsidR="00F3727E" w:rsidRDefault="00F3727E" w:rsidP="00F3727E">
      <w:pPr>
        <w:spacing w:line="480" w:lineRule="auto"/>
        <w:jc w:val="center"/>
        <w:rPr>
          <w:rFonts w:ascii="Times New Roman" w:hAnsi="Times New Roman"/>
          <w:sz w:val="20"/>
          <w:szCs w:val="20"/>
        </w:rPr>
      </w:pPr>
      <w:r>
        <w:rPr>
          <w:rFonts w:ascii="Times New Roman" w:hAnsi="Times New Roman"/>
          <w:noProof/>
          <w:sz w:val="20"/>
          <w:szCs w:val="20"/>
        </w:rPr>
        <w:lastRenderedPageBreak/>
        <w:drawing>
          <wp:inline distT="0" distB="0" distL="0" distR="0" wp14:anchorId="2A0DB393" wp14:editId="020F2C95">
            <wp:extent cx="4220098" cy="3924051"/>
            <wp:effectExtent l="0" t="0" r="9525" b="635"/>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18"/>
                    <a:stretch>
                      <a:fillRect/>
                    </a:stretch>
                  </pic:blipFill>
                  <pic:spPr>
                    <a:xfrm>
                      <a:off x="0" y="0"/>
                      <a:ext cx="4220098" cy="3924051"/>
                    </a:xfrm>
                    <a:prstGeom prst="rect">
                      <a:avLst/>
                    </a:prstGeom>
                  </pic:spPr>
                </pic:pic>
              </a:graphicData>
            </a:graphic>
          </wp:inline>
        </w:drawing>
      </w:r>
    </w:p>
    <w:p w14:paraId="7EE1383C" w14:textId="77777777" w:rsidR="00F3727E" w:rsidRDefault="00F3727E" w:rsidP="00F3727E">
      <w:pPr>
        <w:spacing w:line="480" w:lineRule="auto"/>
        <w:rPr>
          <w:rFonts w:ascii="Times New Roman" w:hAnsi="Times New Roman"/>
          <w:sz w:val="20"/>
          <w:szCs w:val="20"/>
        </w:rPr>
      </w:pPr>
    </w:p>
    <w:p w14:paraId="4DA695FE" w14:textId="2521BEC7" w:rsidR="00F3727E" w:rsidRDefault="00F3727E" w:rsidP="00F3727E">
      <w:pPr>
        <w:spacing w:line="480" w:lineRule="auto"/>
        <w:rPr>
          <w:rFonts w:ascii="Times New Roman" w:hAnsi="Times New Roman"/>
          <w:sz w:val="20"/>
          <w:szCs w:val="20"/>
        </w:rPr>
      </w:pPr>
      <w:r>
        <w:rPr>
          <w:rFonts w:ascii="Times New Roman" w:hAnsi="Times New Roman"/>
          <w:sz w:val="20"/>
          <w:szCs w:val="20"/>
        </w:rPr>
        <w:t>Figure S12.  Structure of the suicidal behaviour sector.</w:t>
      </w:r>
    </w:p>
    <w:p w14:paraId="1AA0A53F" w14:textId="1FF02A45" w:rsidR="002A2AFB" w:rsidRDefault="002A2AFB" w:rsidP="00F3727E">
      <w:pPr>
        <w:spacing w:line="480" w:lineRule="auto"/>
        <w:rPr>
          <w:rFonts w:ascii="Times New Roman" w:hAnsi="Times New Roman"/>
          <w:sz w:val="20"/>
          <w:szCs w:val="20"/>
        </w:rPr>
      </w:pPr>
    </w:p>
    <w:p w14:paraId="193B6364" w14:textId="77777777" w:rsidR="002A2AFB" w:rsidRDefault="002A2AFB" w:rsidP="002A2AFB">
      <w:pPr>
        <w:spacing w:line="480" w:lineRule="auto"/>
        <w:rPr>
          <w:rFonts w:ascii="Times New Roman" w:hAnsi="Times New Roman"/>
          <w:sz w:val="20"/>
          <w:szCs w:val="20"/>
        </w:rPr>
      </w:pPr>
      <w:r>
        <w:rPr>
          <w:rFonts w:ascii="Times New Roman" w:hAnsi="Times New Roman"/>
          <w:noProof/>
          <w:sz w:val="20"/>
          <w:szCs w:val="20"/>
        </w:rPr>
        <w:drawing>
          <wp:inline distT="0" distB="0" distL="0" distR="0" wp14:anchorId="1758E294" wp14:editId="6E51695E">
            <wp:extent cx="5731510" cy="2865755"/>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9"/>
                    <a:stretch>
                      <a:fillRect/>
                    </a:stretch>
                  </pic:blipFill>
                  <pic:spPr>
                    <a:xfrm>
                      <a:off x="0" y="0"/>
                      <a:ext cx="5731510" cy="2865755"/>
                    </a:xfrm>
                    <a:prstGeom prst="rect">
                      <a:avLst/>
                    </a:prstGeom>
                  </pic:spPr>
                </pic:pic>
              </a:graphicData>
            </a:graphic>
          </wp:inline>
        </w:drawing>
      </w:r>
    </w:p>
    <w:p w14:paraId="1660B6FE" w14:textId="38C4847E" w:rsidR="002A2AFB" w:rsidRDefault="002A2AFB" w:rsidP="002A2AFB">
      <w:pPr>
        <w:spacing w:line="480" w:lineRule="auto"/>
        <w:rPr>
          <w:rFonts w:ascii="Times New Roman" w:hAnsi="Times New Roman"/>
          <w:sz w:val="20"/>
          <w:szCs w:val="20"/>
        </w:rPr>
      </w:pPr>
      <w:r>
        <w:rPr>
          <w:rFonts w:ascii="Times New Roman" w:hAnsi="Times New Roman"/>
          <w:sz w:val="20"/>
          <w:szCs w:val="20"/>
        </w:rPr>
        <w:t xml:space="preserve">Figure S13.  Self-harm hospitalisation and suicide death rate estimates (for </w:t>
      </w:r>
      <w:r w:rsidR="00FC1E46">
        <w:rPr>
          <w:rFonts w:ascii="Times New Roman" w:hAnsi="Times New Roman"/>
          <w:sz w:val="20"/>
          <w:szCs w:val="20"/>
        </w:rPr>
        <w:t>both LHD catchments</w:t>
      </w:r>
      <w:r>
        <w:rPr>
          <w:rFonts w:ascii="Times New Roman" w:hAnsi="Times New Roman"/>
          <w:sz w:val="20"/>
          <w:szCs w:val="20"/>
        </w:rPr>
        <w:t xml:space="preserve"> combined) derived from the system dynamics model and from </w:t>
      </w:r>
      <w:proofErr w:type="spellStart"/>
      <w:r>
        <w:rPr>
          <w:rFonts w:ascii="Times New Roman" w:hAnsi="Times New Roman"/>
          <w:sz w:val="20"/>
          <w:szCs w:val="20"/>
        </w:rPr>
        <w:t>HealthStats</w:t>
      </w:r>
      <w:proofErr w:type="spellEnd"/>
      <w:r>
        <w:rPr>
          <w:rFonts w:ascii="Times New Roman" w:hAnsi="Times New Roman"/>
          <w:sz w:val="20"/>
          <w:szCs w:val="20"/>
        </w:rPr>
        <w:t xml:space="preserve"> NSW (</w:t>
      </w:r>
      <w:r w:rsidRPr="007F6828">
        <w:rPr>
          <w:rFonts w:ascii="Times New Roman" w:hAnsi="Times New Roman"/>
          <w:sz w:val="20"/>
          <w:szCs w:val="20"/>
        </w:rPr>
        <w:t>http://www.healthstats.nsw.gov.au/</w:t>
      </w:r>
      <w:r>
        <w:rPr>
          <w:rFonts w:ascii="Times New Roman" w:hAnsi="Times New Roman"/>
          <w:sz w:val="20"/>
          <w:szCs w:val="20"/>
        </w:rPr>
        <w:t>).</w:t>
      </w:r>
    </w:p>
    <w:p w14:paraId="5FBE41F5" w14:textId="77777777" w:rsidR="00F3727E" w:rsidRDefault="00F3727E" w:rsidP="00F3727E">
      <w:pPr>
        <w:spacing w:line="480" w:lineRule="auto"/>
        <w:rPr>
          <w:rFonts w:ascii="Times New Roman" w:hAnsi="Times New Roman"/>
          <w:sz w:val="20"/>
          <w:szCs w:val="20"/>
        </w:rPr>
      </w:pPr>
    </w:p>
    <w:p w14:paraId="5B0748B0" w14:textId="619F3C02" w:rsidR="004B50B0" w:rsidRPr="00686F2B" w:rsidRDefault="00686F2B" w:rsidP="00E966E4">
      <w:pPr>
        <w:spacing w:line="480" w:lineRule="auto"/>
        <w:rPr>
          <w:rFonts w:ascii="Times New Roman" w:hAnsi="Times New Roman"/>
          <w:sz w:val="24"/>
          <w:szCs w:val="24"/>
        </w:rPr>
      </w:pPr>
      <w:r w:rsidRPr="00686F2B">
        <w:rPr>
          <w:rFonts w:ascii="Times New Roman" w:hAnsi="Times New Roman"/>
          <w:sz w:val="24"/>
          <w:szCs w:val="24"/>
        </w:rPr>
        <w:lastRenderedPageBreak/>
        <w:t>References</w:t>
      </w:r>
    </w:p>
    <w:p w14:paraId="13B5BBFE" w14:textId="78A93389" w:rsidR="00BE784C" w:rsidRDefault="00BE784C" w:rsidP="00BE784C">
      <w:pPr>
        <w:spacing w:line="480" w:lineRule="auto"/>
        <w:rPr>
          <w:rFonts w:ascii="Times New Roman" w:hAnsi="Times New Roman"/>
          <w:sz w:val="20"/>
          <w:szCs w:val="20"/>
        </w:rPr>
      </w:pPr>
      <w:r w:rsidRPr="00945ECB">
        <w:rPr>
          <w:rFonts w:ascii="Times New Roman" w:hAnsi="Times New Roman"/>
          <w:sz w:val="20"/>
          <w:szCs w:val="20"/>
        </w:rPr>
        <w:t>Australian Institute of Health and Welfare</w:t>
      </w:r>
      <w:r>
        <w:rPr>
          <w:rFonts w:ascii="Times New Roman" w:hAnsi="Times New Roman"/>
          <w:sz w:val="20"/>
          <w:szCs w:val="20"/>
        </w:rPr>
        <w:t>,</w:t>
      </w:r>
      <w:r w:rsidRPr="00945ECB">
        <w:rPr>
          <w:rFonts w:ascii="Times New Roman" w:hAnsi="Times New Roman"/>
          <w:sz w:val="20"/>
          <w:szCs w:val="20"/>
        </w:rPr>
        <w:t xml:space="preserve"> 2018. </w:t>
      </w:r>
      <w:r>
        <w:rPr>
          <w:rFonts w:ascii="Times New Roman" w:hAnsi="Times New Roman"/>
          <w:sz w:val="20"/>
          <w:szCs w:val="20"/>
        </w:rPr>
        <w:t xml:space="preserve"> Mental health services − in brief 2018</w:t>
      </w:r>
      <w:r w:rsidRPr="00945ECB">
        <w:rPr>
          <w:rFonts w:ascii="Times New Roman" w:hAnsi="Times New Roman"/>
          <w:sz w:val="20"/>
          <w:szCs w:val="20"/>
        </w:rPr>
        <w:t>.</w:t>
      </w:r>
      <w:r>
        <w:rPr>
          <w:rFonts w:ascii="Times New Roman" w:hAnsi="Times New Roman"/>
          <w:sz w:val="20"/>
          <w:szCs w:val="20"/>
        </w:rPr>
        <w:t xml:space="preserve"> </w:t>
      </w:r>
      <w:r w:rsidRPr="00945ECB">
        <w:rPr>
          <w:rFonts w:ascii="Times New Roman" w:hAnsi="Times New Roman"/>
          <w:sz w:val="20"/>
          <w:szCs w:val="20"/>
        </w:rPr>
        <w:t xml:space="preserve"> Cat. no. HSE 2</w:t>
      </w:r>
      <w:r>
        <w:rPr>
          <w:rFonts w:ascii="Times New Roman" w:hAnsi="Times New Roman"/>
          <w:sz w:val="20"/>
          <w:szCs w:val="20"/>
        </w:rPr>
        <w:t>11</w:t>
      </w:r>
      <w:r w:rsidRPr="00945ECB">
        <w:rPr>
          <w:rFonts w:ascii="Times New Roman" w:hAnsi="Times New Roman"/>
          <w:sz w:val="20"/>
          <w:szCs w:val="20"/>
        </w:rPr>
        <w:t xml:space="preserve">. </w:t>
      </w:r>
      <w:r>
        <w:rPr>
          <w:rFonts w:ascii="Times New Roman" w:hAnsi="Times New Roman"/>
          <w:sz w:val="20"/>
          <w:szCs w:val="20"/>
        </w:rPr>
        <w:t>Australian Institute of Health and Welfare, Canberra</w:t>
      </w:r>
      <w:r w:rsidRPr="00945ECB">
        <w:rPr>
          <w:rFonts w:ascii="Times New Roman" w:hAnsi="Times New Roman"/>
          <w:sz w:val="20"/>
          <w:szCs w:val="20"/>
        </w:rPr>
        <w:t>.</w:t>
      </w:r>
    </w:p>
    <w:p w14:paraId="6F0AFDC1" w14:textId="77777777" w:rsidR="00BE784C" w:rsidRDefault="00BE784C" w:rsidP="00BB3520">
      <w:pPr>
        <w:spacing w:line="480" w:lineRule="auto"/>
        <w:rPr>
          <w:rFonts w:ascii="Times New Roman" w:hAnsi="Times New Roman"/>
          <w:sz w:val="20"/>
          <w:szCs w:val="20"/>
        </w:rPr>
      </w:pPr>
    </w:p>
    <w:p w14:paraId="38615B80" w14:textId="24E96010" w:rsidR="0045779D" w:rsidRDefault="00EA29DB" w:rsidP="00BB3520">
      <w:pPr>
        <w:spacing w:line="480" w:lineRule="auto"/>
        <w:rPr>
          <w:rFonts w:ascii="Times New Roman" w:hAnsi="Times New Roman"/>
          <w:sz w:val="20"/>
          <w:szCs w:val="20"/>
        </w:rPr>
      </w:pPr>
      <w:r w:rsidRPr="009A6A78">
        <w:rPr>
          <w:rFonts w:ascii="Times New Roman" w:hAnsi="Times New Roman"/>
          <w:sz w:val="20"/>
          <w:szCs w:val="20"/>
        </w:rPr>
        <w:t>Christensen</w:t>
      </w:r>
      <w:r>
        <w:rPr>
          <w:rFonts w:ascii="Times New Roman" w:hAnsi="Times New Roman"/>
          <w:sz w:val="20"/>
          <w:szCs w:val="20"/>
        </w:rPr>
        <w:t xml:space="preserve">, H., Griffiths, K. M., </w:t>
      </w:r>
      <w:proofErr w:type="spellStart"/>
      <w:r>
        <w:rPr>
          <w:rFonts w:ascii="Times New Roman" w:hAnsi="Times New Roman"/>
          <w:sz w:val="20"/>
          <w:szCs w:val="20"/>
        </w:rPr>
        <w:t>Jorm</w:t>
      </w:r>
      <w:proofErr w:type="spellEnd"/>
      <w:r>
        <w:rPr>
          <w:rFonts w:ascii="Times New Roman" w:hAnsi="Times New Roman"/>
          <w:sz w:val="20"/>
          <w:szCs w:val="20"/>
        </w:rPr>
        <w:t xml:space="preserve">, A. F., </w:t>
      </w:r>
      <w:r w:rsidRPr="009A6A78">
        <w:rPr>
          <w:rFonts w:ascii="Times New Roman" w:hAnsi="Times New Roman"/>
          <w:sz w:val="20"/>
          <w:szCs w:val="20"/>
        </w:rPr>
        <w:t>2004</w:t>
      </w:r>
      <w:r>
        <w:rPr>
          <w:rFonts w:ascii="Times New Roman" w:hAnsi="Times New Roman"/>
          <w:sz w:val="20"/>
          <w:szCs w:val="20"/>
        </w:rPr>
        <w:t xml:space="preserve">. </w:t>
      </w:r>
      <w:r w:rsidRPr="009A6A78">
        <w:rPr>
          <w:rFonts w:ascii="Times New Roman" w:hAnsi="Times New Roman"/>
          <w:sz w:val="20"/>
          <w:szCs w:val="20"/>
        </w:rPr>
        <w:t xml:space="preserve"> </w:t>
      </w:r>
      <w:r>
        <w:rPr>
          <w:rFonts w:ascii="Times New Roman" w:hAnsi="Times New Roman"/>
          <w:sz w:val="20"/>
          <w:szCs w:val="20"/>
        </w:rPr>
        <w:t xml:space="preserve">Delivering interventions for depression by using the internet: randomised controlled trial.  </w:t>
      </w:r>
      <w:r w:rsidRPr="009A6A78">
        <w:rPr>
          <w:rFonts w:ascii="Times New Roman" w:hAnsi="Times New Roman"/>
          <w:sz w:val="20"/>
          <w:szCs w:val="20"/>
        </w:rPr>
        <w:t>Br. Med. J. 328, 265</w:t>
      </w:r>
      <w:r>
        <w:rPr>
          <w:rFonts w:ascii="Times New Roman" w:hAnsi="Times New Roman"/>
          <w:sz w:val="20"/>
          <w:szCs w:val="20"/>
        </w:rPr>
        <w:t>.</w:t>
      </w:r>
    </w:p>
    <w:p w14:paraId="2816FE03" w14:textId="77777777" w:rsidR="00EA29DB" w:rsidRDefault="00EA29DB" w:rsidP="00BB3520">
      <w:pPr>
        <w:spacing w:line="480" w:lineRule="auto"/>
        <w:rPr>
          <w:rFonts w:ascii="Times New Roman" w:hAnsi="Times New Roman"/>
          <w:sz w:val="20"/>
          <w:szCs w:val="20"/>
        </w:rPr>
      </w:pPr>
    </w:p>
    <w:p w14:paraId="40E55DBC" w14:textId="3C31C25C" w:rsidR="0045779D" w:rsidRDefault="0045779D" w:rsidP="00BB3520">
      <w:pPr>
        <w:spacing w:line="480" w:lineRule="auto"/>
        <w:rPr>
          <w:rFonts w:ascii="Times New Roman" w:hAnsi="Times New Roman"/>
          <w:sz w:val="20"/>
          <w:szCs w:val="20"/>
        </w:rPr>
      </w:pPr>
      <w:r>
        <w:rPr>
          <w:rFonts w:ascii="Times New Roman" w:hAnsi="Times New Roman"/>
          <w:sz w:val="20"/>
          <w:szCs w:val="20"/>
        </w:rPr>
        <w:t xml:space="preserve">Michael, T., Zetsche, U., </w:t>
      </w:r>
      <w:proofErr w:type="spellStart"/>
      <w:r>
        <w:rPr>
          <w:rFonts w:ascii="Times New Roman" w:hAnsi="Times New Roman"/>
          <w:sz w:val="20"/>
          <w:szCs w:val="20"/>
        </w:rPr>
        <w:t>Margraf</w:t>
      </w:r>
      <w:proofErr w:type="spellEnd"/>
      <w:r>
        <w:rPr>
          <w:rFonts w:ascii="Times New Roman" w:hAnsi="Times New Roman"/>
          <w:sz w:val="20"/>
          <w:szCs w:val="20"/>
        </w:rPr>
        <w:t>, J., 2007.  Epidemiology of anxiety disorders.  Psychiatry 6, 136−142.</w:t>
      </w:r>
    </w:p>
    <w:p w14:paraId="074D4ABF" w14:textId="77777777" w:rsidR="00FE5592" w:rsidRDefault="00FE5592" w:rsidP="00E966E4">
      <w:pPr>
        <w:spacing w:line="480" w:lineRule="auto"/>
        <w:rPr>
          <w:rFonts w:ascii="Times New Roman" w:hAnsi="Times New Roman"/>
          <w:sz w:val="20"/>
          <w:szCs w:val="20"/>
        </w:rPr>
      </w:pPr>
    </w:p>
    <w:p w14:paraId="4573554B" w14:textId="44BFA5ED" w:rsidR="00130963" w:rsidRDefault="00BB3520" w:rsidP="00E966E4">
      <w:pPr>
        <w:spacing w:line="480" w:lineRule="auto"/>
        <w:rPr>
          <w:rFonts w:ascii="Times New Roman" w:hAnsi="Times New Roman"/>
          <w:sz w:val="20"/>
          <w:szCs w:val="20"/>
        </w:rPr>
      </w:pPr>
      <w:r>
        <w:rPr>
          <w:rFonts w:ascii="Times New Roman" w:hAnsi="Times New Roman"/>
          <w:sz w:val="20"/>
          <w:szCs w:val="20"/>
        </w:rPr>
        <w:t xml:space="preserve">Russ, T. C., Stamatakis, E., Hamer, M., Starr, J. M., </w:t>
      </w:r>
      <w:proofErr w:type="spellStart"/>
      <w:r w:rsidRPr="000146DF">
        <w:rPr>
          <w:rFonts w:ascii="Times New Roman" w:hAnsi="Times New Roman"/>
          <w:sz w:val="20"/>
          <w:szCs w:val="20"/>
        </w:rPr>
        <w:t>Kivim</w:t>
      </w:r>
      <w:r>
        <w:rPr>
          <w:rFonts w:ascii="Times New Roman" w:hAnsi="Times New Roman"/>
          <w:sz w:val="20"/>
          <w:szCs w:val="20"/>
        </w:rPr>
        <w:t>ä</w:t>
      </w:r>
      <w:r w:rsidRPr="000146DF">
        <w:rPr>
          <w:rFonts w:ascii="Times New Roman" w:hAnsi="Times New Roman"/>
          <w:sz w:val="20"/>
          <w:szCs w:val="20"/>
        </w:rPr>
        <w:t>ki</w:t>
      </w:r>
      <w:proofErr w:type="spellEnd"/>
      <w:r>
        <w:rPr>
          <w:rFonts w:ascii="Times New Roman" w:hAnsi="Times New Roman"/>
          <w:sz w:val="20"/>
          <w:szCs w:val="20"/>
        </w:rPr>
        <w:t xml:space="preserve">, M., Batty, G. D., 2012.  </w:t>
      </w:r>
      <w:r w:rsidRPr="000146DF">
        <w:rPr>
          <w:rFonts w:ascii="Times New Roman" w:hAnsi="Times New Roman"/>
          <w:sz w:val="20"/>
          <w:szCs w:val="20"/>
        </w:rPr>
        <w:t>Association between</w:t>
      </w:r>
      <w:r>
        <w:rPr>
          <w:rFonts w:ascii="Times New Roman" w:hAnsi="Times New Roman"/>
          <w:sz w:val="20"/>
          <w:szCs w:val="20"/>
        </w:rPr>
        <w:t xml:space="preserve"> </w:t>
      </w:r>
      <w:r w:rsidRPr="000146DF">
        <w:rPr>
          <w:rFonts w:ascii="Times New Roman" w:hAnsi="Times New Roman"/>
          <w:sz w:val="20"/>
          <w:szCs w:val="20"/>
        </w:rPr>
        <w:t>psychological distress and</w:t>
      </w:r>
      <w:r>
        <w:rPr>
          <w:rFonts w:ascii="Times New Roman" w:hAnsi="Times New Roman"/>
          <w:sz w:val="20"/>
          <w:szCs w:val="20"/>
        </w:rPr>
        <w:t xml:space="preserve"> </w:t>
      </w:r>
      <w:r w:rsidRPr="000146DF">
        <w:rPr>
          <w:rFonts w:ascii="Times New Roman" w:hAnsi="Times New Roman"/>
          <w:sz w:val="20"/>
          <w:szCs w:val="20"/>
        </w:rPr>
        <w:t>mortality: individual participant pooled analysis of 10</w:t>
      </w:r>
      <w:r>
        <w:rPr>
          <w:rFonts w:ascii="Times New Roman" w:hAnsi="Times New Roman"/>
          <w:sz w:val="20"/>
          <w:szCs w:val="20"/>
        </w:rPr>
        <w:t xml:space="preserve"> </w:t>
      </w:r>
      <w:r w:rsidRPr="000146DF">
        <w:rPr>
          <w:rFonts w:ascii="Times New Roman" w:hAnsi="Times New Roman"/>
          <w:sz w:val="20"/>
          <w:szCs w:val="20"/>
        </w:rPr>
        <w:t>prospective cohort studies</w:t>
      </w:r>
      <w:r>
        <w:rPr>
          <w:rFonts w:ascii="Times New Roman" w:hAnsi="Times New Roman"/>
          <w:sz w:val="20"/>
          <w:szCs w:val="20"/>
        </w:rPr>
        <w:t>.  Br. Med. J. 345, e4933.</w:t>
      </w:r>
    </w:p>
    <w:p w14:paraId="4598AD9E" w14:textId="0D496A0E" w:rsidR="00A46C08" w:rsidRDefault="00A46C08" w:rsidP="00E966E4">
      <w:pPr>
        <w:spacing w:line="480" w:lineRule="auto"/>
        <w:rPr>
          <w:rFonts w:ascii="Times New Roman" w:hAnsi="Times New Roman"/>
          <w:sz w:val="20"/>
          <w:szCs w:val="20"/>
        </w:rPr>
      </w:pPr>
    </w:p>
    <w:p w14:paraId="547664E4" w14:textId="5D095572" w:rsidR="00A46C08" w:rsidRDefault="00A46C08" w:rsidP="00E966E4">
      <w:pPr>
        <w:spacing w:line="480" w:lineRule="auto"/>
        <w:rPr>
          <w:rFonts w:ascii="Times New Roman" w:hAnsi="Times New Roman"/>
          <w:sz w:val="20"/>
          <w:szCs w:val="20"/>
        </w:rPr>
      </w:pPr>
      <w:proofErr w:type="spellStart"/>
      <w:r>
        <w:rPr>
          <w:rFonts w:ascii="Times New Roman" w:hAnsi="Times New Roman"/>
          <w:sz w:val="20"/>
          <w:szCs w:val="20"/>
        </w:rPr>
        <w:t>Tyrer</w:t>
      </w:r>
      <w:proofErr w:type="spellEnd"/>
      <w:r>
        <w:rPr>
          <w:rFonts w:ascii="Times New Roman" w:hAnsi="Times New Roman"/>
          <w:sz w:val="20"/>
          <w:szCs w:val="20"/>
        </w:rPr>
        <w:t xml:space="preserve">, P., Morgan, J., Van Horn, E., Jayakody, M., Evans, K., Brummell, R., White, T., Baldwin, D., Harrison-Read, P., Johnson, T., 1995.  </w:t>
      </w:r>
      <w:r w:rsidRPr="005D7808">
        <w:rPr>
          <w:rFonts w:ascii="Times New Roman" w:hAnsi="Times New Roman"/>
          <w:sz w:val="20"/>
          <w:szCs w:val="20"/>
        </w:rPr>
        <w:t>A randomised controlled study of close monitoring of vulnerable</w:t>
      </w:r>
      <w:r>
        <w:rPr>
          <w:rFonts w:ascii="Times New Roman" w:hAnsi="Times New Roman"/>
          <w:sz w:val="20"/>
          <w:szCs w:val="20"/>
        </w:rPr>
        <w:t xml:space="preserve"> </w:t>
      </w:r>
      <w:r w:rsidRPr="005D7808">
        <w:rPr>
          <w:rFonts w:ascii="Times New Roman" w:hAnsi="Times New Roman"/>
          <w:sz w:val="20"/>
          <w:szCs w:val="20"/>
        </w:rPr>
        <w:t>psychiatric patients</w:t>
      </w:r>
      <w:r>
        <w:rPr>
          <w:rFonts w:ascii="Times New Roman" w:hAnsi="Times New Roman"/>
          <w:sz w:val="20"/>
          <w:szCs w:val="20"/>
        </w:rPr>
        <w:t>.  Lancet 345, 756−759.</w:t>
      </w:r>
    </w:p>
    <w:p w14:paraId="1EBFD336" w14:textId="40167025" w:rsidR="00130963" w:rsidRDefault="00130963" w:rsidP="00E966E4">
      <w:pPr>
        <w:spacing w:line="480" w:lineRule="auto"/>
        <w:rPr>
          <w:rFonts w:ascii="Times New Roman" w:hAnsi="Times New Roman"/>
          <w:sz w:val="20"/>
          <w:szCs w:val="20"/>
        </w:rPr>
      </w:pPr>
    </w:p>
    <w:p w14:paraId="37D917C1" w14:textId="6719B285" w:rsidR="00130963" w:rsidRDefault="00BB3520" w:rsidP="00E966E4">
      <w:pPr>
        <w:spacing w:line="480" w:lineRule="auto"/>
        <w:rPr>
          <w:rFonts w:ascii="Times New Roman" w:hAnsi="Times New Roman"/>
          <w:sz w:val="20"/>
          <w:szCs w:val="20"/>
        </w:rPr>
      </w:pPr>
      <w:r>
        <w:rPr>
          <w:rFonts w:ascii="Times New Roman" w:hAnsi="Times New Roman"/>
          <w:sz w:val="20"/>
          <w:szCs w:val="20"/>
        </w:rPr>
        <w:t xml:space="preserve">Weissman, M. M., Bland, R. C., </w:t>
      </w:r>
      <w:proofErr w:type="spellStart"/>
      <w:r>
        <w:rPr>
          <w:rFonts w:ascii="Times New Roman" w:hAnsi="Times New Roman"/>
          <w:sz w:val="20"/>
          <w:szCs w:val="20"/>
        </w:rPr>
        <w:t>Canino</w:t>
      </w:r>
      <w:proofErr w:type="spellEnd"/>
      <w:r>
        <w:rPr>
          <w:rFonts w:ascii="Times New Roman" w:hAnsi="Times New Roman"/>
          <w:sz w:val="20"/>
          <w:szCs w:val="20"/>
        </w:rPr>
        <w:t xml:space="preserve">, G. J., </w:t>
      </w:r>
      <w:proofErr w:type="spellStart"/>
      <w:r>
        <w:rPr>
          <w:rFonts w:ascii="Times New Roman" w:hAnsi="Times New Roman"/>
          <w:sz w:val="20"/>
          <w:szCs w:val="20"/>
        </w:rPr>
        <w:t>Faravelli</w:t>
      </w:r>
      <w:proofErr w:type="spellEnd"/>
      <w:r>
        <w:rPr>
          <w:rFonts w:ascii="Times New Roman" w:hAnsi="Times New Roman"/>
          <w:sz w:val="20"/>
          <w:szCs w:val="20"/>
        </w:rPr>
        <w:t xml:space="preserve">, C., Greenwald, S., </w:t>
      </w:r>
      <w:proofErr w:type="spellStart"/>
      <w:r>
        <w:rPr>
          <w:rFonts w:ascii="Times New Roman" w:hAnsi="Times New Roman"/>
          <w:sz w:val="20"/>
          <w:szCs w:val="20"/>
        </w:rPr>
        <w:t>Hwu</w:t>
      </w:r>
      <w:proofErr w:type="spellEnd"/>
      <w:r>
        <w:rPr>
          <w:rFonts w:ascii="Times New Roman" w:hAnsi="Times New Roman"/>
          <w:sz w:val="20"/>
          <w:szCs w:val="20"/>
        </w:rPr>
        <w:t xml:space="preserve">, H., Joyce, P. R., Karam, E. G., Lee, C., </w:t>
      </w:r>
      <w:proofErr w:type="spellStart"/>
      <w:r>
        <w:rPr>
          <w:rFonts w:ascii="Times New Roman" w:hAnsi="Times New Roman"/>
          <w:sz w:val="20"/>
          <w:szCs w:val="20"/>
        </w:rPr>
        <w:t>Lellouch</w:t>
      </w:r>
      <w:proofErr w:type="spellEnd"/>
      <w:r>
        <w:rPr>
          <w:rFonts w:ascii="Times New Roman" w:hAnsi="Times New Roman"/>
          <w:sz w:val="20"/>
          <w:szCs w:val="20"/>
        </w:rPr>
        <w:t xml:space="preserve">, J., </w:t>
      </w:r>
      <w:proofErr w:type="spellStart"/>
      <w:r>
        <w:rPr>
          <w:rFonts w:ascii="Times New Roman" w:hAnsi="Times New Roman"/>
          <w:sz w:val="20"/>
          <w:szCs w:val="20"/>
        </w:rPr>
        <w:t>Lépine</w:t>
      </w:r>
      <w:proofErr w:type="spellEnd"/>
      <w:r>
        <w:rPr>
          <w:rFonts w:ascii="Times New Roman" w:hAnsi="Times New Roman"/>
          <w:sz w:val="20"/>
          <w:szCs w:val="20"/>
        </w:rPr>
        <w:t>, J., Newman, S. C., Rubio-</w:t>
      </w:r>
      <w:proofErr w:type="spellStart"/>
      <w:r>
        <w:rPr>
          <w:rFonts w:ascii="Times New Roman" w:hAnsi="Times New Roman"/>
          <w:sz w:val="20"/>
          <w:szCs w:val="20"/>
        </w:rPr>
        <w:t>Stipec</w:t>
      </w:r>
      <w:proofErr w:type="spellEnd"/>
      <w:r>
        <w:rPr>
          <w:rFonts w:ascii="Times New Roman" w:hAnsi="Times New Roman"/>
          <w:sz w:val="20"/>
          <w:szCs w:val="20"/>
        </w:rPr>
        <w:t xml:space="preserve">, M., Wells, J. E., </w:t>
      </w:r>
      <w:proofErr w:type="spellStart"/>
      <w:r w:rsidR="002E4C28">
        <w:rPr>
          <w:rFonts w:ascii="Times New Roman" w:hAnsi="Times New Roman"/>
          <w:sz w:val="20"/>
          <w:szCs w:val="20"/>
        </w:rPr>
        <w:t>Wickramaratne</w:t>
      </w:r>
      <w:proofErr w:type="spellEnd"/>
      <w:r w:rsidR="002E4C28">
        <w:rPr>
          <w:rFonts w:ascii="Times New Roman" w:hAnsi="Times New Roman"/>
          <w:sz w:val="20"/>
          <w:szCs w:val="20"/>
        </w:rPr>
        <w:t xml:space="preserve">, P. J., </w:t>
      </w:r>
      <w:proofErr w:type="spellStart"/>
      <w:r w:rsidR="002E4C28">
        <w:rPr>
          <w:rFonts w:ascii="Times New Roman" w:hAnsi="Times New Roman"/>
          <w:sz w:val="20"/>
          <w:szCs w:val="20"/>
        </w:rPr>
        <w:t>Wittchen</w:t>
      </w:r>
      <w:proofErr w:type="spellEnd"/>
      <w:r w:rsidR="002E4C28">
        <w:rPr>
          <w:rFonts w:ascii="Times New Roman" w:hAnsi="Times New Roman"/>
          <w:sz w:val="20"/>
          <w:szCs w:val="20"/>
        </w:rPr>
        <w:t xml:space="preserve">, H., Yeh, E., 1996.  </w:t>
      </w:r>
      <w:r w:rsidR="00E92BDA">
        <w:rPr>
          <w:rFonts w:ascii="Times New Roman" w:hAnsi="Times New Roman"/>
          <w:sz w:val="20"/>
          <w:szCs w:val="20"/>
        </w:rPr>
        <w:t xml:space="preserve">Cross-national epidemiology of major depression and bipolar disorder.  </w:t>
      </w:r>
      <w:r w:rsidR="002E4C28">
        <w:rPr>
          <w:rFonts w:ascii="Times New Roman" w:hAnsi="Times New Roman"/>
          <w:sz w:val="20"/>
          <w:szCs w:val="20"/>
        </w:rPr>
        <w:t>J. Am. Med. Assoc. 276, 293−299.</w:t>
      </w:r>
    </w:p>
    <w:p w14:paraId="245DEF82" w14:textId="77777777" w:rsidR="00D61898" w:rsidRDefault="00D61898" w:rsidP="00E966E4">
      <w:pPr>
        <w:spacing w:line="480" w:lineRule="auto"/>
        <w:rPr>
          <w:rFonts w:ascii="Times New Roman" w:hAnsi="Times New Roman"/>
          <w:sz w:val="20"/>
          <w:szCs w:val="20"/>
        </w:rPr>
        <w:sectPr w:rsidR="00D61898" w:rsidSect="00E966E4">
          <w:pgSz w:w="11906" w:h="16838" w:code="9"/>
          <w:pgMar w:top="1440" w:right="1440" w:bottom="1440" w:left="1440" w:header="284" w:footer="680" w:gutter="0"/>
          <w:cols w:space="708"/>
          <w:docGrid w:linePitch="360"/>
        </w:sectPr>
      </w:pPr>
    </w:p>
    <w:p w14:paraId="025A1E97" w14:textId="77777777" w:rsidR="00D61898" w:rsidRDefault="00D61898" w:rsidP="00D61898">
      <w:pPr>
        <w:spacing w:line="480" w:lineRule="auto"/>
        <w:rPr>
          <w:rFonts w:ascii="Times New Roman" w:hAnsi="Times New Roman"/>
          <w:sz w:val="20"/>
          <w:szCs w:val="20"/>
        </w:rPr>
      </w:pPr>
      <w:r>
        <w:rPr>
          <w:rFonts w:ascii="Times New Roman" w:hAnsi="Times New Roman"/>
          <w:sz w:val="24"/>
          <w:szCs w:val="24"/>
        </w:rPr>
        <w:lastRenderedPageBreak/>
        <w:t>2.  Intervention definitions and parameter assumptions</w:t>
      </w:r>
    </w:p>
    <w:p w14:paraId="473E5766" w14:textId="516A0A35" w:rsidR="00DF51F7" w:rsidRDefault="00D61898" w:rsidP="007F7C0B">
      <w:pPr>
        <w:spacing w:line="480" w:lineRule="auto"/>
        <w:rPr>
          <w:rFonts w:ascii="Times New Roman" w:hAnsi="Times New Roman"/>
          <w:sz w:val="20"/>
          <w:szCs w:val="20"/>
        </w:rPr>
      </w:pPr>
      <w:r>
        <w:rPr>
          <w:rFonts w:ascii="Times New Roman" w:hAnsi="Times New Roman"/>
          <w:sz w:val="20"/>
          <w:szCs w:val="20"/>
        </w:rPr>
        <w:t>Table S1.  Intervention definitions and parameter assumptions.</w:t>
      </w:r>
      <w:r w:rsidR="009B1137">
        <w:rPr>
          <w:rFonts w:ascii="Times New Roman" w:hAnsi="Times New Roman"/>
          <w:sz w:val="20"/>
          <w:szCs w:val="20"/>
        </w:rPr>
        <w:t xml:space="preserve">  Parameters determining the direct effects of each intervention can be modified via an interactive model interface, enabling users to assess the impact of parameter assumptions on model outputs.</w:t>
      </w:r>
    </w:p>
    <w:tbl>
      <w:tblPr>
        <w:tblW w:w="13920" w:type="dxa"/>
        <w:tblLook w:val="04A0" w:firstRow="1" w:lastRow="0" w:firstColumn="1" w:lastColumn="0" w:noHBand="0" w:noVBand="1"/>
      </w:tblPr>
      <w:tblGrid>
        <w:gridCol w:w="3500"/>
        <w:gridCol w:w="10420"/>
      </w:tblGrid>
      <w:tr w:rsidR="00C7535C" w:rsidRPr="00C7535C" w14:paraId="3188A38B" w14:textId="77777777" w:rsidTr="00C7535C">
        <w:trPr>
          <w:trHeight w:val="372"/>
        </w:trPr>
        <w:tc>
          <w:tcPr>
            <w:tcW w:w="3500" w:type="dxa"/>
            <w:tcBorders>
              <w:top w:val="single" w:sz="4" w:space="0" w:color="auto"/>
              <w:left w:val="nil"/>
              <w:bottom w:val="single" w:sz="4" w:space="0" w:color="auto"/>
              <w:right w:val="nil"/>
            </w:tcBorders>
            <w:shd w:val="clear" w:color="auto" w:fill="auto"/>
            <w:noWrap/>
            <w:vAlign w:val="center"/>
            <w:hideMark/>
          </w:tcPr>
          <w:p w14:paraId="2FC5E849" w14:textId="77777777" w:rsidR="00C7535C" w:rsidRP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Intervention</w:t>
            </w:r>
          </w:p>
        </w:tc>
        <w:tc>
          <w:tcPr>
            <w:tcW w:w="10420" w:type="dxa"/>
            <w:tcBorders>
              <w:top w:val="single" w:sz="4" w:space="0" w:color="auto"/>
              <w:left w:val="nil"/>
              <w:bottom w:val="single" w:sz="4" w:space="0" w:color="auto"/>
              <w:right w:val="nil"/>
            </w:tcBorders>
            <w:shd w:val="clear" w:color="auto" w:fill="auto"/>
            <w:noWrap/>
            <w:vAlign w:val="center"/>
            <w:hideMark/>
          </w:tcPr>
          <w:p w14:paraId="566D1342" w14:textId="77777777" w:rsidR="00C7535C" w:rsidRP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Description</w:t>
            </w:r>
          </w:p>
        </w:tc>
      </w:tr>
      <w:tr w:rsidR="00C7535C" w:rsidRPr="00C7535C" w14:paraId="7ACD683B" w14:textId="77777777" w:rsidTr="00C7535C">
        <w:trPr>
          <w:trHeight w:val="216"/>
        </w:trPr>
        <w:tc>
          <w:tcPr>
            <w:tcW w:w="3500" w:type="dxa"/>
            <w:tcBorders>
              <w:top w:val="nil"/>
              <w:left w:val="nil"/>
              <w:bottom w:val="nil"/>
              <w:right w:val="nil"/>
            </w:tcBorders>
            <w:shd w:val="clear" w:color="auto" w:fill="auto"/>
            <w:noWrap/>
            <w:vAlign w:val="bottom"/>
            <w:hideMark/>
          </w:tcPr>
          <w:p w14:paraId="61F6D9CB" w14:textId="77777777" w:rsidR="00C7535C" w:rsidRPr="00C7535C" w:rsidRDefault="00C7535C" w:rsidP="00C7535C">
            <w:pPr>
              <w:spacing w:line="240" w:lineRule="auto"/>
              <w:rPr>
                <w:rFonts w:ascii="Times New Roman" w:eastAsia="Times New Roman" w:hAnsi="Times New Roman"/>
                <w:color w:val="000000"/>
                <w:sz w:val="17"/>
                <w:szCs w:val="17"/>
                <w:lang w:eastAsia="en-AU"/>
              </w:rPr>
            </w:pPr>
          </w:p>
        </w:tc>
        <w:tc>
          <w:tcPr>
            <w:tcW w:w="10420" w:type="dxa"/>
            <w:tcBorders>
              <w:top w:val="nil"/>
              <w:left w:val="nil"/>
              <w:bottom w:val="nil"/>
              <w:right w:val="nil"/>
            </w:tcBorders>
            <w:shd w:val="clear" w:color="auto" w:fill="auto"/>
            <w:noWrap/>
            <w:vAlign w:val="bottom"/>
            <w:hideMark/>
          </w:tcPr>
          <w:p w14:paraId="560E39D4" w14:textId="77777777" w:rsidR="00C7535C" w:rsidRPr="00C7535C" w:rsidRDefault="00C7535C" w:rsidP="00C7535C">
            <w:pPr>
              <w:spacing w:line="240" w:lineRule="auto"/>
              <w:rPr>
                <w:rFonts w:ascii="Times New Roman" w:eastAsia="Times New Roman" w:hAnsi="Times New Roman"/>
                <w:color w:val="auto"/>
                <w:sz w:val="20"/>
                <w:szCs w:val="20"/>
                <w:lang w:eastAsia="en-AU"/>
              </w:rPr>
            </w:pPr>
          </w:p>
        </w:tc>
      </w:tr>
      <w:tr w:rsidR="00C7535C" w:rsidRPr="00C7535C" w14:paraId="084EEDC6" w14:textId="77777777" w:rsidTr="00C7535C">
        <w:tc>
          <w:tcPr>
            <w:tcW w:w="3500" w:type="dxa"/>
            <w:tcBorders>
              <w:top w:val="nil"/>
              <w:left w:val="nil"/>
              <w:bottom w:val="nil"/>
              <w:right w:val="nil"/>
            </w:tcBorders>
            <w:shd w:val="clear" w:color="000000" w:fill="F2F2F2"/>
            <w:hideMark/>
          </w:tcPr>
          <w:p w14:paraId="46FB7597" w14:textId="77777777" w:rsidR="006E4286" w:rsidRDefault="006E4286" w:rsidP="00C7535C">
            <w:pPr>
              <w:spacing w:line="240" w:lineRule="auto"/>
              <w:rPr>
                <w:rFonts w:ascii="Times New Roman" w:eastAsia="Times New Roman" w:hAnsi="Times New Roman"/>
                <w:color w:val="000000"/>
                <w:sz w:val="17"/>
                <w:szCs w:val="17"/>
                <w:lang w:eastAsia="en-AU"/>
              </w:rPr>
            </w:pPr>
          </w:p>
          <w:p w14:paraId="3524A70E" w14:textId="1ED0AFF8" w:rsidR="00C7535C" w:rsidRP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1.  Post-suicide attempt care</w:t>
            </w:r>
          </w:p>
        </w:tc>
        <w:tc>
          <w:tcPr>
            <w:tcW w:w="10420" w:type="dxa"/>
            <w:tcBorders>
              <w:top w:val="nil"/>
              <w:left w:val="nil"/>
              <w:bottom w:val="nil"/>
              <w:right w:val="nil"/>
            </w:tcBorders>
            <w:shd w:val="clear" w:color="000000" w:fill="F2F2F2"/>
            <w:hideMark/>
          </w:tcPr>
          <w:p w14:paraId="37CB23FD" w14:textId="77777777" w:rsidR="006E4286" w:rsidRDefault="006E4286" w:rsidP="00C7535C">
            <w:pPr>
              <w:spacing w:line="240" w:lineRule="auto"/>
              <w:rPr>
                <w:rFonts w:ascii="Times New Roman" w:eastAsia="Times New Roman" w:hAnsi="Times New Roman"/>
                <w:color w:val="000000"/>
                <w:sz w:val="17"/>
                <w:szCs w:val="17"/>
                <w:lang w:eastAsia="en-AU"/>
              </w:rPr>
            </w:pPr>
          </w:p>
          <w:p w14:paraId="693B30EC" w14:textId="77777777" w:rsid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Post-attempt care is an active outreach and enhanced contact program that aims to reduce readmission in those presenting to services after a suicide attempt.  It includes individually tailored contact, solution focused counselling, and motivations to ensure adherence to follow-up treatments and continuity of contact.</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t>Parameters determining the direct effects of this intervention are:</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Maximum post-attempt care rate</w:t>
            </w:r>
            <w:r w:rsidRPr="00C7535C">
              <w:rPr>
                <w:rFonts w:ascii="Times New Roman" w:eastAsia="Times New Roman" w:hAnsi="Times New Roman"/>
                <w:color w:val="000000"/>
                <w:sz w:val="17"/>
                <w:szCs w:val="17"/>
                <w:lang w:eastAsia="en-AU"/>
              </w:rPr>
              <w:t xml:space="preserve"> – the maximum proportion of patients hospitalised for a suicide attempt receiving post-attempt care.  The default value (1) assumes that post-attempt care will be provided to all patients hospitalised for a suicide attempt (after an initial scale up period).</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Post-attempt care effect</w:t>
            </w:r>
            <w:r w:rsidRPr="00C7535C">
              <w:rPr>
                <w:rFonts w:ascii="Times New Roman" w:eastAsia="Times New Roman" w:hAnsi="Times New Roman"/>
                <w:color w:val="000000"/>
                <w:sz w:val="17"/>
                <w:szCs w:val="17"/>
                <w:lang w:eastAsia="en-AU"/>
              </w:rPr>
              <w:t xml:space="preserve"> – the proportion of potential repeat suicide attempts expected among patients receiving post-attempt care.  The default value (0.398) implies that 39.8% of repeat attempts that would have occurred without post-attempt care actually occur when post-attempt care is </w:t>
            </w:r>
            <w:proofErr w:type="gramStart"/>
            <w:r w:rsidRPr="00C7535C">
              <w:rPr>
                <w:rFonts w:ascii="Times New Roman" w:eastAsia="Times New Roman" w:hAnsi="Times New Roman"/>
                <w:color w:val="000000"/>
                <w:sz w:val="17"/>
                <w:szCs w:val="17"/>
                <w:lang w:eastAsia="en-AU"/>
              </w:rPr>
              <w:t>provided;</w:t>
            </w:r>
            <w:proofErr w:type="gramEnd"/>
            <w:r w:rsidRPr="00C7535C">
              <w:rPr>
                <w:rFonts w:ascii="Times New Roman" w:eastAsia="Times New Roman" w:hAnsi="Times New Roman"/>
                <w:color w:val="000000"/>
                <w:sz w:val="17"/>
                <w:szCs w:val="17"/>
                <w:lang w:eastAsia="en-AU"/>
              </w:rPr>
              <w:t xml:space="preserve"> i.e., post-attempt care is assumed to prevent 60.2% of potential repeat suicide attempts.  The default estimate is derived from </w:t>
            </w:r>
            <w:proofErr w:type="spellStart"/>
            <w:r w:rsidRPr="00C7535C">
              <w:rPr>
                <w:rFonts w:ascii="Times New Roman" w:eastAsia="Times New Roman" w:hAnsi="Times New Roman"/>
                <w:color w:val="000000"/>
                <w:sz w:val="17"/>
                <w:szCs w:val="17"/>
                <w:lang w:eastAsia="en-AU"/>
              </w:rPr>
              <w:t>Hvid</w:t>
            </w:r>
            <w:proofErr w:type="spellEnd"/>
            <w:r w:rsidRPr="00C7535C">
              <w:rPr>
                <w:rFonts w:ascii="Times New Roman" w:eastAsia="Times New Roman" w:hAnsi="Times New Roman"/>
                <w:color w:val="000000"/>
                <w:sz w:val="17"/>
                <w:szCs w:val="17"/>
                <w:lang w:eastAsia="en-AU"/>
              </w:rPr>
              <w:t xml:space="preserve"> et al. (2011, Nord. J. Psychiatry 65, 292-298).</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Effect duration (weeks)</w:t>
            </w:r>
            <w:r w:rsidRPr="00C7535C">
              <w:rPr>
                <w:rFonts w:ascii="Times New Roman" w:eastAsia="Times New Roman" w:hAnsi="Times New Roman"/>
                <w:color w:val="000000"/>
                <w:sz w:val="17"/>
                <w:szCs w:val="17"/>
                <w:lang w:eastAsia="en-AU"/>
              </w:rPr>
              <w:t xml:space="preserve"> – the average time in weeks after a suicide attempt that post-attempt care has an effect on the probability of a repeat attempt.  The default value of 52.1 weeks implies that, on average, post-attempt care reduces the repeat self-harm rate for 1 year after an attempt.  After this time, post-attempt care is assumed to have no impact on the suicide attempt rate. </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Repeat self-harm rate per year</w:t>
            </w:r>
            <w:r w:rsidRPr="00C7535C">
              <w:rPr>
                <w:rFonts w:ascii="Times New Roman" w:eastAsia="Times New Roman" w:hAnsi="Times New Roman"/>
                <w:color w:val="000000"/>
                <w:sz w:val="17"/>
                <w:szCs w:val="17"/>
                <w:lang w:eastAsia="en-AU"/>
              </w:rPr>
              <w:t xml:space="preserve"> – the probability that a person will self-harm in the year after a suicide attempt without post-attempt care.  The default value (0.179) implies that 17.9% of people hospitalised for self-harm will re-attempt within 1 year (i.e., assuming they don't receive post-attempt care); this estimate is derived from Carroll et al. (2014, </w:t>
            </w:r>
            <w:proofErr w:type="spellStart"/>
            <w:r w:rsidRPr="00C7535C">
              <w:rPr>
                <w:rFonts w:ascii="Times New Roman" w:eastAsia="Times New Roman" w:hAnsi="Times New Roman"/>
                <w:color w:val="000000"/>
                <w:sz w:val="17"/>
                <w:szCs w:val="17"/>
                <w:lang w:eastAsia="en-AU"/>
              </w:rPr>
              <w:t>PLoS</w:t>
            </w:r>
            <w:proofErr w:type="spellEnd"/>
            <w:r w:rsidRPr="00C7535C">
              <w:rPr>
                <w:rFonts w:ascii="Times New Roman" w:eastAsia="Times New Roman" w:hAnsi="Times New Roman"/>
                <w:color w:val="000000"/>
                <w:sz w:val="17"/>
                <w:szCs w:val="17"/>
                <w:lang w:eastAsia="en-AU"/>
              </w:rPr>
              <w:t xml:space="preserve"> ONE 9, e89944).</w:t>
            </w:r>
          </w:p>
          <w:p w14:paraId="5A29953B" w14:textId="07307668" w:rsidR="006E4286" w:rsidRPr="00C7535C" w:rsidRDefault="006E4286" w:rsidP="00C7535C">
            <w:pPr>
              <w:spacing w:line="240" w:lineRule="auto"/>
              <w:rPr>
                <w:rFonts w:ascii="Times New Roman" w:eastAsia="Times New Roman" w:hAnsi="Times New Roman"/>
                <w:color w:val="000000"/>
                <w:sz w:val="17"/>
                <w:szCs w:val="17"/>
                <w:lang w:eastAsia="en-AU"/>
              </w:rPr>
            </w:pPr>
          </w:p>
        </w:tc>
      </w:tr>
      <w:tr w:rsidR="00C7535C" w:rsidRPr="00C7535C" w14:paraId="66170161" w14:textId="77777777" w:rsidTr="00C7535C">
        <w:tc>
          <w:tcPr>
            <w:tcW w:w="3500" w:type="dxa"/>
            <w:tcBorders>
              <w:top w:val="nil"/>
              <w:left w:val="nil"/>
              <w:bottom w:val="nil"/>
              <w:right w:val="nil"/>
            </w:tcBorders>
            <w:shd w:val="clear" w:color="auto" w:fill="auto"/>
            <w:hideMark/>
          </w:tcPr>
          <w:p w14:paraId="66B7702E" w14:textId="77777777" w:rsidR="006E4286" w:rsidRDefault="006E4286" w:rsidP="00C7535C">
            <w:pPr>
              <w:spacing w:line="240" w:lineRule="auto"/>
              <w:rPr>
                <w:rFonts w:ascii="Times New Roman" w:eastAsia="Times New Roman" w:hAnsi="Times New Roman"/>
                <w:color w:val="000000"/>
                <w:sz w:val="17"/>
                <w:szCs w:val="17"/>
                <w:lang w:eastAsia="en-AU"/>
              </w:rPr>
            </w:pPr>
          </w:p>
          <w:p w14:paraId="570489A3" w14:textId="37DAFA0C" w:rsidR="00C7535C" w:rsidRP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2.  General practitioner (GP) training</w:t>
            </w:r>
          </w:p>
        </w:tc>
        <w:tc>
          <w:tcPr>
            <w:tcW w:w="10420" w:type="dxa"/>
            <w:tcBorders>
              <w:top w:val="nil"/>
              <w:left w:val="nil"/>
              <w:bottom w:val="nil"/>
              <w:right w:val="nil"/>
            </w:tcBorders>
            <w:shd w:val="clear" w:color="auto" w:fill="auto"/>
            <w:hideMark/>
          </w:tcPr>
          <w:p w14:paraId="053E519F" w14:textId="77777777" w:rsidR="006E4286" w:rsidRDefault="006E4286" w:rsidP="00C7535C">
            <w:pPr>
              <w:spacing w:line="240" w:lineRule="auto"/>
              <w:rPr>
                <w:rFonts w:ascii="Times New Roman" w:eastAsia="Times New Roman" w:hAnsi="Times New Roman"/>
                <w:color w:val="000000"/>
                <w:sz w:val="17"/>
                <w:szCs w:val="17"/>
                <w:lang w:eastAsia="en-AU"/>
              </w:rPr>
            </w:pPr>
          </w:p>
          <w:p w14:paraId="701FF0D9" w14:textId="77777777" w:rsid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Short (1-2 days) training programs aimed at reducing suicidal ideation through referral to specialised psychiatric services. This includes people who may be thinking about suicide for the first time or have survived a previous attempt.</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t>Parameters determining the direct effects of this intervention are:</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Maximum training rate</w:t>
            </w:r>
            <w:r w:rsidRPr="00C7535C">
              <w:rPr>
                <w:rFonts w:ascii="Times New Roman" w:eastAsia="Times New Roman" w:hAnsi="Times New Roman"/>
                <w:color w:val="000000"/>
                <w:sz w:val="17"/>
                <w:szCs w:val="17"/>
                <w:lang w:eastAsia="en-AU"/>
              </w:rPr>
              <w:t xml:space="preserve"> – the maximum proportion of mental health-related GP services provided by GPs who have attended a training program (this value increases as the number of GPs attending training programs increases). The default value (0.7) implies that at most 70% of mental health-related GP services will be provided by a GP who has attended a training program.</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GP training effect</w:t>
            </w:r>
            <w:r w:rsidRPr="00C7535C">
              <w:rPr>
                <w:rFonts w:ascii="Times New Roman" w:eastAsia="Times New Roman" w:hAnsi="Times New Roman"/>
                <w:color w:val="000000"/>
                <w:sz w:val="17"/>
                <w:szCs w:val="17"/>
                <w:lang w:eastAsia="en-AU"/>
              </w:rPr>
              <w:t xml:space="preserve"> – the multiplicative effect of GP training on the rate of referral to psychiatrist and allied mental health services. The default value (1.4375) implies that GPs who have received training are 1.44 times more likely to refer patients with high or very high levels of psychological </w:t>
            </w:r>
            <w:r w:rsidRPr="00C7535C">
              <w:rPr>
                <w:rFonts w:ascii="Times New Roman" w:eastAsia="Times New Roman" w:hAnsi="Times New Roman"/>
                <w:color w:val="000000"/>
                <w:sz w:val="17"/>
                <w:szCs w:val="17"/>
                <w:lang w:eastAsia="en-AU"/>
              </w:rPr>
              <w:lastRenderedPageBreak/>
              <w:t>distress (Kessler 10 scores 22 and above) than a GP who has not received training. The default estimate is derived from Pfaff et al. (2001, Med. J. Aust. 174, 222-226).</w:t>
            </w:r>
          </w:p>
          <w:p w14:paraId="642121B5" w14:textId="42CDE6E6" w:rsidR="006E4286" w:rsidRPr="00C7535C" w:rsidRDefault="006E4286" w:rsidP="00C7535C">
            <w:pPr>
              <w:spacing w:line="240" w:lineRule="auto"/>
              <w:rPr>
                <w:rFonts w:ascii="Times New Roman" w:eastAsia="Times New Roman" w:hAnsi="Times New Roman"/>
                <w:color w:val="000000"/>
                <w:sz w:val="17"/>
                <w:szCs w:val="17"/>
                <w:lang w:eastAsia="en-AU"/>
              </w:rPr>
            </w:pPr>
          </w:p>
        </w:tc>
      </w:tr>
      <w:tr w:rsidR="00C7535C" w:rsidRPr="00C7535C" w14:paraId="7F7BE9C4" w14:textId="77777777" w:rsidTr="00C7535C">
        <w:tc>
          <w:tcPr>
            <w:tcW w:w="3500" w:type="dxa"/>
            <w:tcBorders>
              <w:top w:val="nil"/>
              <w:left w:val="nil"/>
              <w:bottom w:val="nil"/>
              <w:right w:val="nil"/>
            </w:tcBorders>
            <w:shd w:val="clear" w:color="000000" w:fill="F2F2F2"/>
            <w:hideMark/>
          </w:tcPr>
          <w:p w14:paraId="6A39E4C6" w14:textId="77777777" w:rsidR="006E4286" w:rsidRDefault="006E4286" w:rsidP="00C7535C">
            <w:pPr>
              <w:spacing w:line="240" w:lineRule="auto"/>
              <w:rPr>
                <w:rFonts w:ascii="Times New Roman" w:eastAsia="Times New Roman" w:hAnsi="Times New Roman"/>
                <w:color w:val="000000"/>
                <w:sz w:val="17"/>
                <w:szCs w:val="17"/>
                <w:lang w:eastAsia="en-AU"/>
              </w:rPr>
            </w:pPr>
          </w:p>
          <w:p w14:paraId="1B9CE445" w14:textId="1467B93C" w:rsidR="00C7535C" w:rsidRP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3.  Community-based education programs</w:t>
            </w:r>
          </w:p>
        </w:tc>
        <w:tc>
          <w:tcPr>
            <w:tcW w:w="10420" w:type="dxa"/>
            <w:tcBorders>
              <w:top w:val="nil"/>
              <w:left w:val="nil"/>
              <w:bottom w:val="nil"/>
              <w:right w:val="nil"/>
            </w:tcBorders>
            <w:shd w:val="clear" w:color="000000" w:fill="F2F2F2"/>
            <w:hideMark/>
          </w:tcPr>
          <w:p w14:paraId="0B05C206" w14:textId="77777777" w:rsidR="006E4286" w:rsidRDefault="006E4286" w:rsidP="00C7535C">
            <w:pPr>
              <w:spacing w:line="240" w:lineRule="auto"/>
              <w:rPr>
                <w:rFonts w:ascii="Times New Roman" w:eastAsia="Times New Roman" w:hAnsi="Times New Roman"/>
                <w:color w:val="000000"/>
                <w:sz w:val="17"/>
                <w:szCs w:val="17"/>
                <w:lang w:eastAsia="en-AU"/>
              </w:rPr>
            </w:pPr>
          </w:p>
          <w:p w14:paraId="1C6EA478" w14:textId="77777777" w:rsid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Population-wide mental health education programs aimed at reducing stigma, improving recognition of suicide risk, and encouraging help-seeking.  This intervention increases the per capita rates at which people perceive a need for mental health services and seek help from a general practitioner or online services.</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t>Parameters determining the direct effects of this intervention are:</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Effect on help seeking</w:t>
            </w:r>
            <w:r w:rsidRPr="00C7535C">
              <w:rPr>
                <w:rFonts w:ascii="Times New Roman" w:eastAsia="Times New Roman" w:hAnsi="Times New Roman"/>
                <w:color w:val="000000"/>
                <w:sz w:val="17"/>
                <w:szCs w:val="17"/>
                <w:lang w:eastAsia="en-AU"/>
              </w:rPr>
              <w:t xml:space="preserve"> – the multiplicative effect of community-based education programs on the rate (per year) that a psychologically-distressed person not engaged with mental health services will perceive a need for treatment and the rate that a person perceiving a need for care will seek help from a GP or online services.  The default value (1.585) is derived from </w:t>
            </w:r>
            <w:proofErr w:type="spellStart"/>
            <w:r w:rsidRPr="00C7535C">
              <w:rPr>
                <w:rFonts w:ascii="Times New Roman" w:eastAsia="Times New Roman" w:hAnsi="Times New Roman"/>
                <w:color w:val="000000"/>
                <w:sz w:val="17"/>
                <w:szCs w:val="17"/>
                <w:lang w:eastAsia="en-AU"/>
              </w:rPr>
              <w:t>Jorm</w:t>
            </w:r>
            <w:proofErr w:type="spellEnd"/>
            <w:r w:rsidRPr="00C7535C">
              <w:rPr>
                <w:rFonts w:ascii="Times New Roman" w:eastAsia="Times New Roman" w:hAnsi="Times New Roman"/>
                <w:color w:val="000000"/>
                <w:sz w:val="17"/>
                <w:szCs w:val="17"/>
                <w:lang w:eastAsia="en-AU"/>
              </w:rPr>
              <w:t xml:space="preserve"> et al. (2003, Psychol. Med. 33, 1071-1079), and assumes that awareness campaigns will increase the rate of help seeking for mental health problems by 58.5%.</w:t>
            </w:r>
          </w:p>
          <w:p w14:paraId="6CEDF278" w14:textId="76F126E9" w:rsidR="006E4286" w:rsidRPr="00C7535C" w:rsidRDefault="006E4286" w:rsidP="00C7535C">
            <w:pPr>
              <w:spacing w:line="240" w:lineRule="auto"/>
              <w:rPr>
                <w:rFonts w:ascii="Times New Roman" w:eastAsia="Times New Roman" w:hAnsi="Times New Roman"/>
                <w:color w:val="000000"/>
                <w:sz w:val="17"/>
                <w:szCs w:val="17"/>
                <w:lang w:eastAsia="en-AU"/>
              </w:rPr>
            </w:pPr>
          </w:p>
        </w:tc>
      </w:tr>
      <w:tr w:rsidR="00C7535C" w:rsidRPr="00C7535C" w14:paraId="45139334" w14:textId="77777777" w:rsidTr="00C7535C">
        <w:tc>
          <w:tcPr>
            <w:tcW w:w="3500" w:type="dxa"/>
            <w:tcBorders>
              <w:top w:val="nil"/>
              <w:left w:val="nil"/>
              <w:bottom w:val="nil"/>
              <w:right w:val="nil"/>
            </w:tcBorders>
            <w:shd w:val="clear" w:color="auto" w:fill="auto"/>
            <w:hideMark/>
          </w:tcPr>
          <w:p w14:paraId="635541DC" w14:textId="77777777" w:rsidR="006E4286" w:rsidRDefault="006E4286" w:rsidP="00C7535C">
            <w:pPr>
              <w:spacing w:line="240" w:lineRule="auto"/>
              <w:rPr>
                <w:rFonts w:ascii="Times New Roman" w:eastAsia="Times New Roman" w:hAnsi="Times New Roman"/>
                <w:color w:val="000000"/>
                <w:sz w:val="17"/>
                <w:szCs w:val="17"/>
                <w:lang w:eastAsia="en-AU"/>
              </w:rPr>
            </w:pPr>
          </w:p>
          <w:p w14:paraId="4FC3EDED" w14:textId="5BA851C1" w:rsidR="00C7535C" w:rsidRP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4.  Family psychoeducation and support</w:t>
            </w:r>
          </w:p>
        </w:tc>
        <w:tc>
          <w:tcPr>
            <w:tcW w:w="10420" w:type="dxa"/>
            <w:tcBorders>
              <w:top w:val="nil"/>
              <w:left w:val="nil"/>
              <w:bottom w:val="nil"/>
              <w:right w:val="nil"/>
            </w:tcBorders>
            <w:shd w:val="clear" w:color="auto" w:fill="auto"/>
            <w:hideMark/>
          </w:tcPr>
          <w:p w14:paraId="3B2002B2" w14:textId="77777777" w:rsidR="006E4286" w:rsidRDefault="006E4286" w:rsidP="00C7535C">
            <w:pPr>
              <w:spacing w:line="240" w:lineRule="auto"/>
              <w:rPr>
                <w:rFonts w:ascii="Times New Roman" w:eastAsia="Times New Roman" w:hAnsi="Times New Roman"/>
                <w:color w:val="000000"/>
                <w:sz w:val="17"/>
                <w:szCs w:val="17"/>
                <w:lang w:eastAsia="en-AU"/>
              </w:rPr>
            </w:pPr>
          </w:p>
          <w:p w14:paraId="5FEA7E54" w14:textId="77777777" w:rsid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Provision of education and support to families and carers of patients presenting to or engaged with mental health services, with the aim of supporting family or carer involvement in the management of diagnosed mental disorders.</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t>Parameters determining the direct effects of this intervention are:</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Maximum rate per patient</w:t>
            </w:r>
            <w:r w:rsidRPr="00C7535C">
              <w:rPr>
                <w:rFonts w:ascii="Times New Roman" w:eastAsia="Times New Roman" w:hAnsi="Times New Roman"/>
                <w:color w:val="000000"/>
                <w:sz w:val="17"/>
                <w:szCs w:val="17"/>
                <w:lang w:eastAsia="en-AU"/>
              </w:rPr>
              <w:t xml:space="preserve"> – the maximum proportion of patients with a chronic mental disorder who would consent to having their family involved in the management of their care. The default value (0.553) implies that family education and support would be provided to a maximum of 55.3% of patients with a chronic mental disorder, and is derived from Shimazu et al. (2011, Br. J Psychiatry 198, 385-390).</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Effect on recovery rate</w:t>
            </w:r>
            <w:r w:rsidRPr="00C7535C">
              <w:rPr>
                <w:rFonts w:ascii="Times New Roman" w:eastAsia="Times New Roman" w:hAnsi="Times New Roman"/>
                <w:color w:val="000000"/>
                <w:sz w:val="17"/>
                <w:szCs w:val="17"/>
                <w:lang w:eastAsia="en-AU"/>
              </w:rPr>
              <w:t xml:space="preserve"> – the multiplicative effect of family education and support on the recovery rate among patients with a chronic mental disorder treated by a GP, psychiatrist, or allied mental health professional. The default value (2.52) is derived from Shimazu et al. (2011, Br. J Psychiatry 198, 385-390), and implies that family education and support increase the per-service probability of recovery by a factor of 2.5.</w:t>
            </w:r>
          </w:p>
          <w:p w14:paraId="2A8B8254" w14:textId="561432B7" w:rsidR="006E4286" w:rsidRPr="00C7535C" w:rsidRDefault="006E4286" w:rsidP="00C7535C">
            <w:pPr>
              <w:spacing w:line="240" w:lineRule="auto"/>
              <w:rPr>
                <w:rFonts w:ascii="Times New Roman" w:eastAsia="Times New Roman" w:hAnsi="Times New Roman"/>
                <w:color w:val="000000"/>
                <w:sz w:val="17"/>
                <w:szCs w:val="17"/>
                <w:lang w:eastAsia="en-AU"/>
              </w:rPr>
            </w:pPr>
          </w:p>
        </w:tc>
      </w:tr>
      <w:tr w:rsidR="00C7535C" w:rsidRPr="00C7535C" w14:paraId="3E8AD8B9" w14:textId="77777777" w:rsidTr="00C7535C">
        <w:tc>
          <w:tcPr>
            <w:tcW w:w="3500" w:type="dxa"/>
            <w:tcBorders>
              <w:top w:val="nil"/>
              <w:left w:val="nil"/>
              <w:bottom w:val="nil"/>
              <w:right w:val="nil"/>
            </w:tcBorders>
            <w:shd w:val="clear" w:color="000000" w:fill="F2F2F2"/>
            <w:hideMark/>
          </w:tcPr>
          <w:p w14:paraId="2E70A0D0" w14:textId="77777777" w:rsidR="006E4286" w:rsidRDefault="006E4286" w:rsidP="00C7535C">
            <w:pPr>
              <w:spacing w:line="240" w:lineRule="auto"/>
              <w:rPr>
                <w:rFonts w:ascii="Times New Roman" w:eastAsia="Times New Roman" w:hAnsi="Times New Roman"/>
                <w:color w:val="000000"/>
                <w:sz w:val="17"/>
                <w:szCs w:val="17"/>
                <w:lang w:eastAsia="en-AU"/>
              </w:rPr>
            </w:pPr>
          </w:p>
          <w:p w14:paraId="1B02FEB2" w14:textId="41FD5347" w:rsidR="00C7535C" w:rsidRP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5.  Safety planning</w:t>
            </w:r>
          </w:p>
        </w:tc>
        <w:tc>
          <w:tcPr>
            <w:tcW w:w="10420" w:type="dxa"/>
            <w:tcBorders>
              <w:top w:val="nil"/>
              <w:left w:val="nil"/>
              <w:bottom w:val="nil"/>
              <w:right w:val="nil"/>
            </w:tcBorders>
            <w:shd w:val="clear" w:color="000000" w:fill="F2F2F2"/>
            <w:hideMark/>
          </w:tcPr>
          <w:p w14:paraId="7CA851A4" w14:textId="77777777" w:rsidR="006E4286" w:rsidRDefault="006E4286" w:rsidP="00C7535C">
            <w:pPr>
              <w:spacing w:line="240" w:lineRule="auto"/>
              <w:rPr>
                <w:rFonts w:ascii="Times New Roman" w:eastAsia="Times New Roman" w:hAnsi="Times New Roman"/>
                <w:color w:val="000000"/>
                <w:sz w:val="17"/>
                <w:szCs w:val="17"/>
                <w:lang w:eastAsia="en-AU"/>
              </w:rPr>
            </w:pPr>
          </w:p>
          <w:p w14:paraId="1FBCFD37" w14:textId="77777777" w:rsid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Safety planning aims to reduce suicidal behaviour through the provision of a specific plan for staying safe during crisis to suicidal patients presenting to an emergency department. The modelled intervention also includes up to 2 follow-up phone calls to monitor suicide risk and support treatment engagement (see Stanley et al., 2018, JAMA Psychiatry 75, 894-900).</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t>Parameters determining the direct effects of this intervention are:</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Maximum rate per ED visit</w:t>
            </w:r>
            <w:r w:rsidRPr="00C7535C">
              <w:rPr>
                <w:rFonts w:ascii="Times New Roman" w:eastAsia="Times New Roman" w:hAnsi="Times New Roman"/>
                <w:color w:val="000000"/>
                <w:sz w:val="17"/>
                <w:szCs w:val="17"/>
                <w:lang w:eastAsia="en-AU"/>
              </w:rPr>
              <w:t xml:space="preserve"> – the maximum proportion of suicide-related emergency department presentations in which a safety plan is provided. The default value (0.7) assumes that a safety plan is provided to 70% of patients presenting to an emergency department for suicidal ideation or behaviour.</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Effect on self-harm rate</w:t>
            </w:r>
            <w:r w:rsidRPr="00C7535C">
              <w:rPr>
                <w:rFonts w:ascii="Times New Roman" w:eastAsia="Times New Roman" w:hAnsi="Times New Roman"/>
                <w:color w:val="000000"/>
                <w:sz w:val="17"/>
                <w:szCs w:val="17"/>
                <w:lang w:eastAsia="en-AU"/>
              </w:rPr>
              <w:t xml:space="preserve"> – the proportion of potential re-presentations for suicidal ideation or behaviour expected among patients provided with a safety plan. The default value (0.847) implies that 84.7% of suicide-related re-presentations that would have occurred without safety planning actually occur when a safety plan is provided; i.e., safety planning is assumed to prevent 15.3% of potential re-presentations for suicidal ideation or behaviour. The default value is derived from Miller et al. (2017, JAMA Psychiatry 74, 563-570). </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Effect duration (weeks)</w:t>
            </w:r>
            <w:r w:rsidRPr="00C7535C">
              <w:rPr>
                <w:rFonts w:ascii="Times New Roman" w:eastAsia="Times New Roman" w:hAnsi="Times New Roman"/>
                <w:color w:val="000000"/>
                <w:sz w:val="17"/>
                <w:szCs w:val="17"/>
                <w:lang w:eastAsia="en-AU"/>
              </w:rPr>
              <w:t xml:space="preserve"> – the average time in weeks after a suicide-related emergency department presentation that safety planning has an effect on </w:t>
            </w:r>
            <w:r w:rsidRPr="00C7535C">
              <w:rPr>
                <w:rFonts w:ascii="Times New Roman" w:eastAsia="Times New Roman" w:hAnsi="Times New Roman"/>
                <w:color w:val="000000"/>
                <w:sz w:val="17"/>
                <w:szCs w:val="17"/>
                <w:lang w:eastAsia="en-AU"/>
              </w:rPr>
              <w:lastRenderedPageBreak/>
              <w:t>the probability of re-presentations for suicidal ideation or behaviour (the default is 8 weeks).</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Re-presentation rate per year</w:t>
            </w:r>
            <w:r w:rsidRPr="00C7535C">
              <w:rPr>
                <w:rFonts w:ascii="Times New Roman" w:eastAsia="Times New Roman" w:hAnsi="Times New Roman"/>
                <w:color w:val="000000"/>
                <w:sz w:val="17"/>
                <w:szCs w:val="17"/>
                <w:lang w:eastAsia="en-AU"/>
              </w:rPr>
              <w:t xml:space="preserve"> – the expected number of re-presentations for suicidal ideation or behaviour in the year after an initial suicide-related emergency department attendance. The default value (3.84) is derived from Perera et al. (2018, Med. J. Aust. 208, 348-353), and implies that in the year after presenting to an emergency department for suicidal ideation or behaviour, patients will re-present 3.8 times (on average).</w:t>
            </w:r>
          </w:p>
          <w:p w14:paraId="5CF1AD1B" w14:textId="6051086C" w:rsidR="006E4286" w:rsidRPr="00C7535C" w:rsidRDefault="006E4286" w:rsidP="00C7535C">
            <w:pPr>
              <w:spacing w:line="240" w:lineRule="auto"/>
              <w:rPr>
                <w:rFonts w:ascii="Times New Roman" w:eastAsia="Times New Roman" w:hAnsi="Times New Roman"/>
                <w:color w:val="000000"/>
                <w:sz w:val="17"/>
                <w:szCs w:val="17"/>
                <w:lang w:eastAsia="en-AU"/>
              </w:rPr>
            </w:pPr>
          </w:p>
        </w:tc>
      </w:tr>
      <w:tr w:rsidR="00C7535C" w:rsidRPr="00C7535C" w14:paraId="5A63AB7B" w14:textId="77777777" w:rsidTr="00C7535C">
        <w:tc>
          <w:tcPr>
            <w:tcW w:w="3500" w:type="dxa"/>
            <w:tcBorders>
              <w:top w:val="nil"/>
              <w:left w:val="nil"/>
              <w:bottom w:val="nil"/>
              <w:right w:val="nil"/>
            </w:tcBorders>
            <w:shd w:val="clear" w:color="auto" w:fill="auto"/>
            <w:hideMark/>
          </w:tcPr>
          <w:p w14:paraId="343C0DFD" w14:textId="77777777" w:rsidR="006E4286" w:rsidRDefault="006E4286" w:rsidP="00C7535C">
            <w:pPr>
              <w:spacing w:line="240" w:lineRule="auto"/>
              <w:rPr>
                <w:rFonts w:ascii="Times New Roman" w:eastAsia="Times New Roman" w:hAnsi="Times New Roman"/>
                <w:color w:val="000000"/>
                <w:sz w:val="17"/>
                <w:szCs w:val="17"/>
                <w:lang w:eastAsia="en-AU"/>
              </w:rPr>
            </w:pPr>
          </w:p>
          <w:p w14:paraId="6FA90AF8" w14:textId="3E2889D2" w:rsidR="00C7535C" w:rsidRP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6.  Safe space services</w:t>
            </w:r>
          </w:p>
        </w:tc>
        <w:tc>
          <w:tcPr>
            <w:tcW w:w="10420" w:type="dxa"/>
            <w:tcBorders>
              <w:top w:val="nil"/>
              <w:left w:val="nil"/>
              <w:bottom w:val="nil"/>
              <w:right w:val="nil"/>
            </w:tcBorders>
            <w:shd w:val="clear" w:color="auto" w:fill="auto"/>
            <w:hideMark/>
          </w:tcPr>
          <w:p w14:paraId="43E4DE14" w14:textId="77777777" w:rsidR="006E4286" w:rsidRDefault="006E4286" w:rsidP="00C7535C">
            <w:pPr>
              <w:spacing w:line="240" w:lineRule="auto"/>
              <w:rPr>
                <w:rFonts w:ascii="Times New Roman" w:eastAsia="Times New Roman" w:hAnsi="Times New Roman"/>
                <w:color w:val="000000"/>
                <w:sz w:val="17"/>
                <w:szCs w:val="17"/>
                <w:lang w:eastAsia="en-AU"/>
              </w:rPr>
            </w:pPr>
          </w:p>
          <w:p w14:paraId="0F269C20" w14:textId="77777777" w:rsid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Based on the United Kingdom’s Safe Haven café model, this intervention provides an alternative point of contact with mental health services for people experiencing acute psychological distress who may otherwise present to an emergency department.</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t>Parameters determining the direct effects of this intervention are:</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Maximum self-referral rate</w:t>
            </w:r>
            <w:r w:rsidRPr="00C7535C">
              <w:rPr>
                <w:rFonts w:ascii="Times New Roman" w:eastAsia="Times New Roman" w:hAnsi="Times New Roman"/>
                <w:color w:val="000000"/>
                <w:sz w:val="17"/>
                <w:szCs w:val="17"/>
                <w:lang w:eastAsia="en-AU"/>
              </w:rPr>
              <w:t xml:space="preserve"> – the maximum proportion of people presenting to emergency departments for suicidal ideation or behaviour who would self-refer to a safe space alternative (i.e., if it were made available). The default value (0.7) assumes that 70% of people in suicidal crisis who would normally present to an emergency department would present to a safe space alternative instead.</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Effect on self-harm rate</w:t>
            </w:r>
            <w:r w:rsidRPr="00C7535C">
              <w:rPr>
                <w:rFonts w:ascii="Times New Roman" w:eastAsia="Times New Roman" w:hAnsi="Times New Roman"/>
                <w:color w:val="000000"/>
                <w:sz w:val="17"/>
                <w:szCs w:val="17"/>
                <w:lang w:eastAsia="en-AU"/>
              </w:rPr>
              <w:t xml:space="preserve"> – the proportion of potential re-presentations for suicidal ideation or behaviour expected among patients referred to a safe space service. The default value (0.398) implies that 39.8% of re-presentations that would have occurred if a person in crisis was treated in an emergency department actually occur when care is provided in a safe space alternative; i.e., care in a safe space alternative is assumed to prevent 60.2% of potential re-presentations for suicidal ideation or behaviour. The default value is derived from </w:t>
            </w:r>
            <w:proofErr w:type="spellStart"/>
            <w:r w:rsidRPr="00C7535C">
              <w:rPr>
                <w:rFonts w:ascii="Times New Roman" w:eastAsia="Times New Roman" w:hAnsi="Times New Roman"/>
                <w:color w:val="000000"/>
                <w:sz w:val="17"/>
                <w:szCs w:val="17"/>
                <w:lang w:eastAsia="en-AU"/>
              </w:rPr>
              <w:t>Hvid</w:t>
            </w:r>
            <w:proofErr w:type="spellEnd"/>
            <w:r w:rsidRPr="00C7535C">
              <w:rPr>
                <w:rFonts w:ascii="Times New Roman" w:eastAsia="Times New Roman" w:hAnsi="Times New Roman"/>
                <w:color w:val="000000"/>
                <w:sz w:val="17"/>
                <w:szCs w:val="17"/>
                <w:lang w:eastAsia="en-AU"/>
              </w:rPr>
              <w:t xml:space="preserve"> et al. (2011, Nord. J. Psychiatry 65, 292-298). (Note that the default value is the estimated effect of post-attempt care on the repeat self-harm rate, but that the duration of effect of safe space care is assumed to be much shorter than that of post-attempt care.)</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Effect duration (weeks)</w:t>
            </w:r>
            <w:r w:rsidRPr="00C7535C">
              <w:rPr>
                <w:rFonts w:ascii="Times New Roman" w:eastAsia="Times New Roman" w:hAnsi="Times New Roman"/>
                <w:color w:val="000000"/>
                <w:sz w:val="17"/>
                <w:szCs w:val="17"/>
                <w:lang w:eastAsia="en-AU"/>
              </w:rPr>
              <w:t xml:space="preserve"> – the average time in weeks that care provided in a safe space service has an effect on the probability of repeat episodes of suicidal ideation or behaviour (the default value is 2 weeks).</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Re-presentation rate per year</w:t>
            </w:r>
            <w:r w:rsidRPr="00C7535C">
              <w:rPr>
                <w:rFonts w:ascii="Times New Roman" w:eastAsia="Times New Roman" w:hAnsi="Times New Roman"/>
                <w:color w:val="000000"/>
                <w:sz w:val="17"/>
                <w:szCs w:val="17"/>
                <w:lang w:eastAsia="en-AU"/>
              </w:rPr>
              <w:t xml:space="preserve"> – the expected number of re-presentations for suicidal ideation or behaviour in the year after an initial suicide-related emergency department attendance. The default value (3.84) is derived from Perera et al. (2018, Med. J. Aust. 208, 348-353), and implies that in the year after presenting to an emergency department for suicidal ideation or behaviour, patients will re-present 3.8 times (on average).</w:t>
            </w:r>
          </w:p>
          <w:p w14:paraId="4316BD29" w14:textId="7EF16E6F" w:rsidR="006E4286" w:rsidRPr="00C7535C" w:rsidRDefault="006E4286" w:rsidP="00C7535C">
            <w:pPr>
              <w:spacing w:line="240" w:lineRule="auto"/>
              <w:rPr>
                <w:rFonts w:ascii="Times New Roman" w:eastAsia="Times New Roman" w:hAnsi="Times New Roman"/>
                <w:color w:val="000000"/>
                <w:sz w:val="17"/>
                <w:szCs w:val="17"/>
                <w:lang w:eastAsia="en-AU"/>
              </w:rPr>
            </w:pPr>
          </w:p>
        </w:tc>
      </w:tr>
      <w:tr w:rsidR="00C7535C" w:rsidRPr="00C7535C" w14:paraId="2A060C69" w14:textId="77777777" w:rsidTr="00C7535C">
        <w:tc>
          <w:tcPr>
            <w:tcW w:w="3500" w:type="dxa"/>
            <w:tcBorders>
              <w:top w:val="nil"/>
              <w:left w:val="nil"/>
              <w:bottom w:val="nil"/>
              <w:right w:val="nil"/>
            </w:tcBorders>
            <w:shd w:val="clear" w:color="000000" w:fill="F2F2F2"/>
            <w:hideMark/>
          </w:tcPr>
          <w:p w14:paraId="56ADB47E" w14:textId="77777777" w:rsidR="006E4286" w:rsidRDefault="006E4286" w:rsidP="00C7535C">
            <w:pPr>
              <w:spacing w:line="240" w:lineRule="auto"/>
              <w:rPr>
                <w:rFonts w:ascii="Times New Roman" w:eastAsia="Times New Roman" w:hAnsi="Times New Roman"/>
                <w:color w:val="000000"/>
                <w:sz w:val="17"/>
                <w:szCs w:val="17"/>
                <w:lang w:eastAsia="en-AU"/>
              </w:rPr>
            </w:pPr>
          </w:p>
          <w:p w14:paraId="3CB66281" w14:textId="57403E95" w:rsidR="00C7535C" w:rsidRP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7.  Social connectedness programs</w:t>
            </w:r>
          </w:p>
        </w:tc>
        <w:tc>
          <w:tcPr>
            <w:tcW w:w="10420" w:type="dxa"/>
            <w:tcBorders>
              <w:top w:val="nil"/>
              <w:left w:val="nil"/>
              <w:bottom w:val="nil"/>
              <w:right w:val="nil"/>
            </w:tcBorders>
            <w:shd w:val="clear" w:color="000000" w:fill="F2F2F2"/>
            <w:hideMark/>
          </w:tcPr>
          <w:p w14:paraId="4409D7D4" w14:textId="77777777" w:rsidR="006E4286" w:rsidRDefault="006E4286" w:rsidP="00C7535C">
            <w:pPr>
              <w:spacing w:line="240" w:lineRule="auto"/>
              <w:rPr>
                <w:rFonts w:ascii="Times New Roman" w:eastAsia="Times New Roman" w:hAnsi="Times New Roman"/>
                <w:color w:val="000000"/>
                <w:sz w:val="17"/>
                <w:szCs w:val="17"/>
                <w:lang w:eastAsia="en-AU"/>
              </w:rPr>
            </w:pPr>
          </w:p>
          <w:p w14:paraId="30F2E7C0" w14:textId="77777777" w:rsid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Community support programs and services that increase social connectedness, reducing isolation and enhancing resilience in the face of adversity.</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t>Parameters determining the direct effects of this intervention are:</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Sense of Community Index target</w:t>
            </w:r>
            <w:r w:rsidRPr="00C7535C">
              <w:rPr>
                <w:rFonts w:ascii="Times New Roman" w:eastAsia="Times New Roman" w:hAnsi="Times New Roman"/>
                <w:color w:val="000000"/>
                <w:sz w:val="17"/>
                <w:szCs w:val="17"/>
                <w:lang w:eastAsia="en-AU"/>
              </w:rPr>
              <w:t xml:space="preserve"> – the maximum Sense of Community Index (SCI) that could be achieved with the planned social connectedness program(s), where the SCI ranges from 0 to 12, with 12 corresponding to the highest possible sense of community (see </w:t>
            </w:r>
            <w:proofErr w:type="spellStart"/>
            <w:r w:rsidRPr="00C7535C">
              <w:rPr>
                <w:rFonts w:ascii="Times New Roman" w:eastAsia="Times New Roman" w:hAnsi="Times New Roman"/>
                <w:color w:val="000000"/>
                <w:sz w:val="17"/>
                <w:szCs w:val="17"/>
                <w:lang w:eastAsia="en-AU"/>
              </w:rPr>
              <w:t>Chipuer</w:t>
            </w:r>
            <w:proofErr w:type="spellEnd"/>
            <w:r w:rsidRPr="00C7535C">
              <w:rPr>
                <w:rFonts w:ascii="Times New Roman" w:eastAsia="Times New Roman" w:hAnsi="Times New Roman"/>
                <w:color w:val="000000"/>
                <w:sz w:val="17"/>
                <w:szCs w:val="17"/>
                <w:lang w:eastAsia="en-AU"/>
              </w:rPr>
              <w:t xml:space="preserve"> and Pretty, 1999, J. Community Psychol. 27, 643-658).  The default value (9.61) corresponds to an increase in the SCI (relative to the baseline value, 9.15) of 5% (Handley et al., 2012, Soc. Psychiatry </w:t>
            </w:r>
            <w:proofErr w:type="spellStart"/>
            <w:r w:rsidRPr="00C7535C">
              <w:rPr>
                <w:rFonts w:ascii="Times New Roman" w:eastAsia="Times New Roman" w:hAnsi="Times New Roman"/>
                <w:color w:val="000000"/>
                <w:sz w:val="17"/>
                <w:szCs w:val="17"/>
                <w:lang w:eastAsia="en-AU"/>
              </w:rPr>
              <w:t>Psychiatr</w:t>
            </w:r>
            <w:proofErr w:type="spellEnd"/>
            <w:r w:rsidRPr="00C7535C">
              <w:rPr>
                <w:rFonts w:ascii="Times New Roman" w:eastAsia="Times New Roman" w:hAnsi="Times New Roman"/>
                <w:color w:val="000000"/>
                <w:sz w:val="17"/>
                <w:szCs w:val="17"/>
                <w:lang w:eastAsia="en-AU"/>
              </w:rPr>
              <w:t>. Epidemiol. 47, 1281-1290).</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Effect on distress</w:t>
            </w:r>
            <w:r w:rsidRPr="00C7535C">
              <w:rPr>
                <w:rFonts w:ascii="Times New Roman" w:eastAsia="Times New Roman" w:hAnsi="Times New Roman"/>
                <w:color w:val="000000"/>
                <w:sz w:val="17"/>
                <w:szCs w:val="17"/>
                <w:lang w:eastAsia="en-AU"/>
              </w:rPr>
              <w:t xml:space="preserve"> – the multiplicative effect of a 1-unit increase in the SCI on distress onset rates.  The default value (0.640) is derived from Handley et al. (2012, Soc. Psychiatry </w:t>
            </w:r>
            <w:proofErr w:type="spellStart"/>
            <w:r w:rsidRPr="00C7535C">
              <w:rPr>
                <w:rFonts w:ascii="Times New Roman" w:eastAsia="Times New Roman" w:hAnsi="Times New Roman"/>
                <w:color w:val="000000"/>
                <w:sz w:val="17"/>
                <w:szCs w:val="17"/>
                <w:lang w:eastAsia="en-AU"/>
              </w:rPr>
              <w:t>Psychiatr</w:t>
            </w:r>
            <w:proofErr w:type="spellEnd"/>
            <w:r w:rsidRPr="00C7535C">
              <w:rPr>
                <w:rFonts w:ascii="Times New Roman" w:eastAsia="Times New Roman" w:hAnsi="Times New Roman"/>
                <w:color w:val="000000"/>
                <w:sz w:val="17"/>
                <w:szCs w:val="17"/>
                <w:lang w:eastAsia="en-AU"/>
              </w:rPr>
              <w:t>. Epidemiol. 47, 1281-1290), and implies that a 1-unit increase in the SCI reduces the rate at which people become psychologically distressed by 36.0%.</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Effect on attempt lethality</w:t>
            </w:r>
            <w:r w:rsidRPr="00C7535C">
              <w:rPr>
                <w:rFonts w:ascii="Times New Roman" w:eastAsia="Times New Roman" w:hAnsi="Times New Roman"/>
                <w:color w:val="000000"/>
                <w:sz w:val="17"/>
                <w:szCs w:val="17"/>
                <w:lang w:eastAsia="en-AU"/>
              </w:rPr>
              <w:t xml:space="preserve"> – the multiplicative effect of a 1-unit increase in the SCI on suicide attempt lethality.  The default value (0.964) assumes that an increase in the SCI from its baseline value (9.15) to 12 would reduce suicide attempt lethality by 10%.</w:t>
            </w:r>
          </w:p>
          <w:p w14:paraId="3BEDBA04" w14:textId="48A9B0DD" w:rsidR="006E4286" w:rsidRPr="00C7535C" w:rsidRDefault="006E4286" w:rsidP="00C7535C">
            <w:pPr>
              <w:spacing w:line="240" w:lineRule="auto"/>
              <w:rPr>
                <w:rFonts w:ascii="Times New Roman" w:eastAsia="Times New Roman" w:hAnsi="Times New Roman"/>
                <w:color w:val="000000"/>
                <w:sz w:val="17"/>
                <w:szCs w:val="17"/>
                <w:lang w:eastAsia="en-AU"/>
              </w:rPr>
            </w:pPr>
          </w:p>
        </w:tc>
      </w:tr>
      <w:tr w:rsidR="00C7535C" w:rsidRPr="00C7535C" w14:paraId="7690B153" w14:textId="77777777" w:rsidTr="00C7535C">
        <w:tc>
          <w:tcPr>
            <w:tcW w:w="3500" w:type="dxa"/>
            <w:tcBorders>
              <w:top w:val="nil"/>
              <w:left w:val="nil"/>
              <w:bottom w:val="nil"/>
              <w:right w:val="nil"/>
            </w:tcBorders>
            <w:shd w:val="clear" w:color="auto" w:fill="auto"/>
            <w:hideMark/>
          </w:tcPr>
          <w:p w14:paraId="44E47BFA" w14:textId="77777777" w:rsidR="006E4286" w:rsidRDefault="006E4286" w:rsidP="00C7535C">
            <w:pPr>
              <w:spacing w:line="240" w:lineRule="auto"/>
              <w:rPr>
                <w:rFonts w:ascii="Times New Roman" w:eastAsia="Times New Roman" w:hAnsi="Times New Roman"/>
                <w:color w:val="000000"/>
                <w:sz w:val="17"/>
                <w:szCs w:val="17"/>
                <w:lang w:eastAsia="en-AU"/>
              </w:rPr>
            </w:pPr>
          </w:p>
          <w:p w14:paraId="4516F3A2" w14:textId="52273336" w:rsidR="00C7535C" w:rsidRP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8.  Community-based acute care services</w:t>
            </w:r>
          </w:p>
        </w:tc>
        <w:tc>
          <w:tcPr>
            <w:tcW w:w="10420" w:type="dxa"/>
            <w:tcBorders>
              <w:top w:val="nil"/>
              <w:left w:val="nil"/>
              <w:bottom w:val="nil"/>
              <w:right w:val="nil"/>
            </w:tcBorders>
            <w:shd w:val="clear" w:color="auto" w:fill="auto"/>
            <w:hideMark/>
          </w:tcPr>
          <w:p w14:paraId="426C5C8C" w14:textId="77777777" w:rsidR="006E4286" w:rsidRDefault="006E4286" w:rsidP="00C7535C">
            <w:pPr>
              <w:spacing w:line="240" w:lineRule="auto"/>
              <w:rPr>
                <w:rFonts w:ascii="Times New Roman" w:eastAsia="Times New Roman" w:hAnsi="Times New Roman"/>
                <w:color w:val="000000"/>
                <w:sz w:val="17"/>
                <w:szCs w:val="17"/>
                <w:lang w:eastAsia="en-AU"/>
              </w:rPr>
            </w:pPr>
          </w:p>
          <w:p w14:paraId="015DF29A" w14:textId="77777777" w:rsid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Responsive clinical mental health services delivered by community mental health teams.  People in suicidal crisis may call and request either a home-based visit or a centre-based visit, depending on their level of functioning and risk.</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t>Parameters determining the direct effects of this intervention are:</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Maximum self-referral rate</w:t>
            </w:r>
            <w:r w:rsidRPr="00C7535C">
              <w:rPr>
                <w:rFonts w:ascii="Times New Roman" w:eastAsia="Times New Roman" w:hAnsi="Times New Roman"/>
                <w:color w:val="000000"/>
                <w:sz w:val="17"/>
                <w:szCs w:val="17"/>
                <w:lang w:eastAsia="en-AU"/>
              </w:rPr>
              <w:t xml:space="preserve"> – the maximum proportion of people presenting to emergency departments for suicidal ideation or behaviour who would self-refer to community-based acute care services (i.e., if these were made available). The default value (0.7) assumes that 70% of people in suicidal crisis who would normally present to an emergency department would contact community-based services instead.</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Effect on self-harm rate</w:t>
            </w:r>
            <w:r w:rsidRPr="00C7535C">
              <w:rPr>
                <w:rFonts w:ascii="Times New Roman" w:eastAsia="Times New Roman" w:hAnsi="Times New Roman"/>
                <w:color w:val="000000"/>
                <w:sz w:val="17"/>
                <w:szCs w:val="17"/>
                <w:lang w:eastAsia="en-AU"/>
              </w:rPr>
              <w:t xml:space="preserve"> – the proportion of potential re-presentations for suicidal ideation or behaviour expected among patients referred to community-based acute care services. The default value (0.398) implies that 39.8% of re-presentations that would have occurred if a person in crisis was treated in an emergency department actually occur when community-based care is provided; i.e., community-based acute care is assumed to prevent 60.2% of potential re-presentations for suicidal ideation or behaviour. The default value is derived from </w:t>
            </w:r>
            <w:proofErr w:type="spellStart"/>
            <w:r w:rsidRPr="00C7535C">
              <w:rPr>
                <w:rFonts w:ascii="Times New Roman" w:eastAsia="Times New Roman" w:hAnsi="Times New Roman"/>
                <w:color w:val="000000"/>
                <w:sz w:val="17"/>
                <w:szCs w:val="17"/>
                <w:lang w:eastAsia="en-AU"/>
              </w:rPr>
              <w:t>Hvid</w:t>
            </w:r>
            <w:proofErr w:type="spellEnd"/>
            <w:r w:rsidRPr="00C7535C">
              <w:rPr>
                <w:rFonts w:ascii="Times New Roman" w:eastAsia="Times New Roman" w:hAnsi="Times New Roman"/>
                <w:color w:val="000000"/>
                <w:sz w:val="17"/>
                <w:szCs w:val="17"/>
                <w:lang w:eastAsia="en-AU"/>
              </w:rPr>
              <w:t xml:space="preserve"> et al. (2011, Nord. J. Psychiatry 65, 292-298). (Note that the default value is the estimated effect of post-attempt care on the repeat self-harm rate, but that the duration of effect of community-based acute care is assumed to be much shorter than that of post-attempt care.)</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Effect duration (weeks)</w:t>
            </w:r>
            <w:r w:rsidRPr="00C7535C">
              <w:rPr>
                <w:rFonts w:ascii="Times New Roman" w:eastAsia="Times New Roman" w:hAnsi="Times New Roman"/>
                <w:color w:val="000000"/>
                <w:sz w:val="17"/>
                <w:szCs w:val="17"/>
                <w:lang w:eastAsia="en-AU"/>
              </w:rPr>
              <w:t xml:space="preserve"> – the average time in weeks after referral to services that community-based acute care has an effect on the probability of repeat episodes of suicidal ideation or behaviour (the default value is 2 weeks).</w:t>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color w:val="000000"/>
                <w:sz w:val="17"/>
                <w:szCs w:val="17"/>
                <w:lang w:eastAsia="en-AU"/>
              </w:rPr>
              <w:br/>
            </w:r>
            <w:r w:rsidRPr="00C7535C">
              <w:rPr>
                <w:rFonts w:ascii="Times New Roman" w:eastAsia="Times New Roman" w:hAnsi="Times New Roman"/>
                <w:i/>
                <w:iCs/>
                <w:color w:val="000000"/>
                <w:sz w:val="17"/>
                <w:szCs w:val="17"/>
                <w:lang w:eastAsia="en-AU"/>
              </w:rPr>
              <w:t>Re-presentation rate per year</w:t>
            </w:r>
            <w:r w:rsidRPr="00C7535C">
              <w:rPr>
                <w:rFonts w:ascii="Times New Roman" w:eastAsia="Times New Roman" w:hAnsi="Times New Roman"/>
                <w:color w:val="000000"/>
                <w:sz w:val="17"/>
                <w:szCs w:val="17"/>
                <w:lang w:eastAsia="en-AU"/>
              </w:rPr>
              <w:t xml:space="preserve"> – the expected number of re-presentations for suicidal ideation or behaviour in the year after an initial suicide-related emergency department attendance. The default value (3.84) is derived from Perera et al. (2018, Med. J. Aust. 208, 348-353), and implies that in the year after presenting to an emergency department for suicidal ideation or behaviour, patients will re-present 3.8 times (on average).</w:t>
            </w:r>
          </w:p>
          <w:p w14:paraId="1C8D5F60" w14:textId="0C750C1A" w:rsidR="006E4286" w:rsidRPr="00C7535C" w:rsidRDefault="006E4286" w:rsidP="00C7535C">
            <w:pPr>
              <w:spacing w:line="240" w:lineRule="auto"/>
              <w:rPr>
                <w:rFonts w:ascii="Times New Roman" w:eastAsia="Times New Roman" w:hAnsi="Times New Roman"/>
                <w:color w:val="000000"/>
                <w:sz w:val="17"/>
                <w:szCs w:val="17"/>
                <w:lang w:eastAsia="en-AU"/>
              </w:rPr>
            </w:pPr>
          </w:p>
        </w:tc>
      </w:tr>
      <w:tr w:rsidR="00C7535C" w:rsidRPr="00C7535C" w14:paraId="5B668AFC" w14:textId="77777777" w:rsidTr="00C7535C">
        <w:tc>
          <w:tcPr>
            <w:tcW w:w="3500" w:type="dxa"/>
            <w:tcBorders>
              <w:top w:val="nil"/>
              <w:left w:val="nil"/>
              <w:bottom w:val="nil"/>
              <w:right w:val="nil"/>
            </w:tcBorders>
            <w:shd w:val="clear" w:color="000000" w:fill="F2F2F2"/>
            <w:hideMark/>
          </w:tcPr>
          <w:p w14:paraId="43F94390" w14:textId="77777777" w:rsidR="006E4286" w:rsidRDefault="006E4286" w:rsidP="00C7535C">
            <w:pPr>
              <w:spacing w:line="240" w:lineRule="auto"/>
              <w:rPr>
                <w:rFonts w:ascii="Times New Roman" w:eastAsia="Times New Roman" w:hAnsi="Times New Roman"/>
                <w:color w:val="000000"/>
                <w:sz w:val="17"/>
                <w:szCs w:val="17"/>
                <w:lang w:eastAsia="en-AU"/>
              </w:rPr>
            </w:pPr>
          </w:p>
          <w:p w14:paraId="27EFB9FC" w14:textId="0C30B76B" w:rsidR="00C7535C" w:rsidRP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9.  GP services capacity increase</w:t>
            </w:r>
          </w:p>
        </w:tc>
        <w:tc>
          <w:tcPr>
            <w:tcW w:w="10420" w:type="dxa"/>
            <w:tcBorders>
              <w:top w:val="nil"/>
              <w:left w:val="nil"/>
              <w:bottom w:val="nil"/>
              <w:right w:val="nil"/>
            </w:tcBorders>
            <w:shd w:val="clear" w:color="000000" w:fill="F2F2F2"/>
            <w:hideMark/>
          </w:tcPr>
          <w:p w14:paraId="73535F1D" w14:textId="77777777" w:rsidR="006E4286" w:rsidRDefault="006E4286" w:rsidP="00C7535C">
            <w:pPr>
              <w:spacing w:line="240" w:lineRule="auto"/>
              <w:rPr>
                <w:rFonts w:ascii="Times New Roman" w:eastAsia="Times New Roman" w:hAnsi="Times New Roman"/>
                <w:color w:val="000000"/>
                <w:sz w:val="17"/>
                <w:szCs w:val="17"/>
                <w:lang w:eastAsia="en-AU"/>
              </w:rPr>
            </w:pPr>
          </w:p>
          <w:p w14:paraId="7D7DBAA5" w14:textId="77777777" w:rsid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A 50% increase in the annual rate of growth in general practitioner services capacity (i.e., the maximum number of services that can be provided per week).</w:t>
            </w:r>
          </w:p>
          <w:p w14:paraId="32BEC3B3" w14:textId="6074D78A" w:rsidR="006E4286" w:rsidRPr="00C7535C" w:rsidRDefault="006E4286" w:rsidP="00C7535C">
            <w:pPr>
              <w:spacing w:line="240" w:lineRule="auto"/>
              <w:rPr>
                <w:rFonts w:ascii="Times New Roman" w:eastAsia="Times New Roman" w:hAnsi="Times New Roman"/>
                <w:color w:val="000000"/>
                <w:sz w:val="17"/>
                <w:szCs w:val="17"/>
                <w:lang w:eastAsia="en-AU"/>
              </w:rPr>
            </w:pPr>
          </w:p>
        </w:tc>
      </w:tr>
      <w:tr w:rsidR="00C7535C" w:rsidRPr="00C7535C" w14:paraId="077F0234" w14:textId="77777777" w:rsidTr="00C7535C">
        <w:tc>
          <w:tcPr>
            <w:tcW w:w="3500" w:type="dxa"/>
            <w:tcBorders>
              <w:top w:val="nil"/>
              <w:left w:val="nil"/>
              <w:bottom w:val="nil"/>
              <w:right w:val="nil"/>
            </w:tcBorders>
            <w:shd w:val="clear" w:color="auto" w:fill="auto"/>
            <w:hideMark/>
          </w:tcPr>
          <w:p w14:paraId="60B36DDB" w14:textId="77777777" w:rsidR="006E4286" w:rsidRDefault="006E4286" w:rsidP="00C7535C">
            <w:pPr>
              <w:spacing w:line="240" w:lineRule="auto"/>
              <w:rPr>
                <w:rFonts w:ascii="Times New Roman" w:eastAsia="Times New Roman" w:hAnsi="Times New Roman"/>
                <w:color w:val="000000"/>
                <w:sz w:val="17"/>
                <w:szCs w:val="17"/>
                <w:lang w:eastAsia="en-AU"/>
              </w:rPr>
            </w:pPr>
          </w:p>
          <w:p w14:paraId="07EEC10A" w14:textId="07A1AE96" w:rsidR="00C7535C" w:rsidRP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10.  Psychiatrist and allied health services capacity increase</w:t>
            </w:r>
          </w:p>
        </w:tc>
        <w:tc>
          <w:tcPr>
            <w:tcW w:w="10420" w:type="dxa"/>
            <w:tcBorders>
              <w:top w:val="nil"/>
              <w:left w:val="nil"/>
              <w:bottom w:val="nil"/>
              <w:right w:val="nil"/>
            </w:tcBorders>
            <w:shd w:val="clear" w:color="auto" w:fill="auto"/>
            <w:hideMark/>
          </w:tcPr>
          <w:p w14:paraId="13BE391D" w14:textId="77777777" w:rsidR="006E4286" w:rsidRDefault="006E4286" w:rsidP="00C7535C">
            <w:pPr>
              <w:spacing w:line="240" w:lineRule="auto"/>
              <w:rPr>
                <w:rFonts w:ascii="Times New Roman" w:eastAsia="Times New Roman" w:hAnsi="Times New Roman"/>
                <w:color w:val="000000"/>
                <w:sz w:val="17"/>
                <w:szCs w:val="17"/>
                <w:lang w:eastAsia="en-AU"/>
              </w:rPr>
            </w:pPr>
          </w:p>
          <w:p w14:paraId="327D0CFA" w14:textId="5E8A61B1" w:rsid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A 50% increase in the annual rate of growth in psychiatrist and allied health services capacity (i.e., the maximum number of services that can be provided per week).</w:t>
            </w:r>
          </w:p>
          <w:p w14:paraId="7DD2BC28" w14:textId="77777777" w:rsidR="006E4286" w:rsidRDefault="006E4286" w:rsidP="00C7535C">
            <w:pPr>
              <w:spacing w:line="240" w:lineRule="auto"/>
              <w:rPr>
                <w:rFonts w:ascii="Times New Roman" w:eastAsia="Times New Roman" w:hAnsi="Times New Roman"/>
                <w:color w:val="000000"/>
                <w:sz w:val="17"/>
                <w:szCs w:val="17"/>
                <w:lang w:eastAsia="en-AU"/>
              </w:rPr>
            </w:pPr>
          </w:p>
          <w:p w14:paraId="6D7047CA" w14:textId="5B6E5343" w:rsidR="006E4286" w:rsidRPr="00C7535C" w:rsidRDefault="006E4286" w:rsidP="00C7535C">
            <w:pPr>
              <w:spacing w:line="240" w:lineRule="auto"/>
              <w:rPr>
                <w:rFonts w:ascii="Times New Roman" w:eastAsia="Times New Roman" w:hAnsi="Times New Roman"/>
                <w:color w:val="000000"/>
                <w:sz w:val="17"/>
                <w:szCs w:val="17"/>
                <w:lang w:eastAsia="en-AU"/>
              </w:rPr>
            </w:pPr>
          </w:p>
        </w:tc>
      </w:tr>
      <w:tr w:rsidR="00C7535C" w:rsidRPr="00C7535C" w14:paraId="694A017D" w14:textId="77777777" w:rsidTr="00C7535C">
        <w:tc>
          <w:tcPr>
            <w:tcW w:w="3500" w:type="dxa"/>
            <w:tcBorders>
              <w:top w:val="nil"/>
              <w:left w:val="nil"/>
              <w:bottom w:val="nil"/>
              <w:right w:val="nil"/>
            </w:tcBorders>
            <w:shd w:val="clear" w:color="000000" w:fill="F2F2F2"/>
            <w:hideMark/>
          </w:tcPr>
          <w:p w14:paraId="72677FE0" w14:textId="77777777" w:rsidR="006E4286" w:rsidRDefault="006E4286" w:rsidP="00C7535C">
            <w:pPr>
              <w:spacing w:line="240" w:lineRule="auto"/>
              <w:rPr>
                <w:rFonts w:ascii="Times New Roman" w:eastAsia="Times New Roman" w:hAnsi="Times New Roman"/>
                <w:color w:val="000000"/>
                <w:sz w:val="17"/>
                <w:szCs w:val="17"/>
                <w:lang w:eastAsia="en-AU"/>
              </w:rPr>
            </w:pPr>
          </w:p>
          <w:p w14:paraId="2E843512" w14:textId="03A1D4A5" w:rsidR="00C7535C" w:rsidRP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11.  Psychiatric hospital capacity increase</w:t>
            </w:r>
          </w:p>
        </w:tc>
        <w:tc>
          <w:tcPr>
            <w:tcW w:w="10420" w:type="dxa"/>
            <w:tcBorders>
              <w:top w:val="nil"/>
              <w:left w:val="nil"/>
              <w:bottom w:val="nil"/>
              <w:right w:val="nil"/>
            </w:tcBorders>
            <w:shd w:val="clear" w:color="000000" w:fill="F2F2F2"/>
            <w:hideMark/>
          </w:tcPr>
          <w:p w14:paraId="5F2F375E" w14:textId="77777777" w:rsidR="006E4286" w:rsidRDefault="006E4286" w:rsidP="00C7535C">
            <w:pPr>
              <w:spacing w:line="240" w:lineRule="auto"/>
              <w:rPr>
                <w:rFonts w:ascii="Times New Roman" w:eastAsia="Times New Roman" w:hAnsi="Times New Roman"/>
                <w:color w:val="000000"/>
                <w:sz w:val="17"/>
                <w:szCs w:val="17"/>
                <w:lang w:eastAsia="en-AU"/>
              </w:rPr>
            </w:pPr>
          </w:p>
          <w:p w14:paraId="65F0C0DF" w14:textId="77777777" w:rsid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A 50% increase in the annual rate of growth in public psychiatric hospital capacity (i.e., the maximum number of admissions per week).</w:t>
            </w:r>
          </w:p>
          <w:p w14:paraId="20F4C583" w14:textId="18894A36" w:rsidR="006E4286" w:rsidRPr="00C7535C" w:rsidRDefault="006E4286" w:rsidP="00C7535C">
            <w:pPr>
              <w:spacing w:line="240" w:lineRule="auto"/>
              <w:rPr>
                <w:rFonts w:ascii="Times New Roman" w:eastAsia="Times New Roman" w:hAnsi="Times New Roman"/>
                <w:color w:val="000000"/>
                <w:sz w:val="17"/>
                <w:szCs w:val="17"/>
                <w:lang w:eastAsia="en-AU"/>
              </w:rPr>
            </w:pPr>
          </w:p>
        </w:tc>
      </w:tr>
      <w:tr w:rsidR="00C7535C" w:rsidRPr="00C7535C" w14:paraId="4379AC25" w14:textId="77777777" w:rsidTr="00C7535C">
        <w:tc>
          <w:tcPr>
            <w:tcW w:w="3500" w:type="dxa"/>
            <w:tcBorders>
              <w:top w:val="nil"/>
              <w:left w:val="nil"/>
              <w:bottom w:val="nil"/>
              <w:right w:val="nil"/>
            </w:tcBorders>
            <w:shd w:val="clear" w:color="auto" w:fill="auto"/>
            <w:hideMark/>
          </w:tcPr>
          <w:p w14:paraId="651C5FDA" w14:textId="77777777" w:rsidR="006E4286" w:rsidRDefault="006E4286" w:rsidP="00C7535C">
            <w:pPr>
              <w:spacing w:line="240" w:lineRule="auto"/>
              <w:rPr>
                <w:rFonts w:ascii="Times New Roman" w:eastAsia="Times New Roman" w:hAnsi="Times New Roman"/>
                <w:color w:val="000000"/>
                <w:sz w:val="17"/>
                <w:szCs w:val="17"/>
                <w:lang w:eastAsia="en-AU"/>
              </w:rPr>
            </w:pPr>
          </w:p>
          <w:p w14:paraId="5727FC83" w14:textId="6024213F" w:rsidR="00C7535C" w:rsidRP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12.  Community mental health care services capacity increase</w:t>
            </w:r>
          </w:p>
        </w:tc>
        <w:tc>
          <w:tcPr>
            <w:tcW w:w="10420" w:type="dxa"/>
            <w:tcBorders>
              <w:top w:val="nil"/>
              <w:left w:val="nil"/>
              <w:bottom w:val="nil"/>
              <w:right w:val="nil"/>
            </w:tcBorders>
            <w:shd w:val="clear" w:color="auto" w:fill="auto"/>
            <w:hideMark/>
          </w:tcPr>
          <w:p w14:paraId="745460B4" w14:textId="77777777" w:rsidR="006E4286" w:rsidRDefault="006E4286" w:rsidP="00C7535C">
            <w:pPr>
              <w:spacing w:line="240" w:lineRule="auto"/>
              <w:rPr>
                <w:rFonts w:ascii="Times New Roman" w:eastAsia="Times New Roman" w:hAnsi="Times New Roman"/>
                <w:color w:val="000000"/>
                <w:sz w:val="17"/>
                <w:szCs w:val="17"/>
                <w:lang w:eastAsia="en-AU"/>
              </w:rPr>
            </w:pPr>
          </w:p>
          <w:p w14:paraId="340F2135" w14:textId="0C96129A" w:rsidR="00C7535C" w:rsidRP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An increase in the annual rate of growth in community mental health care services capacity (per 10</w:t>
            </w:r>
            <w:r w:rsidRPr="00C7535C">
              <w:rPr>
                <w:rFonts w:ascii="Times New Roman" w:eastAsia="Times New Roman" w:hAnsi="Times New Roman"/>
                <w:color w:val="000000"/>
                <w:sz w:val="17"/>
                <w:szCs w:val="17"/>
                <w:vertAlign w:val="superscript"/>
                <w:lang w:eastAsia="en-AU"/>
              </w:rPr>
              <w:t>4</w:t>
            </w:r>
            <w:r w:rsidRPr="00C7535C">
              <w:rPr>
                <w:rFonts w:ascii="Times New Roman" w:eastAsia="Times New Roman" w:hAnsi="Times New Roman"/>
                <w:color w:val="000000"/>
                <w:sz w:val="17"/>
                <w:szCs w:val="17"/>
                <w:lang w:eastAsia="en-AU"/>
              </w:rPr>
              <w:t xml:space="preserve"> population) equal to 2.5% of capacity at the start of 2011.</w:t>
            </w:r>
          </w:p>
        </w:tc>
      </w:tr>
      <w:tr w:rsidR="00C7535C" w:rsidRPr="00C7535C" w14:paraId="09780871" w14:textId="77777777" w:rsidTr="00C7535C">
        <w:trPr>
          <w:trHeight w:val="216"/>
        </w:trPr>
        <w:tc>
          <w:tcPr>
            <w:tcW w:w="3500" w:type="dxa"/>
            <w:tcBorders>
              <w:top w:val="nil"/>
              <w:left w:val="nil"/>
              <w:bottom w:val="single" w:sz="4" w:space="0" w:color="auto"/>
              <w:right w:val="nil"/>
            </w:tcBorders>
            <w:shd w:val="clear" w:color="auto" w:fill="auto"/>
            <w:noWrap/>
            <w:vAlign w:val="bottom"/>
            <w:hideMark/>
          </w:tcPr>
          <w:p w14:paraId="2DCDE2A1" w14:textId="77777777" w:rsidR="00C7535C" w:rsidRP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 </w:t>
            </w:r>
          </w:p>
        </w:tc>
        <w:tc>
          <w:tcPr>
            <w:tcW w:w="10420" w:type="dxa"/>
            <w:tcBorders>
              <w:top w:val="nil"/>
              <w:left w:val="nil"/>
              <w:bottom w:val="single" w:sz="4" w:space="0" w:color="auto"/>
              <w:right w:val="nil"/>
            </w:tcBorders>
            <w:shd w:val="clear" w:color="auto" w:fill="auto"/>
            <w:noWrap/>
            <w:vAlign w:val="bottom"/>
            <w:hideMark/>
          </w:tcPr>
          <w:p w14:paraId="4E7C1680" w14:textId="77777777" w:rsidR="00C7535C" w:rsidRPr="00C7535C" w:rsidRDefault="00C7535C" w:rsidP="00C7535C">
            <w:pPr>
              <w:spacing w:line="240" w:lineRule="auto"/>
              <w:rPr>
                <w:rFonts w:ascii="Times New Roman" w:eastAsia="Times New Roman" w:hAnsi="Times New Roman"/>
                <w:color w:val="000000"/>
                <w:sz w:val="17"/>
                <w:szCs w:val="17"/>
                <w:lang w:eastAsia="en-AU"/>
              </w:rPr>
            </w:pPr>
            <w:r w:rsidRPr="00C7535C">
              <w:rPr>
                <w:rFonts w:ascii="Times New Roman" w:eastAsia="Times New Roman" w:hAnsi="Times New Roman"/>
                <w:color w:val="000000"/>
                <w:sz w:val="17"/>
                <w:szCs w:val="17"/>
                <w:lang w:eastAsia="en-AU"/>
              </w:rPr>
              <w:t> </w:t>
            </w:r>
          </w:p>
        </w:tc>
      </w:tr>
    </w:tbl>
    <w:p w14:paraId="6C166ED0" w14:textId="33A6206B" w:rsidR="007F7C0B" w:rsidRDefault="007F7C0B" w:rsidP="007F7C0B">
      <w:pPr>
        <w:spacing w:line="480" w:lineRule="auto"/>
        <w:rPr>
          <w:rFonts w:ascii="Times New Roman" w:hAnsi="Times New Roman"/>
          <w:sz w:val="20"/>
          <w:szCs w:val="20"/>
        </w:rPr>
      </w:pPr>
    </w:p>
    <w:p w14:paraId="07367048" w14:textId="77777777" w:rsidR="007F7C0B" w:rsidRDefault="007F7C0B" w:rsidP="007F7C0B">
      <w:pPr>
        <w:spacing w:line="480" w:lineRule="auto"/>
        <w:rPr>
          <w:rFonts w:ascii="Times New Roman" w:hAnsi="Times New Roman"/>
          <w:sz w:val="20"/>
          <w:szCs w:val="20"/>
        </w:rPr>
      </w:pPr>
    </w:p>
    <w:p w14:paraId="2364901A" w14:textId="77777777" w:rsidR="007F33B2" w:rsidRDefault="007F33B2" w:rsidP="00DE2998">
      <w:pPr>
        <w:spacing w:line="480" w:lineRule="auto"/>
        <w:rPr>
          <w:rFonts w:ascii="Times New Roman" w:hAnsi="Times New Roman"/>
          <w:sz w:val="20"/>
          <w:szCs w:val="20"/>
        </w:rPr>
        <w:sectPr w:rsidR="007F33B2" w:rsidSect="00D61898">
          <w:pgSz w:w="16838" w:h="11906" w:orient="landscape" w:code="9"/>
          <w:pgMar w:top="1440" w:right="1440" w:bottom="1440" w:left="1440" w:header="284" w:footer="680" w:gutter="0"/>
          <w:cols w:space="708"/>
          <w:docGrid w:linePitch="360"/>
        </w:sectPr>
      </w:pPr>
    </w:p>
    <w:p w14:paraId="26137D51" w14:textId="77777777" w:rsidR="007F33B2" w:rsidRPr="00E634BD" w:rsidRDefault="007F33B2" w:rsidP="007F33B2">
      <w:pPr>
        <w:spacing w:after="160" w:line="259" w:lineRule="auto"/>
        <w:rPr>
          <w:rFonts w:ascii="Times New Roman" w:hAnsi="Times New Roman"/>
          <w:sz w:val="24"/>
          <w:szCs w:val="24"/>
        </w:rPr>
      </w:pPr>
      <w:r w:rsidRPr="00D44941">
        <w:rPr>
          <w:rFonts w:ascii="Times New Roman" w:hAnsi="Times New Roman"/>
          <w:sz w:val="24"/>
          <w:szCs w:val="24"/>
        </w:rPr>
        <w:lastRenderedPageBreak/>
        <w:t>3.  Numerical inputs and data sources</w:t>
      </w:r>
    </w:p>
    <w:p w14:paraId="58EA3AB1" w14:textId="56D1200F" w:rsidR="00290A3C" w:rsidRDefault="007F33B2" w:rsidP="007F7C0B">
      <w:pPr>
        <w:spacing w:line="480" w:lineRule="auto"/>
        <w:rPr>
          <w:rFonts w:ascii="Times New Roman" w:hAnsi="Times New Roman"/>
          <w:sz w:val="20"/>
          <w:szCs w:val="20"/>
        </w:rPr>
      </w:pPr>
      <w:r>
        <w:rPr>
          <w:rFonts w:ascii="Times New Roman" w:hAnsi="Times New Roman"/>
          <w:sz w:val="20"/>
          <w:szCs w:val="20"/>
        </w:rPr>
        <w:t>Table S2.  Numerical inputs and data sources.  Inputs highlighted in red were varied in the sensitivity analyses (see Methods section of the paper).</w:t>
      </w:r>
    </w:p>
    <w:tbl>
      <w:tblPr>
        <w:tblW w:w="13920" w:type="dxa"/>
        <w:tblLook w:val="04A0" w:firstRow="1" w:lastRow="0" w:firstColumn="1" w:lastColumn="0" w:noHBand="0" w:noVBand="1"/>
      </w:tblPr>
      <w:tblGrid>
        <w:gridCol w:w="3460"/>
        <w:gridCol w:w="4300"/>
        <w:gridCol w:w="6160"/>
      </w:tblGrid>
      <w:tr w:rsidR="008C5A06" w:rsidRPr="008C5A06" w14:paraId="1ECD7BBF" w14:textId="77777777" w:rsidTr="008C5A06">
        <w:trPr>
          <w:trHeight w:val="315"/>
        </w:trPr>
        <w:tc>
          <w:tcPr>
            <w:tcW w:w="3460" w:type="dxa"/>
            <w:tcBorders>
              <w:top w:val="single" w:sz="4" w:space="0" w:color="auto"/>
              <w:left w:val="nil"/>
              <w:bottom w:val="single" w:sz="4" w:space="0" w:color="auto"/>
              <w:right w:val="nil"/>
            </w:tcBorders>
            <w:shd w:val="clear" w:color="auto" w:fill="auto"/>
            <w:noWrap/>
            <w:vAlign w:val="center"/>
            <w:hideMark/>
          </w:tcPr>
          <w:p w14:paraId="21EB692F"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Input label</w:t>
            </w:r>
          </w:p>
        </w:tc>
        <w:tc>
          <w:tcPr>
            <w:tcW w:w="4300" w:type="dxa"/>
            <w:tcBorders>
              <w:top w:val="single" w:sz="4" w:space="0" w:color="auto"/>
              <w:left w:val="nil"/>
              <w:bottom w:val="single" w:sz="4" w:space="0" w:color="auto"/>
              <w:right w:val="nil"/>
            </w:tcBorders>
            <w:shd w:val="clear" w:color="auto" w:fill="auto"/>
            <w:noWrap/>
            <w:vAlign w:val="center"/>
            <w:hideMark/>
          </w:tcPr>
          <w:p w14:paraId="5F2EF3E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Value(s)</w:t>
            </w:r>
          </w:p>
        </w:tc>
        <w:tc>
          <w:tcPr>
            <w:tcW w:w="6160" w:type="dxa"/>
            <w:tcBorders>
              <w:top w:val="single" w:sz="4" w:space="0" w:color="auto"/>
              <w:left w:val="nil"/>
              <w:bottom w:val="single" w:sz="4" w:space="0" w:color="auto"/>
              <w:right w:val="nil"/>
            </w:tcBorders>
            <w:shd w:val="clear" w:color="auto" w:fill="auto"/>
            <w:noWrap/>
            <w:vAlign w:val="center"/>
            <w:hideMark/>
          </w:tcPr>
          <w:p w14:paraId="274F0DB4"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Notes</w:t>
            </w:r>
          </w:p>
        </w:tc>
      </w:tr>
      <w:tr w:rsidR="008C5A06" w:rsidRPr="008C5A06" w14:paraId="743672AF" w14:textId="77777777" w:rsidTr="008C5A06">
        <w:trPr>
          <w:trHeight w:val="204"/>
        </w:trPr>
        <w:tc>
          <w:tcPr>
            <w:tcW w:w="3460" w:type="dxa"/>
            <w:tcBorders>
              <w:top w:val="nil"/>
              <w:left w:val="nil"/>
              <w:bottom w:val="nil"/>
              <w:right w:val="nil"/>
            </w:tcBorders>
            <w:shd w:val="clear" w:color="auto" w:fill="auto"/>
            <w:hideMark/>
          </w:tcPr>
          <w:p w14:paraId="4C11218F"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c>
          <w:tcPr>
            <w:tcW w:w="4300" w:type="dxa"/>
            <w:tcBorders>
              <w:top w:val="nil"/>
              <w:left w:val="nil"/>
              <w:bottom w:val="nil"/>
              <w:right w:val="nil"/>
            </w:tcBorders>
            <w:shd w:val="clear" w:color="auto" w:fill="auto"/>
            <w:hideMark/>
          </w:tcPr>
          <w:p w14:paraId="48413641"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c>
          <w:tcPr>
            <w:tcW w:w="6160" w:type="dxa"/>
            <w:tcBorders>
              <w:top w:val="nil"/>
              <w:left w:val="nil"/>
              <w:bottom w:val="nil"/>
              <w:right w:val="nil"/>
            </w:tcBorders>
            <w:shd w:val="clear" w:color="auto" w:fill="auto"/>
            <w:hideMark/>
          </w:tcPr>
          <w:p w14:paraId="08CB2426"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r>
      <w:tr w:rsidR="008C5A06" w:rsidRPr="008C5A06" w14:paraId="0DDC15CB" w14:textId="77777777" w:rsidTr="008C5A06">
        <w:trPr>
          <w:trHeight w:val="204"/>
        </w:trPr>
        <w:tc>
          <w:tcPr>
            <w:tcW w:w="3460" w:type="dxa"/>
            <w:tcBorders>
              <w:top w:val="nil"/>
              <w:left w:val="nil"/>
              <w:bottom w:val="nil"/>
              <w:right w:val="nil"/>
            </w:tcBorders>
            <w:shd w:val="clear" w:color="000000" w:fill="D9D9D9"/>
            <w:hideMark/>
          </w:tcPr>
          <w:p w14:paraId="67DA9C35"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Population sector</w:t>
            </w:r>
          </w:p>
        </w:tc>
        <w:tc>
          <w:tcPr>
            <w:tcW w:w="4300" w:type="dxa"/>
            <w:tcBorders>
              <w:top w:val="nil"/>
              <w:left w:val="nil"/>
              <w:bottom w:val="nil"/>
              <w:right w:val="nil"/>
            </w:tcBorders>
            <w:shd w:val="clear" w:color="000000" w:fill="D9D9D9"/>
            <w:hideMark/>
          </w:tcPr>
          <w:p w14:paraId="48A7882D"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w:t>
            </w:r>
          </w:p>
        </w:tc>
        <w:tc>
          <w:tcPr>
            <w:tcW w:w="6160" w:type="dxa"/>
            <w:tcBorders>
              <w:top w:val="nil"/>
              <w:left w:val="nil"/>
              <w:bottom w:val="nil"/>
              <w:right w:val="nil"/>
            </w:tcBorders>
            <w:shd w:val="clear" w:color="000000" w:fill="D9D9D9"/>
            <w:hideMark/>
          </w:tcPr>
          <w:p w14:paraId="5E2007E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w:t>
            </w:r>
          </w:p>
        </w:tc>
      </w:tr>
      <w:tr w:rsidR="008C5A06" w:rsidRPr="008C5A06" w14:paraId="72E44CCE" w14:textId="77777777" w:rsidTr="008C5A06">
        <w:trPr>
          <w:trHeight w:val="204"/>
        </w:trPr>
        <w:tc>
          <w:tcPr>
            <w:tcW w:w="3460" w:type="dxa"/>
            <w:tcBorders>
              <w:top w:val="nil"/>
              <w:left w:val="nil"/>
              <w:bottom w:val="nil"/>
              <w:right w:val="nil"/>
            </w:tcBorders>
            <w:shd w:val="clear" w:color="auto" w:fill="auto"/>
            <w:hideMark/>
          </w:tcPr>
          <w:p w14:paraId="4F3CBD4D"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c>
          <w:tcPr>
            <w:tcW w:w="4300" w:type="dxa"/>
            <w:tcBorders>
              <w:top w:val="nil"/>
              <w:left w:val="nil"/>
              <w:bottom w:val="nil"/>
              <w:right w:val="nil"/>
            </w:tcBorders>
            <w:shd w:val="clear" w:color="auto" w:fill="auto"/>
            <w:hideMark/>
          </w:tcPr>
          <w:p w14:paraId="6837016C"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c>
          <w:tcPr>
            <w:tcW w:w="6160" w:type="dxa"/>
            <w:tcBorders>
              <w:top w:val="nil"/>
              <w:left w:val="nil"/>
              <w:bottom w:val="nil"/>
              <w:right w:val="nil"/>
            </w:tcBorders>
            <w:shd w:val="clear" w:color="auto" w:fill="auto"/>
            <w:hideMark/>
          </w:tcPr>
          <w:p w14:paraId="213E6CE5"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r>
      <w:tr w:rsidR="008C5A06" w:rsidRPr="008C5A06" w14:paraId="675A313A" w14:textId="77777777" w:rsidTr="008C5A06">
        <w:tc>
          <w:tcPr>
            <w:tcW w:w="3460" w:type="dxa"/>
            <w:tcBorders>
              <w:top w:val="nil"/>
              <w:left w:val="nil"/>
              <w:bottom w:val="nil"/>
              <w:right w:val="nil"/>
            </w:tcBorders>
            <w:shd w:val="clear" w:color="000000" w:fill="F2F2F2"/>
            <w:hideMark/>
          </w:tcPr>
          <w:p w14:paraId="3B635CD8"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Birth rate increase per year</w:t>
            </w:r>
          </w:p>
        </w:tc>
        <w:tc>
          <w:tcPr>
            <w:tcW w:w="4300" w:type="dxa"/>
            <w:tcBorders>
              <w:top w:val="nil"/>
              <w:left w:val="nil"/>
              <w:bottom w:val="nil"/>
              <w:right w:val="nil"/>
            </w:tcBorders>
            <w:shd w:val="clear" w:color="000000" w:fill="F2F2F2"/>
            <w:hideMark/>
          </w:tcPr>
          <w:p w14:paraId="6DED946C"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-0.00769245932973 (Central Coast), -0.012139127896 (HNE)</w:t>
            </w:r>
          </w:p>
        </w:tc>
        <w:tc>
          <w:tcPr>
            <w:tcW w:w="6160" w:type="dxa"/>
            <w:tcBorders>
              <w:top w:val="nil"/>
              <w:left w:val="nil"/>
              <w:bottom w:val="nil"/>
              <w:right w:val="nil"/>
            </w:tcBorders>
            <w:shd w:val="clear" w:color="000000" w:fill="F2F2F2"/>
            <w:hideMark/>
          </w:tcPr>
          <w:p w14:paraId="4E63D7CA"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Fractional rate of increase per year.  Estimated via constrained optimisation</w:t>
            </w:r>
          </w:p>
        </w:tc>
      </w:tr>
      <w:tr w:rsidR="008C5A06" w:rsidRPr="008C5A06" w14:paraId="6EA5D1F3" w14:textId="77777777" w:rsidTr="008C5A06">
        <w:tc>
          <w:tcPr>
            <w:tcW w:w="3460" w:type="dxa"/>
            <w:tcBorders>
              <w:top w:val="nil"/>
              <w:left w:val="nil"/>
              <w:bottom w:val="nil"/>
              <w:right w:val="nil"/>
            </w:tcBorders>
            <w:shd w:val="clear" w:color="auto" w:fill="auto"/>
            <w:hideMark/>
          </w:tcPr>
          <w:p w14:paraId="0A1F7DE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Birth rate per year initial</w:t>
            </w:r>
          </w:p>
        </w:tc>
        <w:tc>
          <w:tcPr>
            <w:tcW w:w="4300" w:type="dxa"/>
            <w:tcBorders>
              <w:top w:val="nil"/>
              <w:left w:val="nil"/>
              <w:bottom w:val="nil"/>
              <w:right w:val="nil"/>
            </w:tcBorders>
            <w:shd w:val="clear" w:color="auto" w:fill="auto"/>
            <w:noWrap/>
            <w:vAlign w:val="bottom"/>
            <w:hideMark/>
          </w:tcPr>
          <w:p w14:paraId="752DB5BF"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0.0118953236034 (Central Coast), 0.0126574197157 (HNE)</w:t>
            </w:r>
          </w:p>
        </w:tc>
        <w:tc>
          <w:tcPr>
            <w:tcW w:w="6160" w:type="dxa"/>
            <w:tcBorders>
              <w:top w:val="nil"/>
              <w:left w:val="nil"/>
              <w:bottom w:val="nil"/>
              <w:right w:val="nil"/>
            </w:tcBorders>
            <w:shd w:val="clear" w:color="auto" w:fill="auto"/>
            <w:hideMark/>
          </w:tcPr>
          <w:p w14:paraId="75A24E61"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Per capita birth rate per year.  Estimated via constrained optimisation.</w:t>
            </w:r>
          </w:p>
        </w:tc>
      </w:tr>
      <w:tr w:rsidR="008C5A06" w:rsidRPr="008C5A06" w14:paraId="39C17CA0" w14:textId="77777777" w:rsidTr="008C5A06">
        <w:tc>
          <w:tcPr>
            <w:tcW w:w="3460" w:type="dxa"/>
            <w:tcBorders>
              <w:top w:val="nil"/>
              <w:left w:val="nil"/>
              <w:bottom w:val="nil"/>
              <w:right w:val="nil"/>
            </w:tcBorders>
            <w:shd w:val="clear" w:color="000000" w:fill="F2F2F2"/>
            <w:hideMark/>
          </w:tcPr>
          <w:p w14:paraId="6A745B13"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Death rate increase per year</w:t>
            </w:r>
          </w:p>
        </w:tc>
        <w:tc>
          <w:tcPr>
            <w:tcW w:w="4300" w:type="dxa"/>
            <w:tcBorders>
              <w:top w:val="nil"/>
              <w:left w:val="nil"/>
              <w:bottom w:val="nil"/>
              <w:right w:val="nil"/>
            </w:tcBorders>
            <w:shd w:val="clear" w:color="000000" w:fill="F2F2F2"/>
            <w:noWrap/>
            <w:vAlign w:val="bottom"/>
            <w:hideMark/>
          </w:tcPr>
          <w:p w14:paraId="0CD6D53A"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-0.00339645293997 (Central Coast), -0.000161317731427 (HNE)</w:t>
            </w:r>
          </w:p>
        </w:tc>
        <w:tc>
          <w:tcPr>
            <w:tcW w:w="6160" w:type="dxa"/>
            <w:tcBorders>
              <w:top w:val="nil"/>
              <w:left w:val="nil"/>
              <w:bottom w:val="nil"/>
              <w:right w:val="nil"/>
            </w:tcBorders>
            <w:shd w:val="clear" w:color="000000" w:fill="F2F2F2"/>
            <w:hideMark/>
          </w:tcPr>
          <w:p w14:paraId="28BEC613"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Fractional rate of increase per year.  Estimated via constrained optimisation</w:t>
            </w:r>
          </w:p>
        </w:tc>
      </w:tr>
      <w:tr w:rsidR="008C5A06" w:rsidRPr="008C5A06" w14:paraId="7AFF7BF5" w14:textId="77777777" w:rsidTr="008C5A06">
        <w:tc>
          <w:tcPr>
            <w:tcW w:w="3460" w:type="dxa"/>
            <w:tcBorders>
              <w:top w:val="nil"/>
              <w:left w:val="nil"/>
              <w:bottom w:val="nil"/>
              <w:right w:val="nil"/>
            </w:tcBorders>
            <w:shd w:val="clear" w:color="auto" w:fill="auto"/>
            <w:hideMark/>
          </w:tcPr>
          <w:p w14:paraId="4ED6E908"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Death rate per year initial</w:t>
            </w:r>
          </w:p>
        </w:tc>
        <w:tc>
          <w:tcPr>
            <w:tcW w:w="4300" w:type="dxa"/>
            <w:tcBorders>
              <w:top w:val="nil"/>
              <w:left w:val="nil"/>
              <w:bottom w:val="nil"/>
              <w:right w:val="nil"/>
            </w:tcBorders>
            <w:shd w:val="clear" w:color="auto" w:fill="auto"/>
            <w:noWrap/>
            <w:vAlign w:val="bottom"/>
            <w:hideMark/>
          </w:tcPr>
          <w:p w14:paraId="25B6A8C1"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0.00966663051698 (Central Coast), 0.00871738244607 (HNE)</w:t>
            </w:r>
          </w:p>
        </w:tc>
        <w:tc>
          <w:tcPr>
            <w:tcW w:w="6160" w:type="dxa"/>
            <w:tcBorders>
              <w:top w:val="nil"/>
              <w:left w:val="nil"/>
              <w:bottom w:val="nil"/>
              <w:right w:val="nil"/>
            </w:tcBorders>
            <w:shd w:val="clear" w:color="auto" w:fill="auto"/>
            <w:hideMark/>
          </w:tcPr>
          <w:p w14:paraId="6B74CD93"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Per capita mortality rate per year.  Estimated via constrained optimisation.</w:t>
            </w:r>
          </w:p>
        </w:tc>
      </w:tr>
      <w:tr w:rsidR="008C5A06" w:rsidRPr="008C5A06" w14:paraId="17293B76" w14:textId="77777777" w:rsidTr="008C5A06">
        <w:tc>
          <w:tcPr>
            <w:tcW w:w="3460" w:type="dxa"/>
            <w:tcBorders>
              <w:top w:val="nil"/>
              <w:left w:val="nil"/>
              <w:bottom w:val="nil"/>
              <w:right w:val="nil"/>
            </w:tcBorders>
            <w:shd w:val="clear" w:color="000000" w:fill="F2F2F2"/>
            <w:hideMark/>
          </w:tcPr>
          <w:p w14:paraId="36435413"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Emigration rate</w:t>
            </w:r>
          </w:p>
        </w:tc>
        <w:tc>
          <w:tcPr>
            <w:tcW w:w="4300" w:type="dxa"/>
            <w:tcBorders>
              <w:top w:val="nil"/>
              <w:left w:val="nil"/>
              <w:bottom w:val="nil"/>
              <w:right w:val="nil"/>
            </w:tcBorders>
            <w:shd w:val="clear" w:color="000000" w:fill="F2F2F2"/>
            <w:noWrap/>
            <w:vAlign w:val="bottom"/>
            <w:hideMark/>
          </w:tcPr>
          <w:p w14:paraId="4FFD304C"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1.70048483334e-7 (Central Coast), 0.0000191354935689 (HNE)</w:t>
            </w:r>
          </w:p>
        </w:tc>
        <w:tc>
          <w:tcPr>
            <w:tcW w:w="6160" w:type="dxa"/>
            <w:tcBorders>
              <w:top w:val="nil"/>
              <w:left w:val="nil"/>
              <w:bottom w:val="nil"/>
              <w:right w:val="nil"/>
            </w:tcBorders>
            <w:shd w:val="clear" w:color="000000" w:fill="F2F2F2"/>
            <w:hideMark/>
          </w:tcPr>
          <w:p w14:paraId="3F32B3D1"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Per capita emigration rate per year.  Estimated via constrained optimisation.</w:t>
            </w:r>
          </w:p>
        </w:tc>
      </w:tr>
      <w:tr w:rsidR="008C5A06" w:rsidRPr="008C5A06" w14:paraId="37C53385" w14:textId="77777777" w:rsidTr="008C5A06">
        <w:tc>
          <w:tcPr>
            <w:tcW w:w="3460" w:type="dxa"/>
            <w:tcBorders>
              <w:top w:val="nil"/>
              <w:left w:val="nil"/>
              <w:bottom w:val="nil"/>
              <w:right w:val="nil"/>
            </w:tcBorders>
            <w:shd w:val="clear" w:color="auto" w:fill="auto"/>
            <w:hideMark/>
          </w:tcPr>
          <w:p w14:paraId="23DACBE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Immigration rate</w:t>
            </w:r>
          </w:p>
        </w:tc>
        <w:tc>
          <w:tcPr>
            <w:tcW w:w="4300" w:type="dxa"/>
            <w:tcBorders>
              <w:top w:val="nil"/>
              <w:left w:val="nil"/>
              <w:bottom w:val="nil"/>
              <w:right w:val="nil"/>
            </w:tcBorders>
            <w:shd w:val="clear" w:color="auto" w:fill="auto"/>
            <w:noWrap/>
            <w:vAlign w:val="bottom"/>
            <w:hideMark/>
          </w:tcPr>
          <w:p w14:paraId="1BCC1815"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53.9161540736 (Central Coast), 111.031170385 (HNE)</w:t>
            </w:r>
          </w:p>
        </w:tc>
        <w:tc>
          <w:tcPr>
            <w:tcW w:w="6160" w:type="dxa"/>
            <w:tcBorders>
              <w:top w:val="nil"/>
              <w:left w:val="nil"/>
              <w:bottom w:val="nil"/>
              <w:right w:val="nil"/>
            </w:tcBorders>
            <w:shd w:val="clear" w:color="auto" w:fill="auto"/>
            <w:hideMark/>
          </w:tcPr>
          <w:p w14:paraId="7FC4B0F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Number of people immigrating per week.  Estimated via constrained optimisation.</w:t>
            </w:r>
          </w:p>
        </w:tc>
      </w:tr>
      <w:tr w:rsidR="008C5A06" w:rsidRPr="008C5A06" w14:paraId="31518271" w14:textId="77777777" w:rsidTr="008C5A06">
        <w:trPr>
          <w:trHeight w:val="204"/>
        </w:trPr>
        <w:tc>
          <w:tcPr>
            <w:tcW w:w="3460" w:type="dxa"/>
            <w:tcBorders>
              <w:top w:val="nil"/>
              <w:left w:val="nil"/>
              <w:bottom w:val="nil"/>
              <w:right w:val="nil"/>
            </w:tcBorders>
            <w:shd w:val="clear" w:color="auto" w:fill="auto"/>
            <w:hideMark/>
          </w:tcPr>
          <w:p w14:paraId="235635AF"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c>
          <w:tcPr>
            <w:tcW w:w="4300" w:type="dxa"/>
            <w:tcBorders>
              <w:top w:val="nil"/>
              <w:left w:val="nil"/>
              <w:bottom w:val="nil"/>
              <w:right w:val="nil"/>
            </w:tcBorders>
            <w:shd w:val="clear" w:color="auto" w:fill="auto"/>
            <w:hideMark/>
          </w:tcPr>
          <w:p w14:paraId="3D562F2D"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c>
          <w:tcPr>
            <w:tcW w:w="6160" w:type="dxa"/>
            <w:tcBorders>
              <w:top w:val="nil"/>
              <w:left w:val="nil"/>
              <w:bottom w:val="nil"/>
              <w:right w:val="nil"/>
            </w:tcBorders>
            <w:shd w:val="clear" w:color="auto" w:fill="auto"/>
            <w:hideMark/>
          </w:tcPr>
          <w:p w14:paraId="2E5C9875"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r>
      <w:tr w:rsidR="008C5A06" w:rsidRPr="008C5A06" w14:paraId="2DA059D5" w14:textId="77777777" w:rsidTr="008C5A06">
        <w:trPr>
          <w:trHeight w:val="204"/>
        </w:trPr>
        <w:tc>
          <w:tcPr>
            <w:tcW w:w="3460" w:type="dxa"/>
            <w:tcBorders>
              <w:top w:val="nil"/>
              <w:left w:val="nil"/>
              <w:bottom w:val="nil"/>
              <w:right w:val="nil"/>
            </w:tcBorders>
            <w:shd w:val="clear" w:color="000000" w:fill="D9D9D9"/>
            <w:hideMark/>
          </w:tcPr>
          <w:p w14:paraId="1F05FCE6"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Psychological distress sector</w:t>
            </w:r>
          </w:p>
        </w:tc>
        <w:tc>
          <w:tcPr>
            <w:tcW w:w="4300" w:type="dxa"/>
            <w:tcBorders>
              <w:top w:val="nil"/>
              <w:left w:val="nil"/>
              <w:bottom w:val="nil"/>
              <w:right w:val="nil"/>
            </w:tcBorders>
            <w:shd w:val="clear" w:color="000000" w:fill="D9D9D9"/>
            <w:hideMark/>
          </w:tcPr>
          <w:p w14:paraId="43C3C0D9"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w:t>
            </w:r>
          </w:p>
        </w:tc>
        <w:tc>
          <w:tcPr>
            <w:tcW w:w="6160" w:type="dxa"/>
            <w:tcBorders>
              <w:top w:val="nil"/>
              <w:left w:val="nil"/>
              <w:bottom w:val="nil"/>
              <w:right w:val="nil"/>
            </w:tcBorders>
            <w:shd w:val="clear" w:color="000000" w:fill="D9D9D9"/>
            <w:hideMark/>
          </w:tcPr>
          <w:p w14:paraId="47CA0EA3"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w:t>
            </w:r>
          </w:p>
        </w:tc>
      </w:tr>
      <w:tr w:rsidR="008C5A06" w:rsidRPr="008C5A06" w14:paraId="41727C01" w14:textId="77777777" w:rsidTr="008C5A06">
        <w:trPr>
          <w:trHeight w:val="204"/>
        </w:trPr>
        <w:tc>
          <w:tcPr>
            <w:tcW w:w="3460" w:type="dxa"/>
            <w:tcBorders>
              <w:top w:val="nil"/>
              <w:left w:val="nil"/>
              <w:bottom w:val="nil"/>
              <w:right w:val="nil"/>
            </w:tcBorders>
            <w:shd w:val="clear" w:color="auto" w:fill="auto"/>
            <w:hideMark/>
          </w:tcPr>
          <w:p w14:paraId="7BA31951"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c>
          <w:tcPr>
            <w:tcW w:w="4300" w:type="dxa"/>
            <w:tcBorders>
              <w:top w:val="nil"/>
              <w:left w:val="nil"/>
              <w:bottom w:val="nil"/>
              <w:right w:val="nil"/>
            </w:tcBorders>
            <w:shd w:val="clear" w:color="auto" w:fill="auto"/>
            <w:hideMark/>
          </w:tcPr>
          <w:p w14:paraId="3B0F2991"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c>
          <w:tcPr>
            <w:tcW w:w="6160" w:type="dxa"/>
            <w:tcBorders>
              <w:top w:val="nil"/>
              <w:left w:val="nil"/>
              <w:bottom w:val="nil"/>
              <w:right w:val="nil"/>
            </w:tcBorders>
            <w:shd w:val="clear" w:color="auto" w:fill="auto"/>
            <w:hideMark/>
          </w:tcPr>
          <w:p w14:paraId="4FBA844E"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r>
      <w:tr w:rsidR="008C5A06" w:rsidRPr="008C5A06" w14:paraId="737906BB" w14:textId="77777777" w:rsidTr="008C5A06">
        <w:tc>
          <w:tcPr>
            <w:tcW w:w="3460" w:type="dxa"/>
            <w:tcBorders>
              <w:top w:val="nil"/>
              <w:left w:val="nil"/>
              <w:bottom w:val="nil"/>
              <w:right w:val="nil"/>
            </w:tcBorders>
            <w:shd w:val="clear" w:color="000000" w:fill="F2F2F2"/>
            <w:hideMark/>
          </w:tcPr>
          <w:p w14:paraId="600BF9C5"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Death rate ratio psychological distress</w:t>
            </w:r>
          </w:p>
        </w:tc>
        <w:tc>
          <w:tcPr>
            <w:tcW w:w="4300" w:type="dxa"/>
            <w:tcBorders>
              <w:top w:val="nil"/>
              <w:left w:val="nil"/>
              <w:bottom w:val="nil"/>
              <w:right w:val="nil"/>
            </w:tcBorders>
            <w:shd w:val="clear" w:color="000000" w:fill="F2F2F2"/>
            <w:hideMark/>
          </w:tcPr>
          <w:p w14:paraId="4679D86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1.27</w:t>
            </w:r>
          </w:p>
        </w:tc>
        <w:tc>
          <w:tcPr>
            <w:tcW w:w="6160" w:type="dxa"/>
            <w:tcBorders>
              <w:top w:val="nil"/>
              <w:left w:val="nil"/>
              <w:bottom w:val="nil"/>
              <w:right w:val="nil"/>
            </w:tcBorders>
            <w:shd w:val="clear" w:color="000000" w:fill="F2F2F2"/>
            <w:hideMark/>
          </w:tcPr>
          <w:p w14:paraId="4B6EC499"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Derived from Russ et al. (2012, Br. Med. J. 345, e4933)</w:t>
            </w:r>
          </w:p>
        </w:tc>
      </w:tr>
      <w:tr w:rsidR="008C5A06" w:rsidRPr="008C5A06" w14:paraId="2DE7787B" w14:textId="77777777" w:rsidTr="008C5A06">
        <w:tc>
          <w:tcPr>
            <w:tcW w:w="3460" w:type="dxa"/>
            <w:tcBorders>
              <w:top w:val="nil"/>
              <w:left w:val="nil"/>
              <w:bottom w:val="nil"/>
              <w:right w:val="nil"/>
            </w:tcBorders>
            <w:shd w:val="clear" w:color="auto" w:fill="auto"/>
            <w:hideMark/>
          </w:tcPr>
          <w:p w14:paraId="05043C6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Pre-intervention psychological distress onset rate</w:t>
            </w:r>
          </w:p>
        </w:tc>
        <w:tc>
          <w:tcPr>
            <w:tcW w:w="4300" w:type="dxa"/>
            <w:tcBorders>
              <w:top w:val="nil"/>
              <w:left w:val="nil"/>
              <w:bottom w:val="nil"/>
              <w:right w:val="nil"/>
            </w:tcBorders>
            <w:shd w:val="clear" w:color="auto" w:fill="auto"/>
            <w:noWrap/>
            <w:vAlign w:val="bottom"/>
            <w:hideMark/>
          </w:tcPr>
          <w:p w14:paraId="0E8D263D"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0.111047827215 (Central Coast), 0.0960748596927 (HNE)</w:t>
            </w:r>
          </w:p>
        </w:tc>
        <w:tc>
          <w:tcPr>
            <w:tcW w:w="6160" w:type="dxa"/>
            <w:tcBorders>
              <w:top w:val="nil"/>
              <w:left w:val="nil"/>
              <w:bottom w:val="nil"/>
              <w:right w:val="nil"/>
            </w:tcBorders>
            <w:shd w:val="clear" w:color="auto" w:fill="auto"/>
            <w:hideMark/>
          </w:tcPr>
          <w:p w14:paraId="5800B33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Per capita rate per year.  Estimated via constrained optimisation.</w:t>
            </w:r>
          </w:p>
        </w:tc>
      </w:tr>
      <w:tr w:rsidR="008C5A06" w:rsidRPr="008C5A06" w14:paraId="77B04EF8" w14:textId="77777777" w:rsidTr="008C5A06">
        <w:tc>
          <w:tcPr>
            <w:tcW w:w="3460" w:type="dxa"/>
            <w:tcBorders>
              <w:top w:val="nil"/>
              <w:left w:val="nil"/>
              <w:bottom w:val="nil"/>
              <w:right w:val="nil"/>
            </w:tcBorders>
            <w:shd w:val="clear" w:color="000000" w:fill="F2F2F2"/>
            <w:hideMark/>
          </w:tcPr>
          <w:p w14:paraId="2405CF11"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Psychological distress prevalence initial</w:t>
            </w:r>
          </w:p>
        </w:tc>
        <w:tc>
          <w:tcPr>
            <w:tcW w:w="4300" w:type="dxa"/>
            <w:tcBorders>
              <w:top w:val="nil"/>
              <w:left w:val="nil"/>
              <w:bottom w:val="nil"/>
              <w:right w:val="nil"/>
            </w:tcBorders>
            <w:shd w:val="clear" w:color="000000" w:fill="F2F2F2"/>
            <w:noWrap/>
            <w:vAlign w:val="bottom"/>
            <w:hideMark/>
          </w:tcPr>
          <w:p w14:paraId="0DE5847D"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0.228505373 (Central Coast), 0.209348394 (HNE)</w:t>
            </w:r>
          </w:p>
        </w:tc>
        <w:tc>
          <w:tcPr>
            <w:tcW w:w="6160" w:type="dxa"/>
            <w:tcBorders>
              <w:top w:val="nil"/>
              <w:left w:val="nil"/>
              <w:bottom w:val="nil"/>
              <w:right w:val="nil"/>
            </w:tcBorders>
            <w:shd w:val="clear" w:color="000000" w:fill="F2F2F2"/>
            <w:hideMark/>
          </w:tcPr>
          <w:p w14:paraId="3918639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Estimated via constrained optimisation</w:t>
            </w:r>
          </w:p>
        </w:tc>
      </w:tr>
      <w:tr w:rsidR="008C5A06" w:rsidRPr="008C5A06" w14:paraId="62FD6318" w14:textId="77777777" w:rsidTr="008C5A06">
        <w:tc>
          <w:tcPr>
            <w:tcW w:w="3460" w:type="dxa"/>
            <w:tcBorders>
              <w:top w:val="nil"/>
              <w:left w:val="nil"/>
              <w:bottom w:val="nil"/>
              <w:right w:val="nil"/>
            </w:tcBorders>
            <w:shd w:val="clear" w:color="auto" w:fill="auto"/>
            <w:hideMark/>
          </w:tcPr>
          <w:p w14:paraId="41D2811F"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Recovery base rate</w:t>
            </w:r>
          </w:p>
        </w:tc>
        <w:tc>
          <w:tcPr>
            <w:tcW w:w="4300" w:type="dxa"/>
            <w:tcBorders>
              <w:top w:val="nil"/>
              <w:left w:val="nil"/>
              <w:bottom w:val="nil"/>
              <w:right w:val="nil"/>
            </w:tcBorders>
            <w:shd w:val="clear" w:color="auto" w:fill="auto"/>
            <w:hideMark/>
          </w:tcPr>
          <w:p w14:paraId="43B0540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0.06833333</w:t>
            </w:r>
          </w:p>
        </w:tc>
        <w:tc>
          <w:tcPr>
            <w:tcW w:w="6160" w:type="dxa"/>
            <w:tcBorders>
              <w:top w:val="nil"/>
              <w:left w:val="nil"/>
              <w:bottom w:val="nil"/>
              <w:right w:val="nil"/>
            </w:tcBorders>
            <w:shd w:val="clear" w:color="auto" w:fill="auto"/>
            <w:hideMark/>
          </w:tcPr>
          <w:p w14:paraId="5E93B115"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xml:space="preserve">Per capita spontaneous recovery rate per year.  Derived from Jokela et al. (2011, J. Affect. </w:t>
            </w:r>
            <w:proofErr w:type="spellStart"/>
            <w:r w:rsidRPr="008C5A06">
              <w:rPr>
                <w:rFonts w:ascii="Times New Roman" w:eastAsia="Times New Roman" w:hAnsi="Times New Roman"/>
                <w:color w:val="auto"/>
                <w:sz w:val="17"/>
                <w:szCs w:val="17"/>
                <w:lang w:eastAsia="en-AU"/>
              </w:rPr>
              <w:t>Disord</w:t>
            </w:r>
            <w:proofErr w:type="spellEnd"/>
            <w:r w:rsidRPr="008C5A06">
              <w:rPr>
                <w:rFonts w:ascii="Times New Roman" w:eastAsia="Times New Roman" w:hAnsi="Times New Roman"/>
                <w:color w:val="auto"/>
                <w:sz w:val="17"/>
                <w:szCs w:val="17"/>
                <w:lang w:eastAsia="en-AU"/>
              </w:rPr>
              <w:t>. 130, 454−461).</w:t>
            </w:r>
          </w:p>
        </w:tc>
      </w:tr>
      <w:tr w:rsidR="008C5A06" w:rsidRPr="008C5A06" w14:paraId="37A2161B" w14:textId="77777777" w:rsidTr="008C5A06">
        <w:trPr>
          <w:trHeight w:val="204"/>
        </w:trPr>
        <w:tc>
          <w:tcPr>
            <w:tcW w:w="3460" w:type="dxa"/>
            <w:tcBorders>
              <w:top w:val="nil"/>
              <w:left w:val="nil"/>
              <w:bottom w:val="nil"/>
              <w:right w:val="nil"/>
            </w:tcBorders>
            <w:shd w:val="clear" w:color="auto" w:fill="auto"/>
            <w:hideMark/>
          </w:tcPr>
          <w:p w14:paraId="2DCF8236"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c>
          <w:tcPr>
            <w:tcW w:w="4300" w:type="dxa"/>
            <w:tcBorders>
              <w:top w:val="nil"/>
              <w:left w:val="nil"/>
              <w:bottom w:val="nil"/>
              <w:right w:val="nil"/>
            </w:tcBorders>
            <w:shd w:val="clear" w:color="auto" w:fill="auto"/>
            <w:hideMark/>
          </w:tcPr>
          <w:p w14:paraId="0CC31A14"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c>
          <w:tcPr>
            <w:tcW w:w="6160" w:type="dxa"/>
            <w:tcBorders>
              <w:top w:val="nil"/>
              <w:left w:val="nil"/>
              <w:bottom w:val="nil"/>
              <w:right w:val="nil"/>
            </w:tcBorders>
            <w:shd w:val="clear" w:color="auto" w:fill="auto"/>
            <w:hideMark/>
          </w:tcPr>
          <w:p w14:paraId="33CC172E"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r>
      <w:tr w:rsidR="008C5A06" w:rsidRPr="008C5A06" w14:paraId="432C32D6" w14:textId="77777777" w:rsidTr="008C5A06">
        <w:trPr>
          <w:trHeight w:val="204"/>
        </w:trPr>
        <w:tc>
          <w:tcPr>
            <w:tcW w:w="3460" w:type="dxa"/>
            <w:tcBorders>
              <w:top w:val="nil"/>
              <w:left w:val="nil"/>
              <w:bottom w:val="nil"/>
              <w:right w:val="nil"/>
            </w:tcBorders>
            <w:shd w:val="clear" w:color="000000" w:fill="D9D9D9"/>
            <w:hideMark/>
          </w:tcPr>
          <w:p w14:paraId="6036CDD8"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Mental health services sector</w:t>
            </w:r>
          </w:p>
        </w:tc>
        <w:tc>
          <w:tcPr>
            <w:tcW w:w="4300" w:type="dxa"/>
            <w:tcBorders>
              <w:top w:val="nil"/>
              <w:left w:val="nil"/>
              <w:bottom w:val="nil"/>
              <w:right w:val="nil"/>
            </w:tcBorders>
            <w:shd w:val="clear" w:color="000000" w:fill="D9D9D9"/>
            <w:hideMark/>
          </w:tcPr>
          <w:p w14:paraId="3183AE9D"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w:t>
            </w:r>
          </w:p>
        </w:tc>
        <w:tc>
          <w:tcPr>
            <w:tcW w:w="6160" w:type="dxa"/>
            <w:tcBorders>
              <w:top w:val="nil"/>
              <w:left w:val="nil"/>
              <w:bottom w:val="nil"/>
              <w:right w:val="nil"/>
            </w:tcBorders>
            <w:shd w:val="clear" w:color="000000" w:fill="D9D9D9"/>
            <w:hideMark/>
          </w:tcPr>
          <w:p w14:paraId="23CE7A0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w:t>
            </w:r>
          </w:p>
        </w:tc>
      </w:tr>
      <w:tr w:rsidR="008C5A06" w:rsidRPr="008C5A06" w14:paraId="44DF8366" w14:textId="77777777" w:rsidTr="008C5A06">
        <w:trPr>
          <w:trHeight w:val="204"/>
        </w:trPr>
        <w:tc>
          <w:tcPr>
            <w:tcW w:w="3460" w:type="dxa"/>
            <w:tcBorders>
              <w:top w:val="nil"/>
              <w:left w:val="nil"/>
              <w:bottom w:val="nil"/>
              <w:right w:val="nil"/>
            </w:tcBorders>
            <w:shd w:val="clear" w:color="auto" w:fill="auto"/>
            <w:hideMark/>
          </w:tcPr>
          <w:p w14:paraId="11A722D9"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c>
          <w:tcPr>
            <w:tcW w:w="4300" w:type="dxa"/>
            <w:tcBorders>
              <w:top w:val="nil"/>
              <w:left w:val="nil"/>
              <w:bottom w:val="nil"/>
              <w:right w:val="nil"/>
            </w:tcBorders>
            <w:shd w:val="clear" w:color="auto" w:fill="auto"/>
            <w:hideMark/>
          </w:tcPr>
          <w:p w14:paraId="53F08FE9"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c>
          <w:tcPr>
            <w:tcW w:w="6160" w:type="dxa"/>
            <w:tcBorders>
              <w:top w:val="nil"/>
              <w:left w:val="nil"/>
              <w:bottom w:val="nil"/>
              <w:right w:val="nil"/>
            </w:tcBorders>
            <w:shd w:val="clear" w:color="auto" w:fill="auto"/>
            <w:hideMark/>
          </w:tcPr>
          <w:p w14:paraId="4ECDB682"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r>
      <w:tr w:rsidR="008C5A06" w:rsidRPr="008C5A06" w14:paraId="69A47D2A" w14:textId="77777777" w:rsidTr="008C5A06">
        <w:tc>
          <w:tcPr>
            <w:tcW w:w="3460" w:type="dxa"/>
            <w:tcBorders>
              <w:top w:val="nil"/>
              <w:left w:val="nil"/>
              <w:bottom w:val="nil"/>
              <w:right w:val="nil"/>
            </w:tcBorders>
            <w:shd w:val="clear" w:color="000000" w:fill="F2F2F2"/>
            <w:hideMark/>
          </w:tcPr>
          <w:p w14:paraId="4DC0C8A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Additional admissions rate non-specialised hospital care</w:t>
            </w:r>
          </w:p>
        </w:tc>
        <w:tc>
          <w:tcPr>
            <w:tcW w:w="4300" w:type="dxa"/>
            <w:tcBorders>
              <w:top w:val="nil"/>
              <w:left w:val="nil"/>
              <w:bottom w:val="nil"/>
              <w:right w:val="nil"/>
            </w:tcBorders>
            <w:shd w:val="clear" w:color="000000" w:fill="F2F2F2"/>
            <w:hideMark/>
          </w:tcPr>
          <w:p w14:paraId="77DE9E6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0.0861586047966 (Central Coast), 0.0709565123353 (HNE)</w:t>
            </w:r>
          </w:p>
        </w:tc>
        <w:tc>
          <w:tcPr>
            <w:tcW w:w="6160" w:type="dxa"/>
            <w:tcBorders>
              <w:top w:val="nil"/>
              <w:left w:val="nil"/>
              <w:bottom w:val="nil"/>
              <w:right w:val="nil"/>
            </w:tcBorders>
            <w:shd w:val="clear" w:color="000000" w:fill="F2F2F2"/>
            <w:hideMark/>
          </w:tcPr>
          <w:p w14:paraId="326F0F23"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Per capita rate per year.  Estimated via constrained optimisation.</w:t>
            </w:r>
          </w:p>
        </w:tc>
      </w:tr>
      <w:tr w:rsidR="008C5A06" w:rsidRPr="008C5A06" w14:paraId="23EED8C8" w14:textId="77777777" w:rsidTr="008C5A06">
        <w:tc>
          <w:tcPr>
            <w:tcW w:w="3460" w:type="dxa"/>
            <w:tcBorders>
              <w:top w:val="nil"/>
              <w:left w:val="nil"/>
              <w:bottom w:val="nil"/>
              <w:right w:val="nil"/>
            </w:tcBorders>
            <w:shd w:val="clear" w:color="auto" w:fill="auto"/>
            <w:hideMark/>
          </w:tcPr>
          <w:p w14:paraId="6662B116"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Additional CMHC service contacts rate</w:t>
            </w:r>
          </w:p>
        </w:tc>
        <w:tc>
          <w:tcPr>
            <w:tcW w:w="4300" w:type="dxa"/>
            <w:tcBorders>
              <w:top w:val="nil"/>
              <w:left w:val="nil"/>
              <w:bottom w:val="nil"/>
              <w:right w:val="nil"/>
            </w:tcBorders>
            <w:shd w:val="clear" w:color="auto" w:fill="auto"/>
            <w:hideMark/>
          </w:tcPr>
          <w:p w14:paraId="73308A5B"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7.58762402768 (Central Coast), 7.49254873764 (HNE)</w:t>
            </w:r>
          </w:p>
        </w:tc>
        <w:tc>
          <w:tcPr>
            <w:tcW w:w="6160" w:type="dxa"/>
            <w:tcBorders>
              <w:top w:val="nil"/>
              <w:left w:val="nil"/>
              <w:bottom w:val="nil"/>
              <w:right w:val="nil"/>
            </w:tcBorders>
            <w:shd w:val="clear" w:color="auto" w:fill="auto"/>
            <w:hideMark/>
          </w:tcPr>
          <w:p w14:paraId="2838BE7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Per capita rate per year.  Estimated via constrained optimisation.</w:t>
            </w:r>
          </w:p>
        </w:tc>
      </w:tr>
      <w:tr w:rsidR="008C5A06" w:rsidRPr="008C5A06" w14:paraId="24F7FF8C" w14:textId="77777777" w:rsidTr="008C5A06">
        <w:tc>
          <w:tcPr>
            <w:tcW w:w="3460" w:type="dxa"/>
            <w:tcBorders>
              <w:top w:val="nil"/>
              <w:left w:val="nil"/>
              <w:bottom w:val="nil"/>
              <w:right w:val="nil"/>
            </w:tcBorders>
            <w:shd w:val="clear" w:color="000000" w:fill="F2F2F2"/>
            <w:hideMark/>
          </w:tcPr>
          <w:p w14:paraId="1CFF416E"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Additional psychiatrist and allied services rate</w:t>
            </w:r>
          </w:p>
        </w:tc>
        <w:tc>
          <w:tcPr>
            <w:tcW w:w="4300" w:type="dxa"/>
            <w:tcBorders>
              <w:top w:val="nil"/>
              <w:left w:val="nil"/>
              <w:bottom w:val="nil"/>
              <w:right w:val="nil"/>
            </w:tcBorders>
            <w:shd w:val="clear" w:color="000000" w:fill="F2F2F2"/>
            <w:hideMark/>
          </w:tcPr>
          <w:p w14:paraId="077DEB76"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3.8004830965 (Central Coast), 3.38192095262 (HNE)</w:t>
            </w:r>
          </w:p>
        </w:tc>
        <w:tc>
          <w:tcPr>
            <w:tcW w:w="6160" w:type="dxa"/>
            <w:tcBorders>
              <w:top w:val="nil"/>
              <w:left w:val="nil"/>
              <w:bottom w:val="nil"/>
              <w:right w:val="nil"/>
            </w:tcBorders>
            <w:shd w:val="clear" w:color="000000" w:fill="F2F2F2"/>
            <w:hideMark/>
          </w:tcPr>
          <w:p w14:paraId="04BEC0D3"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Per capita rate per year.  Estimated via constrained optimisation.</w:t>
            </w:r>
          </w:p>
        </w:tc>
      </w:tr>
      <w:tr w:rsidR="008C5A06" w:rsidRPr="008C5A06" w14:paraId="1EF5BF21" w14:textId="77777777" w:rsidTr="008C5A06">
        <w:tc>
          <w:tcPr>
            <w:tcW w:w="3460" w:type="dxa"/>
            <w:tcBorders>
              <w:top w:val="nil"/>
              <w:left w:val="nil"/>
              <w:bottom w:val="nil"/>
              <w:right w:val="nil"/>
            </w:tcBorders>
            <w:shd w:val="clear" w:color="auto" w:fill="auto"/>
            <w:hideMark/>
          </w:tcPr>
          <w:p w14:paraId="59136DBB"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CMHC services capacity increase per year</w:t>
            </w:r>
          </w:p>
        </w:tc>
        <w:tc>
          <w:tcPr>
            <w:tcW w:w="4300" w:type="dxa"/>
            <w:tcBorders>
              <w:top w:val="nil"/>
              <w:left w:val="nil"/>
              <w:bottom w:val="nil"/>
              <w:right w:val="nil"/>
            </w:tcBorders>
            <w:shd w:val="clear" w:color="auto" w:fill="auto"/>
            <w:hideMark/>
          </w:tcPr>
          <w:p w14:paraId="596590E6"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 (Central Coast), 0.000149180499987 (HNE)</w:t>
            </w:r>
          </w:p>
        </w:tc>
        <w:tc>
          <w:tcPr>
            <w:tcW w:w="6160" w:type="dxa"/>
            <w:tcBorders>
              <w:top w:val="nil"/>
              <w:left w:val="nil"/>
              <w:bottom w:val="nil"/>
              <w:right w:val="nil"/>
            </w:tcBorders>
            <w:shd w:val="clear" w:color="auto" w:fill="auto"/>
            <w:hideMark/>
          </w:tcPr>
          <w:p w14:paraId="2874ABF6"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Annual increase in the number of community mental health care services contacts per person per week.  Default values were derived from service usage data for 2014–2018 published by the Australian Institute of Health and Welfare (available at: https://www.aihw.gov.au/reports-data/health-welfare-services/mental-health-services/data).</w:t>
            </w:r>
          </w:p>
        </w:tc>
      </w:tr>
      <w:tr w:rsidR="008C5A06" w:rsidRPr="008C5A06" w14:paraId="2FD46551" w14:textId="77777777" w:rsidTr="008C5A06">
        <w:tc>
          <w:tcPr>
            <w:tcW w:w="3460" w:type="dxa"/>
            <w:tcBorders>
              <w:top w:val="nil"/>
              <w:left w:val="nil"/>
              <w:bottom w:val="nil"/>
              <w:right w:val="nil"/>
            </w:tcBorders>
            <w:shd w:val="clear" w:color="000000" w:fill="F2F2F2"/>
            <w:hideMark/>
          </w:tcPr>
          <w:p w14:paraId="54B228C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CMHC services capacity initial</w:t>
            </w:r>
          </w:p>
        </w:tc>
        <w:tc>
          <w:tcPr>
            <w:tcW w:w="4300" w:type="dxa"/>
            <w:tcBorders>
              <w:top w:val="nil"/>
              <w:left w:val="nil"/>
              <w:bottom w:val="nil"/>
              <w:right w:val="nil"/>
            </w:tcBorders>
            <w:shd w:val="clear" w:color="000000" w:fill="F2F2F2"/>
            <w:hideMark/>
          </w:tcPr>
          <w:p w14:paraId="51D27729"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0.0111276603448 (Central Coast), 0.00949222875405 (HNE)</w:t>
            </w:r>
          </w:p>
        </w:tc>
        <w:tc>
          <w:tcPr>
            <w:tcW w:w="6160" w:type="dxa"/>
            <w:tcBorders>
              <w:top w:val="nil"/>
              <w:left w:val="nil"/>
              <w:bottom w:val="nil"/>
              <w:right w:val="nil"/>
            </w:tcBorders>
            <w:shd w:val="clear" w:color="000000" w:fill="F2F2F2"/>
            <w:hideMark/>
          </w:tcPr>
          <w:p w14:paraId="1232543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The initial number of community mental health care service contacts per person per week (i.e., at the start of 2011).  Estimated via constrained optimisation.</w:t>
            </w:r>
          </w:p>
        </w:tc>
      </w:tr>
      <w:tr w:rsidR="008C5A06" w:rsidRPr="008C5A06" w14:paraId="670BD107" w14:textId="77777777" w:rsidTr="008C5A06">
        <w:tc>
          <w:tcPr>
            <w:tcW w:w="3460" w:type="dxa"/>
            <w:tcBorders>
              <w:top w:val="nil"/>
              <w:left w:val="nil"/>
              <w:bottom w:val="nil"/>
              <w:right w:val="nil"/>
            </w:tcBorders>
            <w:shd w:val="clear" w:color="auto" w:fill="auto"/>
            <w:hideMark/>
          </w:tcPr>
          <w:p w14:paraId="023FB0E4"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CMHC services referral rate ED</w:t>
            </w:r>
          </w:p>
        </w:tc>
        <w:tc>
          <w:tcPr>
            <w:tcW w:w="4300" w:type="dxa"/>
            <w:tcBorders>
              <w:top w:val="nil"/>
              <w:left w:val="nil"/>
              <w:bottom w:val="nil"/>
              <w:right w:val="nil"/>
            </w:tcBorders>
            <w:shd w:val="clear" w:color="auto" w:fill="auto"/>
            <w:hideMark/>
          </w:tcPr>
          <w:p w14:paraId="6071D3D9"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0.470283989111 (Central Coast), 0.654485628402 (HNE)</w:t>
            </w:r>
          </w:p>
        </w:tc>
        <w:tc>
          <w:tcPr>
            <w:tcW w:w="6160" w:type="dxa"/>
            <w:tcBorders>
              <w:top w:val="nil"/>
              <w:left w:val="nil"/>
              <w:bottom w:val="nil"/>
              <w:right w:val="nil"/>
            </w:tcBorders>
            <w:shd w:val="clear" w:color="auto" w:fill="auto"/>
            <w:hideMark/>
          </w:tcPr>
          <w:p w14:paraId="09D90E7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Fraction of patients discharged from emergency department care referred to community mental health care services.  Estimated via constrained optimisation.</w:t>
            </w:r>
          </w:p>
        </w:tc>
      </w:tr>
      <w:tr w:rsidR="008C5A06" w:rsidRPr="008C5A06" w14:paraId="6BF75F92" w14:textId="77777777" w:rsidTr="008C5A06">
        <w:tc>
          <w:tcPr>
            <w:tcW w:w="3460" w:type="dxa"/>
            <w:tcBorders>
              <w:top w:val="nil"/>
              <w:left w:val="nil"/>
              <w:bottom w:val="nil"/>
              <w:right w:val="nil"/>
            </w:tcBorders>
            <w:shd w:val="clear" w:color="000000" w:fill="F2F2F2"/>
            <w:hideMark/>
          </w:tcPr>
          <w:p w14:paraId="4B5EDA6D"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lastRenderedPageBreak/>
              <w:t>Disengaged to perceived need for services rate</w:t>
            </w:r>
          </w:p>
        </w:tc>
        <w:tc>
          <w:tcPr>
            <w:tcW w:w="4300" w:type="dxa"/>
            <w:tcBorders>
              <w:top w:val="nil"/>
              <w:left w:val="nil"/>
              <w:bottom w:val="nil"/>
              <w:right w:val="nil"/>
            </w:tcBorders>
            <w:shd w:val="clear" w:color="000000" w:fill="F2F2F2"/>
            <w:hideMark/>
          </w:tcPr>
          <w:p w14:paraId="10EE5C1F"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2.914411317</w:t>
            </w:r>
          </w:p>
        </w:tc>
        <w:tc>
          <w:tcPr>
            <w:tcW w:w="6160" w:type="dxa"/>
            <w:tcBorders>
              <w:top w:val="nil"/>
              <w:left w:val="nil"/>
              <w:bottom w:val="nil"/>
              <w:right w:val="nil"/>
            </w:tcBorders>
            <w:shd w:val="clear" w:color="000000" w:fill="F2F2F2"/>
            <w:hideMark/>
          </w:tcPr>
          <w:p w14:paraId="2350C08B"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Per capita rate per year.  Estimated via constrained optimisation.</w:t>
            </w:r>
          </w:p>
        </w:tc>
      </w:tr>
      <w:tr w:rsidR="008C5A06" w:rsidRPr="008C5A06" w14:paraId="2CFAAB1C" w14:textId="77777777" w:rsidTr="008C5A06">
        <w:tc>
          <w:tcPr>
            <w:tcW w:w="3460" w:type="dxa"/>
            <w:tcBorders>
              <w:top w:val="nil"/>
              <w:left w:val="nil"/>
              <w:bottom w:val="nil"/>
              <w:right w:val="nil"/>
            </w:tcBorders>
            <w:shd w:val="clear" w:color="auto" w:fill="auto"/>
            <w:hideMark/>
          </w:tcPr>
          <w:p w14:paraId="0C1A6465"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ED presentation rate</w:t>
            </w:r>
          </w:p>
        </w:tc>
        <w:tc>
          <w:tcPr>
            <w:tcW w:w="4300" w:type="dxa"/>
            <w:tcBorders>
              <w:top w:val="nil"/>
              <w:left w:val="nil"/>
              <w:bottom w:val="nil"/>
              <w:right w:val="nil"/>
            </w:tcBorders>
            <w:shd w:val="clear" w:color="auto" w:fill="auto"/>
            <w:hideMark/>
          </w:tcPr>
          <w:p w14:paraId="6B8A300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0.0214313980006 (Central Coast), 0.0233557564875 (HNE)</w:t>
            </w:r>
          </w:p>
        </w:tc>
        <w:tc>
          <w:tcPr>
            <w:tcW w:w="6160" w:type="dxa"/>
            <w:tcBorders>
              <w:top w:val="nil"/>
              <w:left w:val="nil"/>
              <w:bottom w:val="nil"/>
              <w:right w:val="nil"/>
            </w:tcBorders>
            <w:shd w:val="clear" w:color="auto" w:fill="auto"/>
            <w:hideMark/>
          </w:tcPr>
          <w:p w14:paraId="2F60BB35"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Per capita rate per year.  Estimated via constrained optimisation.</w:t>
            </w:r>
          </w:p>
        </w:tc>
      </w:tr>
      <w:tr w:rsidR="008C5A06" w:rsidRPr="008C5A06" w14:paraId="1B3DA27F" w14:textId="77777777" w:rsidTr="008C5A06">
        <w:tc>
          <w:tcPr>
            <w:tcW w:w="3460" w:type="dxa"/>
            <w:tcBorders>
              <w:top w:val="nil"/>
              <w:left w:val="nil"/>
              <w:bottom w:val="nil"/>
              <w:right w:val="nil"/>
            </w:tcBorders>
            <w:shd w:val="clear" w:color="000000" w:fill="F2F2F2"/>
            <w:hideMark/>
          </w:tcPr>
          <w:p w14:paraId="2783164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ED presentation rate ratio perceived need for services</w:t>
            </w:r>
          </w:p>
        </w:tc>
        <w:tc>
          <w:tcPr>
            <w:tcW w:w="4300" w:type="dxa"/>
            <w:tcBorders>
              <w:top w:val="nil"/>
              <w:left w:val="nil"/>
              <w:bottom w:val="nil"/>
              <w:right w:val="nil"/>
            </w:tcBorders>
            <w:shd w:val="clear" w:color="000000" w:fill="F2F2F2"/>
            <w:hideMark/>
          </w:tcPr>
          <w:p w14:paraId="6AF9A795"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3.480112291</w:t>
            </w:r>
          </w:p>
        </w:tc>
        <w:tc>
          <w:tcPr>
            <w:tcW w:w="6160" w:type="dxa"/>
            <w:tcBorders>
              <w:top w:val="nil"/>
              <w:left w:val="nil"/>
              <w:bottom w:val="nil"/>
              <w:right w:val="nil"/>
            </w:tcBorders>
            <w:shd w:val="clear" w:color="000000" w:fill="F2F2F2"/>
            <w:hideMark/>
          </w:tcPr>
          <w:p w14:paraId="069EF585"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Estimated via constrained optimisation</w:t>
            </w:r>
          </w:p>
        </w:tc>
      </w:tr>
      <w:tr w:rsidR="008C5A06" w:rsidRPr="008C5A06" w14:paraId="568285F4" w14:textId="77777777" w:rsidTr="008C5A06">
        <w:tc>
          <w:tcPr>
            <w:tcW w:w="3460" w:type="dxa"/>
            <w:tcBorders>
              <w:top w:val="nil"/>
              <w:left w:val="nil"/>
              <w:bottom w:val="nil"/>
              <w:right w:val="nil"/>
            </w:tcBorders>
            <w:shd w:val="clear" w:color="auto" w:fill="auto"/>
            <w:hideMark/>
          </w:tcPr>
          <w:p w14:paraId="268F97F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GP services capacity increase per year</w:t>
            </w:r>
          </w:p>
        </w:tc>
        <w:tc>
          <w:tcPr>
            <w:tcW w:w="4300" w:type="dxa"/>
            <w:tcBorders>
              <w:top w:val="nil"/>
              <w:left w:val="nil"/>
              <w:bottom w:val="nil"/>
              <w:right w:val="nil"/>
            </w:tcBorders>
            <w:shd w:val="clear" w:color="auto" w:fill="auto"/>
            <w:hideMark/>
          </w:tcPr>
          <w:p w14:paraId="6DC495B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101.39656517 (Central Coast), 241.864840575 (HNE)</w:t>
            </w:r>
          </w:p>
        </w:tc>
        <w:tc>
          <w:tcPr>
            <w:tcW w:w="6160" w:type="dxa"/>
            <w:tcBorders>
              <w:top w:val="nil"/>
              <w:left w:val="nil"/>
              <w:bottom w:val="nil"/>
              <w:right w:val="nil"/>
            </w:tcBorders>
            <w:shd w:val="clear" w:color="auto" w:fill="auto"/>
            <w:hideMark/>
          </w:tcPr>
          <w:p w14:paraId="29AFC0C1"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Annual increase in the total number of mental health-related general practitioner consultations that can be completed per week.  The default value was estimated using Medicare Benefits Schedule (MBS) data for 2012–2017 assuming services were operating at (near-) maximum capacity over this period.</w:t>
            </w:r>
          </w:p>
        </w:tc>
      </w:tr>
      <w:tr w:rsidR="008C5A06" w:rsidRPr="008C5A06" w14:paraId="5D48D6E6" w14:textId="77777777" w:rsidTr="008C5A06">
        <w:tc>
          <w:tcPr>
            <w:tcW w:w="3460" w:type="dxa"/>
            <w:tcBorders>
              <w:top w:val="nil"/>
              <w:left w:val="nil"/>
              <w:bottom w:val="nil"/>
              <w:right w:val="nil"/>
            </w:tcBorders>
            <w:shd w:val="clear" w:color="000000" w:fill="F2F2F2"/>
            <w:hideMark/>
          </w:tcPr>
          <w:p w14:paraId="6859B34F"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GP services capacity initial</w:t>
            </w:r>
          </w:p>
        </w:tc>
        <w:tc>
          <w:tcPr>
            <w:tcW w:w="4300" w:type="dxa"/>
            <w:tcBorders>
              <w:top w:val="nil"/>
              <w:left w:val="nil"/>
              <w:bottom w:val="nil"/>
              <w:right w:val="nil"/>
            </w:tcBorders>
            <w:shd w:val="clear" w:color="000000" w:fill="F2F2F2"/>
            <w:hideMark/>
          </w:tcPr>
          <w:p w14:paraId="5440DD73"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641.297195611 (Central Coast), 1315.77739723 (HNE)</w:t>
            </w:r>
          </w:p>
        </w:tc>
        <w:tc>
          <w:tcPr>
            <w:tcW w:w="6160" w:type="dxa"/>
            <w:tcBorders>
              <w:top w:val="nil"/>
              <w:left w:val="nil"/>
              <w:bottom w:val="nil"/>
              <w:right w:val="nil"/>
            </w:tcBorders>
            <w:shd w:val="clear" w:color="000000" w:fill="F2F2F2"/>
            <w:hideMark/>
          </w:tcPr>
          <w:p w14:paraId="577C795D"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The initial number of mental health-related general practitioner consultations completed per week (i.e., at the start of 2011).  Estimated via constrained optimisation.</w:t>
            </w:r>
          </w:p>
        </w:tc>
      </w:tr>
      <w:tr w:rsidR="008C5A06" w:rsidRPr="008C5A06" w14:paraId="14FAE2E1" w14:textId="77777777" w:rsidTr="008C5A06">
        <w:tc>
          <w:tcPr>
            <w:tcW w:w="3460" w:type="dxa"/>
            <w:tcBorders>
              <w:top w:val="nil"/>
              <w:left w:val="nil"/>
              <w:bottom w:val="nil"/>
              <w:right w:val="nil"/>
            </w:tcBorders>
            <w:shd w:val="clear" w:color="auto" w:fill="auto"/>
            <w:hideMark/>
          </w:tcPr>
          <w:p w14:paraId="4E6927E5"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Hospital admission rate increase per year</w:t>
            </w:r>
          </w:p>
        </w:tc>
        <w:tc>
          <w:tcPr>
            <w:tcW w:w="4300" w:type="dxa"/>
            <w:tcBorders>
              <w:top w:val="nil"/>
              <w:left w:val="nil"/>
              <w:bottom w:val="nil"/>
              <w:right w:val="nil"/>
            </w:tcBorders>
            <w:shd w:val="clear" w:color="auto" w:fill="auto"/>
            <w:hideMark/>
          </w:tcPr>
          <w:p w14:paraId="332C5D13"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0.003214091</w:t>
            </w:r>
          </w:p>
        </w:tc>
        <w:tc>
          <w:tcPr>
            <w:tcW w:w="6160" w:type="dxa"/>
            <w:tcBorders>
              <w:top w:val="nil"/>
              <w:left w:val="nil"/>
              <w:bottom w:val="nil"/>
              <w:right w:val="nil"/>
            </w:tcBorders>
            <w:shd w:val="clear" w:color="auto" w:fill="auto"/>
            <w:hideMark/>
          </w:tcPr>
          <w:p w14:paraId="47FB766C"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Estimated via constrained optimisation</w:t>
            </w:r>
          </w:p>
        </w:tc>
      </w:tr>
      <w:tr w:rsidR="008C5A06" w:rsidRPr="008C5A06" w14:paraId="74D75D6A" w14:textId="77777777" w:rsidTr="008C5A06">
        <w:tc>
          <w:tcPr>
            <w:tcW w:w="3460" w:type="dxa"/>
            <w:tcBorders>
              <w:top w:val="nil"/>
              <w:left w:val="nil"/>
              <w:bottom w:val="nil"/>
              <w:right w:val="nil"/>
            </w:tcBorders>
            <w:shd w:val="clear" w:color="000000" w:fill="F2F2F2"/>
            <w:hideMark/>
          </w:tcPr>
          <w:p w14:paraId="77DE9CD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Hospital admission rate initial</w:t>
            </w:r>
          </w:p>
        </w:tc>
        <w:tc>
          <w:tcPr>
            <w:tcW w:w="4300" w:type="dxa"/>
            <w:tcBorders>
              <w:top w:val="nil"/>
              <w:left w:val="nil"/>
              <w:bottom w:val="nil"/>
              <w:right w:val="nil"/>
            </w:tcBorders>
            <w:shd w:val="clear" w:color="000000" w:fill="F2F2F2"/>
            <w:hideMark/>
          </w:tcPr>
          <w:p w14:paraId="3232D7EA"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0.35376657</w:t>
            </w:r>
          </w:p>
        </w:tc>
        <w:tc>
          <w:tcPr>
            <w:tcW w:w="6160" w:type="dxa"/>
            <w:tcBorders>
              <w:top w:val="nil"/>
              <w:left w:val="nil"/>
              <w:bottom w:val="nil"/>
              <w:right w:val="nil"/>
            </w:tcBorders>
            <w:shd w:val="clear" w:color="000000" w:fill="F2F2F2"/>
            <w:hideMark/>
          </w:tcPr>
          <w:p w14:paraId="63920BB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The initial fraction of patients presenting to an emergency department for a mental health-related problem admitted to hospital (i.e., at the start of 2011).  Derived from state-level data on mental health-related emergency department presentations published by the Australian Institute of Health and Welfare (available at: https://www.aihw.gov.au/reports-data/health-welfare-services/mental-health-services/data).</w:t>
            </w:r>
          </w:p>
        </w:tc>
      </w:tr>
      <w:tr w:rsidR="008C5A06" w:rsidRPr="008C5A06" w14:paraId="57C3877E" w14:textId="77777777" w:rsidTr="008C5A06">
        <w:tc>
          <w:tcPr>
            <w:tcW w:w="3460" w:type="dxa"/>
            <w:tcBorders>
              <w:top w:val="nil"/>
              <w:left w:val="nil"/>
              <w:bottom w:val="nil"/>
              <w:right w:val="nil"/>
            </w:tcBorders>
            <w:shd w:val="clear" w:color="auto" w:fill="auto"/>
            <w:hideMark/>
          </w:tcPr>
          <w:p w14:paraId="05279CBA"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Mean treatment duration non-specialised hospital care (weeks)</w:t>
            </w:r>
          </w:p>
        </w:tc>
        <w:tc>
          <w:tcPr>
            <w:tcW w:w="4300" w:type="dxa"/>
            <w:tcBorders>
              <w:top w:val="nil"/>
              <w:left w:val="nil"/>
              <w:bottom w:val="nil"/>
              <w:right w:val="nil"/>
            </w:tcBorders>
            <w:shd w:val="clear" w:color="auto" w:fill="auto"/>
            <w:hideMark/>
          </w:tcPr>
          <w:p w14:paraId="5BB450BA"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0.8746473</w:t>
            </w:r>
          </w:p>
        </w:tc>
        <w:tc>
          <w:tcPr>
            <w:tcW w:w="6160" w:type="dxa"/>
            <w:tcBorders>
              <w:top w:val="nil"/>
              <w:left w:val="nil"/>
              <w:bottom w:val="nil"/>
              <w:right w:val="nil"/>
            </w:tcBorders>
            <w:shd w:val="clear" w:color="auto" w:fill="auto"/>
            <w:hideMark/>
          </w:tcPr>
          <w:p w14:paraId="2F89E283"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Derived from national data on mental health-related hospitalisations published by the Australian Institute of Health and Welfare (available at: https://www.aihw.gov.au/reports-data/health-welfare-services/mental-health-services/data)</w:t>
            </w:r>
          </w:p>
        </w:tc>
      </w:tr>
      <w:tr w:rsidR="008C5A06" w:rsidRPr="008C5A06" w14:paraId="5C042BDF" w14:textId="77777777" w:rsidTr="008C5A06">
        <w:tc>
          <w:tcPr>
            <w:tcW w:w="3460" w:type="dxa"/>
            <w:tcBorders>
              <w:top w:val="nil"/>
              <w:left w:val="nil"/>
              <w:bottom w:val="nil"/>
              <w:right w:val="nil"/>
            </w:tcBorders>
            <w:shd w:val="clear" w:color="000000" w:fill="F2F2F2"/>
            <w:hideMark/>
          </w:tcPr>
          <w:p w14:paraId="0331C6B1"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Mean treatment duration online services (weeks)</w:t>
            </w:r>
          </w:p>
        </w:tc>
        <w:tc>
          <w:tcPr>
            <w:tcW w:w="4300" w:type="dxa"/>
            <w:tcBorders>
              <w:top w:val="nil"/>
              <w:left w:val="nil"/>
              <w:bottom w:val="nil"/>
              <w:right w:val="nil"/>
            </w:tcBorders>
            <w:shd w:val="clear" w:color="000000" w:fill="F2F2F2"/>
            <w:hideMark/>
          </w:tcPr>
          <w:p w14:paraId="27A02694"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6</w:t>
            </w:r>
          </w:p>
        </w:tc>
        <w:tc>
          <w:tcPr>
            <w:tcW w:w="6160" w:type="dxa"/>
            <w:tcBorders>
              <w:top w:val="nil"/>
              <w:left w:val="nil"/>
              <w:bottom w:val="nil"/>
              <w:right w:val="nil"/>
            </w:tcBorders>
            <w:shd w:val="clear" w:color="000000" w:fill="F2F2F2"/>
            <w:hideMark/>
          </w:tcPr>
          <w:p w14:paraId="45F4D109"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Derived from Christensen et al. (2004, Br. Med. J. 328, 265)</w:t>
            </w:r>
          </w:p>
        </w:tc>
      </w:tr>
      <w:tr w:rsidR="008C5A06" w:rsidRPr="008C5A06" w14:paraId="2AC1DE7E" w14:textId="77777777" w:rsidTr="008C5A06">
        <w:tc>
          <w:tcPr>
            <w:tcW w:w="3460" w:type="dxa"/>
            <w:tcBorders>
              <w:top w:val="nil"/>
              <w:left w:val="nil"/>
              <w:bottom w:val="nil"/>
              <w:right w:val="nil"/>
            </w:tcBorders>
            <w:shd w:val="clear" w:color="auto" w:fill="auto"/>
            <w:hideMark/>
          </w:tcPr>
          <w:p w14:paraId="2713EF8B"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Mean treatment duration psychiatric hospital (weeks)</w:t>
            </w:r>
          </w:p>
        </w:tc>
        <w:tc>
          <w:tcPr>
            <w:tcW w:w="4300" w:type="dxa"/>
            <w:tcBorders>
              <w:top w:val="nil"/>
              <w:left w:val="nil"/>
              <w:bottom w:val="nil"/>
              <w:right w:val="nil"/>
            </w:tcBorders>
            <w:shd w:val="clear" w:color="auto" w:fill="auto"/>
            <w:hideMark/>
          </w:tcPr>
          <w:p w14:paraId="42D95FB1"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3.182598</w:t>
            </w:r>
          </w:p>
        </w:tc>
        <w:tc>
          <w:tcPr>
            <w:tcW w:w="6160" w:type="dxa"/>
            <w:tcBorders>
              <w:top w:val="nil"/>
              <w:left w:val="nil"/>
              <w:bottom w:val="nil"/>
              <w:right w:val="nil"/>
            </w:tcBorders>
            <w:shd w:val="clear" w:color="auto" w:fill="auto"/>
            <w:hideMark/>
          </w:tcPr>
          <w:p w14:paraId="2838EBFC"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Derived from national data on mental health-related hospitalisations published by the Australian Institute of Health and Welfare (available at: https://www.aihw.gov.au/reports-data/health-welfare-services/mental-health-services/data)</w:t>
            </w:r>
          </w:p>
        </w:tc>
      </w:tr>
      <w:tr w:rsidR="008C5A06" w:rsidRPr="008C5A06" w14:paraId="466F845E" w14:textId="77777777" w:rsidTr="008C5A06">
        <w:tc>
          <w:tcPr>
            <w:tcW w:w="3460" w:type="dxa"/>
            <w:tcBorders>
              <w:top w:val="nil"/>
              <w:left w:val="nil"/>
              <w:bottom w:val="nil"/>
              <w:right w:val="nil"/>
            </w:tcBorders>
            <w:shd w:val="clear" w:color="000000" w:fill="F2F2F2"/>
            <w:hideMark/>
          </w:tcPr>
          <w:p w14:paraId="6A81473C"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Non-specialised hospital capacity increase per year</w:t>
            </w:r>
          </w:p>
        </w:tc>
        <w:tc>
          <w:tcPr>
            <w:tcW w:w="4300" w:type="dxa"/>
            <w:tcBorders>
              <w:top w:val="nil"/>
              <w:left w:val="nil"/>
              <w:bottom w:val="nil"/>
              <w:right w:val="nil"/>
            </w:tcBorders>
            <w:shd w:val="clear" w:color="000000" w:fill="F2F2F2"/>
            <w:hideMark/>
          </w:tcPr>
          <w:p w14:paraId="7C96C33A"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1.90242331939 (Central Coast), 5.02642011802 (HNE)</w:t>
            </w:r>
          </w:p>
        </w:tc>
        <w:tc>
          <w:tcPr>
            <w:tcW w:w="6160" w:type="dxa"/>
            <w:tcBorders>
              <w:top w:val="nil"/>
              <w:left w:val="nil"/>
              <w:bottom w:val="nil"/>
              <w:right w:val="nil"/>
            </w:tcBorders>
            <w:shd w:val="clear" w:color="000000" w:fill="F2F2F2"/>
            <w:hideMark/>
          </w:tcPr>
          <w:p w14:paraId="3ECC80A1"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xml:space="preserve">Annual increase in the maximum number of general hospital admissions for mental disorders per week.  The default value was estimated using hospital separations data for 2011–2018 available from </w:t>
            </w:r>
            <w:proofErr w:type="spellStart"/>
            <w:r w:rsidRPr="008C5A06">
              <w:rPr>
                <w:rFonts w:ascii="Times New Roman" w:eastAsia="Times New Roman" w:hAnsi="Times New Roman"/>
                <w:color w:val="auto"/>
                <w:sz w:val="17"/>
                <w:szCs w:val="17"/>
                <w:lang w:eastAsia="en-AU"/>
              </w:rPr>
              <w:t>HealthStats</w:t>
            </w:r>
            <w:proofErr w:type="spellEnd"/>
            <w:r w:rsidRPr="008C5A06">
              <w:rPr>
                <w:rFonts w:ascii="Times New Roman" w:eastAsia="Times New Roman" w:hAnsi="Times New Roman"/>
                <w:color w:val="auto"/>
                <w:sz w:val="17"/>
                <w:szCs w:val="17"/>
                <w:lang w:eastAsia="en-AU"/>
              </w:rPr>
              <w:t xml:space="preserve"> NSW (http://www.healthstats.nsw.gov.au) and data on the provision of non-specialised mental health care in public hospitals published by the Australian Institute of Health and Welfare (available at: https://www.aihw.gov.au/reports-data/health-welfare-services/mental-health-services/data).</w:t>
            </w:r>
          </w:p>
        </w:tc>
      </w:tr>
      <w:tr w:rsidR="008C5A06" w:rsidRPr="008C5A06" w14:paraId="483FB4B9" w14:textId="77777777" w:rsidTr="008C5A06">
        <w:tc>
          <w:tcPr>
            <w:tcW w:w="3460" w:type="dxa"/>
            <w:tcBorders>
              <w:top w:val="nil"/>
              <w:left w:val="nil"/>
              <w:bottom w:val="nil"/>
              <w:right w:val="nil"/>
            </w:tcBorders>
            <w:shd w:val="clear" w:color="auto" w:fill="auto"/>
            <w:hideMark/>
          </w:tcPr>
          <w:p w14:paraId="3F35E8DC"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Non-specialised hospital capacity initial</w:t>
            </w:r>
          </w:p>
        </w:tc>
        <w:tc>
          <w:tcPr>
            <w:tcW w:w="4300" w:type="dxa"/>
            <w:tcBorders>
              <w:top w:val="nil"/>
              <w:left w:val="nil"/>
              <w:bottom w:val="nil"/>
              <w:right w:val="nil"/>
            </w:tcBorders>
            <w:shd w:val="clear" w:color="auto" w:fill="auto"/>
            <w:hideMark/>
          </w:tcPr>
          <w:p w14:paraId="12330A2E"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44.1462765649 (Central Coast), 95.8545067353 (HNE)</w:t>
            </w:r>
          </w:p>
        </w:tc>
        <w:tc>
          <w:tcPr>
            <w:tcW w:w="6160" w:type="dxa"/>
            <w:tcBorders>
              <w:top w:val="nil"/>
              <w:left w:val="nil"/>
              <w:bottom w:val="nil"/>
              <w:right w:val="nil"/>
            </w:tcBorders>
            <w:shd w:val="clear" w:color="auto" w:fill="auto"/>
            <w:hideMark/>
          </w:tcPr>
          <w:p w14:paraId="4B1A3A69"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The initial number of general hospital admissions for mental disorders per week (i.e., at the start of 2011).  Estimated via constrained optimisation.</w:t>
            </w:r>
          </w:p>
        </w:tc>
      </w:tr>
      <w:tr w:rsidR="008C5A06" w:rsidRPr="008C5A06" w14:paraId="3D31DC29" w14:textId="77777777" w:rsidTr="008C5A06">
        <w:tc>
          <w:tcPr>
            <w:tcW w:w="3460" w:type="dxa"/>
            <w:tcBorders>
              <w:top w:val="nil"/>
              <w:left w:val="nil"/>
              <w:bottom w:val="nil"/>
              <w:right w:val="nil"/>
            </w:tcBorders>
            <w:shd w:val="clear" w:color="000000" w:fill="F2F2F2"/>
            <w:hideMark/>
          </w:tcPr>
          <w:p w14:paraId="4F04EA3C"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Non-specialised hospital care to GP services rate</w:t>
            </w:r>
          </w:p>
        </w:tc>
        <w:tc>
          <w:tcPr>
            <w:tcW w:w="4300" w:type="dxa"/>
            <w:tcBorders>
              <w:top w:val="nil"/>
              <w:left w:val="nil"/>
              <w:bottom w:val="nil"/>
              <w:right w:val="nil"/>
            </w:tcBorders>
            <w:shd w:val="clear" w:color="000000" w:fill="F2F2F2"/>
            <w:noWrap/>
            <w:vAlign w:val="bottom"/>
            <w:hideMark/>
          </w:tcPr>
          <w:p w14:paraId="0A9ACF26" w14:textId="77777777" w:rsidR="008C5A06" w:rsidRPr="008C5A06" w:rsidRDefault="008C5A06" w:rsidP="008C5A06">
            <w:pPr>
              <w:spacing w:line="240" w:lineRule="auto"/>
              <w:rPr>
                <w:rFonts w:ascii="Times New Roman" w:eastAsia="Times New Roman" w:hAnsi="Times New Roman"/>
                <w:color w:val="000000"/>
                <w:sz w:val="17"/>
                <w:szCs w:val="17"/>
                <w:lang w:eastAsia="en-AU"/>
              </w:rPr>
            </w:pPr>
            <w:r w:rsidRPr="008C5A06">
              <w:rPr>
                <w:rFonts w:ascii="Times New Roman" w:eastAsia="Times New Roman" w:hAnsi="Times New Roman"/>
                <w:color w:val="000000"/>
                <w:sz w:val="17"/>
                <w:szCs w:val="17"/>
                <w:lang w:eastAsia="en-AU"/>
              </w:rPr>
              <w:t xml:space="preserve"> 9.27386678628e-7 (Central Coast), 0.0230374063633 (HNE)</w:t>
            </w:r>
          </w:p>
        </w:tc>
        <w:tc>
          <w:tcPr>
            <w:tcW w:w="6160" w:type="dxa"/>
            <w:tcBorders>
              <w:top w:val="nil"/>
              <w:left w:val="nil"/>
              <w:bottom w:val="nil"/>
              <w:right w:val="nil"/>
            </w:tcBorders>
            <w:shd w:val="clear" w:color="000000" w:fill="F2F2F2"/>
            <w:hideMark/>
          </w:tcPr>
          <w:p w14:paraId="7009A5FD" w14:textId="24BA1395"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xml:space="preserve">Fraction of patients.  Estimated via </w:t>
            </w:r>
            <w:r w:rsidRPr="006B180A">
              <w:rPr>
                <w:rFonts w:ascii="Times New Roman" w:eastAsia="Times New Roman" w:hAnsi="Times New Roman"/>
                <w:color w:val="auto"/>
                <w:sz w:val="17"/>
                <w:szCs w:val="17"/>
                <w:lang w:eastAsia="en-AU"/>
              </w:rPr>
              <w:t>constrained</w:t>
            </w:r>
            <w:r w:rsidRPr="008C5A06">
              <w:rPr>
                <w:rFonts w:ascii="Times New Roman" w:eastAsia="Times New Roman" w:hAnsi="Times New Roman"/>
                <w:color w:val="auto"/>
                <w:sz w:val="17"/>
                <w:szCs w:val="17"/>
                <w:lang w:eastAsia="en-AU"/>
              </w:rPr>
              <w:t xml:space="preserve"> optimisation.</w:t>
            </w:r>
          </w:p>
        </w:tc>
      </w:tr>
      <w:tr w:rsidR="008C5A06" w:rsidRPr="008C5A06" w14:paraId="2F68F3BE" w14:textId="77777777" w:rsidTr="008C5A06">
        <w:tc>
          <w:tcPr>
            <w:tcW w:w="3460" w:type="dxa"/>
            <w:tcBorders>
              <w:top w:val="nil"/>
              <w:left w:val="nil"/>
              <w:bottom w:val="nil"/>
              <w:right w:val="nil"/>
            </w:tcBorders>
            <w:shd w:val="clear" w:color="auto" w:fill="auto"/>
            <w:hideMark/>
          </w:tcPr>
          <w:p w14:paraId="3CD7F779"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Non-specialised hospital care to psychiatrist and allied services rate</w:t>
            </w:r>
          </w:p>
        </w:tc>
        <w:tc>
          <w:tcPr>
            <w:tcW w:w="4300" w:type="dxa"/>
            <w:tcBorders>
              <w:top w:val="nil"/>
              <w:left w:val="nil"/>
              <w:bottom w:val="nil"/>
              <w:right w:val="nil"/>
            </w:tcBorders>
            <w:shd w:val="clear" w:color="auto" w:fill="auto"/>
            <w:hideMark/>
          </w:tcPr>
          <w:p w14:paraId="443DA9FC"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0.0347477998324 (Central Coast), 0.00797130447213 (HNE)</w:t>
            </w:r>
          </w:p>
        </w:tc>
        <w:tc>
          <w:tcPr>
            <w:tcW w:w="6160" w:type="dxa"/>
            <w:tcBorders>
              <w:top w:val="nil"/>
              <w:left w:val="nil"/>
              <w:bottom w:val="nil"/>
              <w:right w:val="nil"/>
            </w:tcBorders>
            <w:shd w:val="clear" w:color="auto" w:fill="auto"/>
            <w:hideMark/>
          </w:tcPr>
          <w:p w14:paraId="0CAEF7E6" w14:textId="10297DE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xml:space="preserve">Fraction of patients.  Estimated via </w:t>
            </w:r>
            <w:r w:rsidRPr="006B180A">
              <w:rPr>
                <w:rFonts w:ascii="Times New Roman" w:eastAsia="Times New Roman" w:hAnsi="Times New Roman"/>
                <w:color w:val="auto"/>
                <w:sz w:val="17"/>
                <w:szCs w:val="17"/>
                <w:lang w:eastAsia="en-AU"/>
              </w:rPr>
              <w:t>constrained</w:t>
            </w:r>
            <w:r w:rsidRPr="008C5A06">
              <w:rPr>
                <w:rFonts w:ascii="Times New Roman" w:eastAsia="Times New Roman" w:hAnsi="Times New Roman"/>
                <w:color w:val="auto"/>
                <w:sz w:val="17"/>
                <w:szCs w:val="17"/>
                <w:lang w:eastAsia="en-AU"/>
              </w:rPr>
              <w:t xml:space="preserve"> optimisation.</w:t>
            </w:r>
          </w:p>
        </w:tc>
      </w:tr>
      <w:tr w:rsidR="008C5A06" w:rsidRPr="008C5A06" w14:paraId="4B7F47C1" w14:textId="77777777" w:rsidTr="008C5A06">
        <w:tc>
          <w:tcPr>
            <w:tcW w:w="3460" w:type="dxa"/>
            <w:tcBorders>
              <w:top w:val="nil"/>
              <w:left w:val="nil"/>
              <w:bottom w:val="nil"/>
              <w:right w:val="nil"/>
            </w:tcBorders>
            <w:shd w:val="clear" w:color="000000" w:fill="F2F2F2"/>
            <w:hideMark/>
          </w:tcPr>
          <w:p w14:paraId="685B9AE9"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Perceiving need for services base rate</w:t>
            </w:r>
          </w:p>
        </w:tc>
        <w:tc>
          <w:tcPr>
            <w:tcW w:w="4300" w:type="dxa"/>
            <w:tcBorders>
              <w:top w:val="nil"/>
              <w:left w:val="nil"/>
              <w:bottom w:val="nil"/>
              <w:right w:val="nil"/>
            </w:tcBorders>
            <w:shd w:val="clear" w:color="000000" w:fill="F2F2F2"/>
            <w:hideMark/>
          </w:tcPr>
          <w:p w14:paraId="1D52C326"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0.357305159972 (Central Coast), 0.327270521652 (HNE)</w:t>
            </w:r>
          </w:p>
        </w:tc>
        <w:tc>
          <w:tcPr>
            <w:tcW w:w="6160" w:type="dxa"/>
            <w:tcBorders>
              <w:top w:val="nil"/>
              <w:left w:val="nil"/>
              <w:bottom w:val="nil"/>
              <w:right w:val="nil"/>
            </w:tcBorders>
            <w:shd w:val="clear" w:color="000000" w:fill="F2F2F2"/>
            <w:hideMark/>
          </w:tcPr>
          <w:p w14:paraId="0B154EDE"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Per capita rate per year.  Estimated via constrained optimisation.</w:t>
            </w:r>
          </w:p>
        </w:tc>
      </w:tr>
      <w:tr w:rsidR="008C5A06" w:rsidRPr="008C5A06" w14:paraId="1C4A7476" w14:textId="77777777" w:rsidTr="008C5A06">
        <w:tc>
          <w:tcPr>
            <w:tcW w:w="3460" w:type="dxa"/>
            <w:tcBorders>
              <w:top w:val="nil"/>
              <w:left w:val="nil"/>
              <w:bottom w:val="nil"/>
              <w:right w:val="nil"/>
            </w:tcBorders>
            <w:shd w:val="clear" w:color="auto" w:fill="auto"/>
            <w:hideMark/>
          </w:tcPr>
          <w:p w14:paraId="6CF09E4A"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Perceiving need for services rate increase per year</w:t>
            </w:r>
          </w:p>
        </w:tc>
        <w:tc>
          <w:tcPr>
            <w:tcW w:w="4300" w:type="dxa"/>
            <w:tcBorders>
              <w:top w:val="nil"/>
              <w:left w:val="nil"/>
              <w:bottom w:val="nil"/>
              <w:right w:val="nil"/>
            </w:tcBorders>
            <w:shd w:val="clear" w:color="auto" w:fill="auto"/>
            <w:hideMark/>
          </w:tcPr>
          <w:p w14:paraId="65F55B4A"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0.002567388</w:t>
            </w:r>
          </w:p>
        </w:tc>
        <w:tc>
          <w:tcPr>
            <w:tcW w:w="6160" w:type="dxa"/>
            <w:tcBorders>
              <w:top w:val="nil"/>
              <w:left w:val="nil"/>
              <w:bottom w:val="nil"/>
              <w:right w:val="nil"/>
            </w:tcBorders>
            <w:shd w:val="clear" w:color="auto" w:fill="auto"/>
            <w:hideMark/>
          </w:tcPr>
          <w:p w14:paraId="10BC20FE"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xml:space="preserve">Default value assumes a yearly increase in the per capita rate that people perceive a need for care in each LHD catchment equal to 0.26% of the initial base rate (specified by the parameter </w:t>
            </w:r>
            <w:r w:rsidRPr="008C5A06">
              <w:rPr>
                <w:rFonts w:ascii="Times New Roman" w:eastAsia="Times New Roman" w:hAnsi="Times New Roman"/>
                <w:i/>
                <w:iCs/>
                <w:color w:val="auto"/>
                <w:sz w:val="17"/>
                <w:szCs w:val="17"/>
                <w:lang w:eastAsia="en-AU"/>
              </w:rPr>
              <w:t>Perceiving need for services base rate</w:t>
            </w:r>
            <w:r w:rsidRPr="008C5A06">
              <w:rPr>
                <w:rFonts w:ascii="Times New Roman" w:eastAsia="Times New Roman" w:hAnsi="Times New Roman"/>
                <w:color w:val="auto"/>
                <w:sz w:val="17"/>
                <w:szCs w:val="17"/>
                <w:lang w:eastAsia="en-AU"/>
              </w:rPr>
              <w:t>).  Estimated</w:t>
            </w:r>
          </w:p>
        </w:tc>
      </w:tr>
      <w:tr w:rsidR="008C5A06" w:rsidRPr="008C5A06" w14:paraId="454D99BC" w14:textId="77777777" w:rsidTr="008C5A06">
        <w:tc>
          <w:tcPr>
            <w:tcW w:w="3460" w:type="dxa"/>
            <w:tcBorders>
              <w:top w:val="nil"/>
              <w:left w:val="nil"/>
              <w:bottom w:val="nil"/>
              <w:right w:val="nil"/>
            </w:tcBorders>
            <w:shd w:val="clear" w:color="000000" w:fill="F2F2F2"/>
            <w:hideMark/>
          </w:tcPr>
          <w:p w14:paraId="6F629194"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lastRenderedPageBreak/>
              <w:t>Pre-intervention disengagement rate hospital care</w:t>
            </w:r>
          </w:p>
        </w:tc>
        <w:tc>
          <w:tcPr>
            <w:tcW w:w="4300" w:type="dxa"/>
            <w:tcBorders>
              <w:top w:val="nil"/>
              <w:left w:val="nil"/>
              <w:bottom w:val="nil"/>
              <w:right w:val="nil"/>
            </w:tcBorders>
            <w:shd w:val="clear" w:color="000000" w:fill="F2F2F2"/>
            <w:hideMark/>
          </w:tcPr>
          <w:p w14:paraId="3377DC3E"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0.048</w:t>
            </w:r>
          </w:p>
        </w:tc>
        <w:tc>
          <w:tcPr>
            <w:tcW w:w="6160" w:type="dxa"/>
            <w:tcBorders>
              <w:top w:val="nil"/>
              <w:left w:val="nil"/>
              <w:bottom w:val="nil"/>
              <w:right w:val="nil"/>
            </w:tcBorders>
            <w:shd w:val="clear" w:color="000000" w:fill="F2F2F2"/>
            <w:hideMark/>
          </w:tcPr>
          <w:p w14:paraId="18490B9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Derived from state-level consumer survey data for 2016-17 published by the Australian Institute of Health and Welfare (available at: https://www.aihw.gov.au/reports-data/health-welfare-services/mental-health-services/data)</w:t>
            </w:r>
          </w:p>
        </w:tc>
      </w:tr>
      <w:tr w:rsidR="008C5A06" w:rsidRPr="008C5A06" w14:paraId="23A9AD18" w14:textId="77777777" w:rsidTr="008C5A06">
        <w:tc>
          <w:tcPr>
            <w:tcW w:w="3460" w:type="dxa"/>
            <w:tcBorders>
              <w:top w:val="nil"/>
              <w:left w:val="nil"/>
              <w:bottom w:val="nil"/>
              <w:right w:val="nil"/>
            </w:tcBorders>
            <w:shd w:val="clear" w:color="auto" w:fill="auto"/>
            <w:hideMark/>
          </w:tcPr>
          <w:p w14:paraId="4D0F95E4"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Pre-intervention disengagement rate non-hospital care</w:t>
            </w:r>
          </w:p>
        </w:tc>
        <w:tc>
          <w:tcPr>
            <w:tcW w:w="4300" w:type="dxa"/>
            <w:tcBorders>
              <w:top w:val="nil"/>
              <w:left w:val="nil"/>
              <w:bottom w:val="nil"/>
              <w:right w:val="nil"/>
            </w:tcBorders>
            <w:shd w:val="clear" w:color="auto" w:fill="auto"/>
            <w:hideMark/>
          </w:tcPr>
          <w:p w14:paraId="69F6287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0.033</w:t>
            </w:r>
          </w:p>
        </w:tc>
        <w:tc>
          <w:tcPr>
            <w:tcW w:w="6160" w:type="dxa"/>
            <w:tcBorders>
              <w:top w:val="nil"/>
              <w:left w:val="nil"/>
              <w:bottom w:val="nil"/>
              <w:right w:val="nil"/>
            </w:tcBorders>
            <w:shd w:val="clear" w:color="auto" w:fill="auto"/>
            <w:hideMark/>
          </w:tcPr>
          <w:p w14:paraId="237A3E03"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Derived from state-level consumer survey data for 2016-17 published by the Australian Institute of Health and Welfare (available at: https://www.aihw.gov.au/reports-data/health-welfare-services/mental-health-services/data)</w:t>
            </w:r>
          </w:p>
        </w:tc>
      </w:tr>
      <w:tr w:rsidR="008C5A06" w:rsidRPr="008C5A06" w14:paraId="234E6BA9" w14:textId="77777777" w:rsidTr="008C5A06">
        <w:tc>
          <w:tcPr>
            <w:tcW w:w="3460" w:type="dxa"/>
            <w:tcBorders>
              <w:top w:val="nil"/>
              <w:left w:val="nil"/>
              <w:bottom w:val="nil"/>
              <w:right w:val="nil"/>
            </w:tcBorders>
            <w:shd w:val="clear" w:color="000000" w:fill="F2F2F2"/>
            <w:hideMark/>
          </w:tcPr>
          <w:p w14:paraId="3F622771"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Pre-intervention disengagement rate waiting</w:t>
            </w:r>
          </w:p>
        </w:tc>
        <w:tc>
          <w:tcPr>
            <w:tcW w:w="4300" w:type="dxa"/>
            <w:tcBorders>
              <w:top w:val="nil"/>
              <w:left w:val="nil"/>
              <w:bottom w:val="nil"/>
              <w:right w:val="nil"/>
            </w:tcBorders>
            <w:shd w:val="clear" w:color="000000" w:fill="F2F2F2"/>
            <w:hideMark/>
          </w:tcPr>
          <w:p w14:paraId="338FFCF5"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0.2620284</w:t>
            </w:r>
          </w:p>
        </w:tc>
        <w:tc>
          <w:tcPr>
            <w:tcW w:w="6160" w:type="dxa"/>
            <w:tcBorders>
              <w:top w:val="nil"/>
              <w:left w:val="nil"/>
              <w:bottom w:val="nil"/>
              <w:right w:val="nil"/>
            </w:tcBorders>
            <w:shd w:val="clear" w:color="000000" w:fill="F2F2F2"/>
            <w:hideMark/>
          </w:tcPr>
          <w:p w14:paraId="35E813DA"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xml:space="preserve">Per capita rate per year.  Derived from </w:t>
            </w:r>
            <w:proofErr w:type="spellStart"/>
            <w:r w:rsidRPr="008C5A06">
              <w:rPr>
                <w:rFonts w:ascii="Times New Roman" w:eastAsia="Times New Roman" w:hAnsi="Times New Roman"/>
                <w:color w:val="auto"/>
                <w:sz w:val="17"/>
                <w:szCs w:val="17"/>
                <w:lang w:eastAsia="en-AU"/>
              </w:rPr>
              <w:t>Tyrer</w:t>
            </w:r>
            <w:proofErr w:type="spellEnd"/>
            <w:r w:rsidRPr="008C5A06">
              <w:rPr>
                <w:rFonts w:ascii="Times New Roman" w:eastAsia="Times New Roman" w:hAnsi="Times New Roman"/>
                <w:color w:val="auto"/>
                <w:sz w:val="17"/>
                <w:szCs w:val="17"/>
                <w:lang w:eastAsia="en-AU"/>
              </w:rPr>
              <w:t xml:space="preserve"> et al. (1995, Lancet 345, 756−759)</w:t>
            </w:r>
          </w:p>
        </w:tc>
      </w:tr>
      <w:tr w:rsidR="008C5A06" w:rsidRPr="008C5A06" w14:paraId="3D4DEC33" w14:textId="77777777" w:rsidTr="008C5A06">
        <w:tc>
          <w:tcPr>
            <w:tcW w:w="3460" w:type="dxa"/>
            <w:tcBorders>
              <w:top w:val="nil"/>
              <w:left w:val="nil"/>
              <w:bottom w:val="nil"/>
              <w:right w:val="nil"/>
            </w:tcBorders>
            <w:shd w:val="clear" w:color="auto" w:fill="auto"/>
            <w:hideMark/>
          </w:tcPr>
          <w:p w14:paraId="1285079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Pre-intervention seeking help online services rate</w:t>
            </w:r>
          </w:p>
        </w:tc>
        <w:tc>
          <w:tcPr>
            <w:tcW w:w="4300" w:type="dxa"/>
            <w:tcBorders>
              <w:top w:val="nil"/>
              <w:left w:val="nil"/>
              <w:bottom w:val="nil"/>
              <w:right w:val="nil"/>
            </w:tcBorders>
            <w:shd w:val="clear" w:color="auto" w:fill="auto"/>
            <w:hideMark/>
          </w:tcPr>
          <w:p w14:paraId="1480F37D"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0.1462248</w:t>
            </w:r>
          </w:p>
        </w:tc>
        <w:tc>
          <w:tcPr>
            <w:tcW w:w="6160" w:type="dxa"/>
            <w:tcBorders>
              <w:top w:val="nil"/>
              <w:left w:val="nil"/>
              <w:bottom w:val="nil"/>
              <w:right w:val="nil"/>
            </w:tcBorders>
            <w:shd w:val="clear" w:color="auto" w:fill="auto"/>
            <w:hideMark/>
          </w:tcPr>
          <w:p w14:paraId="3209CEC3"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Per capita rate per year.  Derived from Australian Bureau of Statistics (2012, Information paper.  Use of the Kessler psychological distress scale in ABS health surveys, Australia, 2007-08.  Cat. no. 4817.0.55.001.  Australian Bureau of Statistics, Canberra).</w:t>
            </w:r>
          </w:p>
        </w:tc>
      </w:tr>
      <w:tr w:rsidR="008C5A06" w:rsidRPr="008C5A06" w14:paraId="79D4D118" w14:textId="77777777" w:rsidTr="008C5A06">
        <w:tc>
          <w:tcPr>
            <w:tcW w:w="3460" w:type="dxa"/>
            <w:tcBorders>
              <w:top w:val="nil"/>
              <w:left w:val="nil"/>
              <w:bottom w:val="nil"/>
              <w:right w:val="nil"/>
            </w:tcBorders>
            <w:shd w:val="clear" w:color="000000" w:fill="F2F2F2"/>
            <w:hideMark/>
          </w:tcPr>
          <w:p w14:paraId="716B46CD"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Psychiatric hospital admission proportion</w:t>
            </w:r>
          </w:p>
        </w:tc>
        <w:tc>
          <w:tcPr>
            <w:tcW w:w="4300" w:type="dxa"/>
            <w:tcBorders>
              <w:top w:val="nil"/>
              <w:left w:val="nil"/>
              <w:bottom w:val="nil"/>
              <w:right w:val="nil"/>
            </w:tcBorders>
            <w:shd w:val="clear" w:color="000000" w:fill="F2F2F2"/>
            <w:hideMark/>
          </w:tcPr>
          <w:p w14:paraId="3B88245A"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0.518727328</w:t>
            </w:r>
          </w:p>
        </w:tc>
        <w:tc>
          <w:tcPr>
            <w:tcW w:w="6160" w:type="dxa"/>
            <w:tcBorders>
              <w:top w:val="nil"/>
              <w:left w:val="nil"/>
              <w:bottom w:val="nil"/>
              <w:right w:val="nil"/>
            </w:tcBorders>
            <w:shd w:val="clear" w:color="000000" w:fill="F2F2F2"/>
            <w:hideMark/>
          </w:tcPr>
          <w:p w14:paraId="70E7708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Derived from data on mental health-related hospitalisations published by the Australian Institute of Health and Welfare (available at: https://www.aihw.gov.au/reports-data/health-welfare-services/mental-health-services/data)</w:t>
            </w:r>
          </w:p>
        </w:tc>
      </w:tr>
      <w:tr w:rsidR="008C5A06" w:rsidRPr="008C5A06" w14:paraId="1CCB0485" w14:textId="77777777" w:rsidTr="008C5A06">
        <w:tc>
          <w:tcPr>
            <w:tcW w:w="3460" w:type="dxa"/>
            <w:tcBorders>
              <w:top w:val="nil"/>
              <w:left w:val="nil"/>
              <w:bottom w:val="nil"/>
              <w:right w:val="nil"/>
            </w:tcBorders>
            <w:shd w:val="clear" w:color="auto" w:fill="auto"/>
            <w:hideMark/>
          </w:tcPr>
          <w:p w14:paraId="74666ED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Psychiatric hospital capacity increase per year</w:t>
            </w:r>
          </w:p>
        </w:tc>
        <w:tc>
          <w:tcPr>
            <w:tcW w:w="4300" w:type="dxa"/>
            <w:tcBorders>
              <w:top w:val="nil"/>
              <w:left w:val="nil"/>
              <w:bottom w:val="nil"/>
              <w:right w:val="nil"/>
            </w:tcBorders>
            <w:shd w:val="clear" w:color="auto" w:fill="auto"/>
            <w:hideMark/>
          </w:tcPr>
          <w:p w14:paraId="18B72851"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2.11402697687 (Central Coast), 5.57586122338 (HNE)</w:t>
            </w:r>
          </w:p>
        </w:tc>
        <w:tc>
          <w:tcPr>
            <w:tcW w:w="6160" w:type="dxa"/>
            <w:tcBorders>
              <w:top w:val="nil"/>
              <w:left w:val="nil"/>
              <w:bottom w:val="nil"/>
              <w:right w:val="nil"/>
            </w:tcBorders>
            <w:shd w:val="clear" w:color="auto" w:fill="auto"/>
            <w:hideMark/>
          </w:tcPr>
          <w:p w14:paraId="459268CB"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xml:space="preserve">Annual increase in the maximum number of psychiatric hospital admissions per week.  The default value was estimated using hospital separations data for 2011–2018 available from </w:t>
            </w:r>
            <w:proofErr w:type="spellStart"/>
            <w:r w:rsidRPr="008C5A06">
              <w:rPr>
                <w:rFonts w:ascii="Times New Roman" w:eastAsia="Times New Roman" w:hAnsi="Times New Roman"/>
                <w:color w:val="auto"/>
                <w:sz w:val="17"/>
                <w:szCs w:val="17"/>
                <w:lang w:eastAsia="en-AU"/>
              </w:rPr>
              <w:t>HealthStats</w:t>
            </w:r>
            <w:proofErr w:type="spellEnd"/>
            <w:r w:rsidRPr="008C5A06">
              <w:rPr>
                <w:rFonts w:ascii="Times New Roman" w:eastAsia="Times New Roman" w:hAnsi="Times New Roman"/>
                <w:color w:val="auto"/>
                <w:sz w:val="17"/>
                <w:szCs w:val="17"/>
                <w:lang w:eastAsia="en-AU"/>
              </w:rPr>
              <w:t xml:space="preserve"> NSW (http://www.healthstats.nsw.gov.au) and data on the provision of specialised psychiatric care in public hospitals published by the Australian Institute of Health and Welfare (available at: https://www.aihw.gov.au/reports-data/health-welfare-services/mental-health-services/data).</w:t>
            </w:r>
          </w:p>
        </w:tc>
      </w:tr>
      <w:tr w:rsidR="008C5A06" w:rsidRPr="008C5A06" w14:paraId="404BF483" w14:textId="77777777" w:rsidTr="008C5A06">
        <w:tc>
          <w:tcPr>
            <w:tcW w:w="3460" w:type="dxa"/>
            <w:tcBorders>
              <w:top w:val="nil"/>
              <w:left w:val="nil"/>
              <w:bottom w:val="nil"/>
              <w:right w:val="nil"/>
            </w:tcBorders>
            <w:shd w:val="clear" w:color="000000" w:fill="F2F2F2"/>
            <w:hideMark/>
          </w:tcPr>
          <w:p w14:paraId="337934D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Psychiatric hospital capacity initial</w:t>
            </w:r>
          </w:p>
        </w:tc>
        <w:tc>
          <w:tcPr>
            <w:tcW w:w="4300" w:type="dxa"/>
            <w:tcBorders>
              <w:top w:val="nil"/>
              <w:left w:val="nil"/>
              <w:bottom w:val="nil"/>
              <w:right w:val="nil"/>
            </w:tcBorders>
            <w:shd w:val="clear" w:color="000000" w:fill="F2F2F2"/>
            <w:hideMark/>
          </w:tcPr>
          <w:p w14:paraId="4BEBE8E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49.0068836737 (Central Coast), 106.437590744 (HNE)</w:t>
            </w:r>
          </w:p>
        </w:tc>
        <w:tc>
          <w:tcPr>
            <w:tcW w:w="6160" w:type="dxa"/>
            <w:tcBorders>
              <w:top w:val="nil"/>
              <w:left w:val="nil"/>
              <w:bottom w:val="nil"/>
              <w:right w:val="nil"/>
            </w:tcBorders>
            <w:shd w:val="clear" w:color="000000" w:fill="F2F2F2"/>
            <w:hideMark/>
          </w:tcPr>
          <w:p w14:paraId="3451C6FF"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The initial number of psychiatric hospital admissions per week (i.e., at the start of 2011).  Estimated via constrained optimisation.</w:t>
            </w:r>
          </w:p>
        </w:tc>
      </w:tr>
      <w:tr w:rsidR="008C5A06" w:rsidRPr="008C5A06" w14:paraId="3C724239" w14:textId="77777777" w:rsidTr="008C5A06">
        <w:tc>
          <w:tcPr>
            <w:tcW w:w="3460" w:type="dxa"/>
            <w:tcBorders>
              <w:top w:val="nil"/>
              <w:left w:val="nil"/>
              <w:bottom w:val="nil"/>
              <w:right w:val="nil"/>
            </w:tcBorders>
            <w:shd w:val="clear" w:color="auto" w:fill="auto"/>
            <w:hideMark/>
          </w:tcPr>
          <w:p w14:paraId="3CF01131"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Psychiatric hospital care to GP services rate</w:t>
            </w:r>
          </w:p>
        </w:tc>
        <w:tc>
          <w:tcPr>
            <w:tcW w:w="4300" w:type="dxa"/>
            <w:tcBorders>
              <w:top w:val="nil"/>
              <w:left w:val="nil"/>
              <w:bottom w:val="nil"/>
              <w:right w:val="nil"/>
            </w:tcBorders>
            <w:shd w:val="clear" w:color="auto" w:fill="auto"/>
            <w:hideMark/>
          </w:tcPr>
          <w:p w14:paraId="60D06934"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0.0438733704644 (Central Coast), 0.154196767558 (HNE)</w:t>
            </w:r>
          </w:p>
        </w:tc>
        <w:tc>
          <w:tcPr>
            <w:tcW w:w="6160" w:type="dxa"/>
            <w:tcBorders>
              <w:top w:val="nil"/>
              <w:left w:val="nil"/>
              <w:bottom w:val="nil"/>
              <w:right w:val="nil"/>
            </w:tcBorders>
            <w:shd w:val="clear" w:color="auto" w:fill="auto"/>
            <w:hideMark/>
          </w:tcPr>
          <w:p w14:paraId="3660D904" w14:textId="16486534"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xml:space="preserve">Fraction of patients.  Estimated via </w:t>
            </w:r>
            <w:r w:rsidRPr="006B180A">
              <w:rPr>
                <w:rFonts w:ascii="Times New Roman" w:eastAsia="Times New Roman" w:hAnsi="Times New Roman"/>
                <w:color w:val="auto"/>
                <w:sz w:val="17"/>
                <w:szCs w:val="17"/>
                <w:lang w:eastAsia="en-AU"/>
              </w:rPr>
              <w:t>constrained</w:t>
            </w:r>
            <w:r w:rsidRPr="008C5A06">
              <w:rPr>
                <w:rFonts w:ascii="Times New Roman" w:eastAsia="Times New Roman" w:hAnsi="Times New Roman"/>
                <w:color w:val="auto"/>
                <w:sz w:val="17"/>
                <w:szCs w:val="17"/>
                <w:lang w:eastAsia="en-AU"/>
              </w:rPr>
              <w:t xml:space="preserve"> optimisation.</w:t>
            </w:r>
          </w:p>
        </w:tc>
      </w:tr>
      <w:tr w:rsidR="008C5A06" w:rsidRPr="008C5A06" w14:paraId="12B35C0B" w14:textId="77777777" w:rsidTr="008C5A06">
        <w:tc>
          <w:tcPr>
            <w:tcW w:w="3460" w:type="dxa"/>
            <w:tcBorders>
              <w:top w:val="nil"/>
              <w:left w:val="nil"/>
              <w:bottom w:val="nil"/>
              <w:right w:val="nil"/>
            </w:tcBorders>
            <w:shd w:val="clear" w:color="000000" w:fill="F2F2F2"/>
            <w:hideMark/>
          </w:tcPr>
          <w:p w14:paraId="06636166"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Psychiatric hospital care to psychiatrist and allied services rate</w:t>
            </w:r>
          </w:p>
        </w:tc>
        <w:tc>
          <w:tcPr>
            <w:tcW w:w="4300" w:type="dxa"/>
            <w:tcBorders>
              <w:top w:val="nil"/>
              <w:left w:val="nil"/>
              <w:bottom w:val="nil"/>
              <w:right w:val="nil"/>
            </w:tcBorders>
            <w:shd w:val="clear" w:color="000000" w:fill="F2F2F2"/>
            <w:hideMark/>
          </w:tcPr>
          <w:p w14:paraId="2D9C2D9E"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0.315721889727 (Central Coast), 0.205361774336 (HNE)</w:t>
            </w:r>
          </w:p>
        </w:tc>
        <w:tc>
          <w:tcPr>
            <w:tcW w:w="6160" w:type="dxa"/>
            <w:tcBorders>
              <w:top w:val="nil"/>
              <w:left w:val="nil"/>
              <w:bottom w:val="nil"/>
              <w:right w:val="nil"/>
            </w:tcBorders>
            <w:shd w:val="clear" w:color="000000" w:fill="F2F2F2"/>
            <w:hideMark/>
          </w:tcPr>
          <w:p w14:paraId="5B8EDCA4" w14:textId="48C89966"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xml:space="preserve">Fraction of patients.  Estimated via </w:t>
            </w:r>
            <w:r w:rsidRPr="006B180A">
              <w:rPr>
                <w:rFonts w:ascii="Times New Roman" w:eastAsia="Times New Roman" w:hAnsi="Times New Roman"/>
                <w:color w:val="auto"/>
                <w:sz w:val="17"/>
                <w:szCs w:val="17"/>
                <w:lang w:eastAsia="en-AU"/>
              </w:rPr>
              <w:t>constrained</w:t>
            </w:r>
            <w:r w:rsidRPr="008C5A06">
              <w:rPr>
                <w:rFonts w:ascii="Times New Roman" w:eastAsia="Times New Roman" w:hAnsi="Times New Roman"/>
                <w:color w:val="auto"/>
                <w:sz w:val="17"/>
                <w:szCs w:val="17"/>
                <w:lang w:eastAsia="en-AU"/>
              </w:rPr>
              <w:t xml:space="preserve"> optimisation.</w:t>
            </w:r>
          </w:p>
        </w:tc>
      </w:tr>
      <w:tr w:rsidR="008C5A06" w:rsidRPr="008C5A06" w14:paraId="6097CDF7" w14:textId="77777777" w:rsidTr="008C5A06">
        <w:tc>
          <w:tcPr>
            <w:tcW w:w="3460" w:type="dxa"/>
            <w:tcBorders>
              <w:top w:val="nil"/>
              <w:left w:val="nil"/>
              <w:bottom w:val="nil"/>
              <w:right w:val="nil"/>
            </w:tcBorders>
            <w:shd w:val="clear" w:color="auto" w:fill="auto"/>
            <w:hideMark/>
          </w:tcPr>
          <w:p w14:paraId="05DECB05"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Psychiatrist and allied services capacity increase per year</w:t>
            </w:r>
          </w:p>
        </w:tc>
        <w:tc>
          <w:tcPr>
            <w:tcW w:w="4300" w:type="dxa"/>
            <w:tcBorders>
              <w:top w:val="nil"/>
              <w:left w:val="nil"/>
              <w:bottom w:val="nil"/>
              <w:right w:val="nil"/>
            </w:tcBorders>
            <w:shd w:val="clear" w:color="auto" w:fill="auto"/>
            <w:hideMark/>
          </w:tcPr>
          <w:p w14:paraId="4F1F3B0F"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127.490770603 (Central Coast), 331.212528357 (HNE)</w:t>
            </w:r>
          </w:p>
        </w:tc>
        <w:tc>
          <w:tcPr>
            <w:tcW w:w="6160" w:type="dxa"/>
            <w:tcBorders>
              <w:top w:val="nil"/>
              <w:left w:val="nil"/>
              <w:bottom w:val="nil"/>
              <w:right w:val="nil"/>
            </w:tcBorders>
            <w:shd w:val="clear" w:color="auto" w:fill="auto"/>
            <w:hideMark/>
          </w:tcPr>
          <w:p w14:paraId="7C2989C9"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Annual increase in the total number of psychiatrist and allied services that can be provided per week.  The default value was estimated using MBS data for 2012–2017 assuming services were operating at (near-) maximum capacity over this period.</w:t>
            </w:r>
          </w:p>
        </w:tc>
      </w:tr>
      <w:tr w:rsidR="008C5A06" w:rsidRPr="008C5A06" w14:paraId="6AC7540B" w14:textId="77777777" w:rsidTr="008C5A06">
        <w:tc>
          <w:tcPr>
            <w:tcW w:w="3460" w:type="dxa"/>
            <w:tcBorders>
              <w:top w:val="nil"/>
              <w:left w:val="nil"/>
              <w:bottom w:val="nil"/>
              <w:right w:val="nil"/>
            </w:tcBorders>
            <w:shd w:val="clear" w:color="000000" w:fill="F2F2F2"/>
            <w:hideMark/>
          </w:tcPr>
          <w:p w14:paraId="3AC576F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Psychiatrist and allied services capacity initial</w:t>
            </w:r>
          </w:p>
        </w:tc>
        <w:tc>
          <w:tcPr>
            <w:tcW w:w="4300" w:type="dxa"/>
            <w:tcBorders>
              <w:top w:val="nil"/>
              <w:left w:val="nil"/>
              <w:bottom w:val="nil"/>
              <w:right w:val="nil"/>
            </w:tcBorders>
            <w:shd w:val="clear" w:color="000000" w:fill="F2F2F2"/>
            <w:hideMark/>
          </w:tcPr>
          <w:p w14:paraId="4470B8D8"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1280.09551395 (Central Coast), 2632.30533891 (HNE)</w:t>
            </w:r>
          </w:p>
        </w:tc>
        <w:tc>
          <w:tcPr>
            <w:tcW w:w="6160" w:type="dxa"/>
            <w:tcBorders>
              <w:top w:val="nil"/>
              <w:left w:val="nil"/>
              <w:bottom w:val="nil"/>
              <w:right w:val="nil"/>
            </w:tcBorders>
            <w:shd w:val="clear" w:color="000000" w:fill="F2F2F2"/>
            <w:hideMark/>
          </w:tcPr>
          <w:p w14:paraId="33700046"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The initial number of psychiatrist and allied health services provided per week (i.e., at the start of 2011).  Estimated via constrained optimisation.</w:t>
            </w:r>
          </w:p>
        </w:tc>
      </w:tr>
      <w:tr w:rsidR="008C5A06" w:rsidRPr="008C5A06" w14:paraId="55946DEC" w14:textId="77777777" w:rsidTr="008C5A06">
        <w:tc>
          <w:tcPr>
            <w:tcW w:w="3460" w:type="dxa"/>
            <w:tcBorders>
              <w:top w:val="nil"/>
              <w:left w:val="nil"/>
              <w:bottom w:val="nil"/>
              <w:right w:val="nil"/>
            </w:tcBorders>
            <w:shd w:val="clear" w:color="auto" w:fill="auto"/>
            <w:hideMark/>
          </w:tcPr>
          <w:p w14:paraId="7BF0294C"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Psychological treatment rate GP services</w:t>
            </w:r>
          </w:p>
        </w:tc>
        <w:tc>
          <w:tcPr>
            <w:tcW w:w="4300" w:type="dxa"/>
            <w:tcBorders>
              <w:top w:val="nil"/>
              <w:left w:val="nil"/>
              <w:bottom w:val="nil"/>
              <w:right w:val="nil"/>
            </w:tcBorders>
            <w:shd w:val="clear" w:color="auto" w:fill="auto"/>
            <w:hideMark/>
          </w:tcPr>
          <w:p w14:paraId="476D39D3"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0.4818195</w:t>
            </w:r>
          </w:p>
        </w:tc>
        <w:tc>
          <w:tcPr>
            <w:tcW w:w="6160" w:type="dxa"/>
            <w:tcBorders>
              <w:top w:val="nil"/>
              <w:left w:val="nil"/>
              <w:bottom w:val="nil"/>
              <w:right w:val="nil"/>
            </w:tcBorders>
            <w:shd w:val="clear" w:color="auto" w:fill="auto"/>
            <w:hideMark/>
          </w:tcPr>
          <w:p w14:paraId="44503F2D"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Derived from national data on mental health-related general practitioner services published by the Australian Institute of Health and Welfare (available at: https://www.aihw.gov.au/reports-data/health-welfare-services/mental-health-services/data)</w:t>
            </w:r>
          </w:p>
        </w:tc>
      </w:tr>
      <w:tr w:rsidR="008C5A06" w:rsidRPr="008C5A06" w14:paraId="24E84893" w14:textId="77777777" w:rsidTr="008C5A06">
        <w:tc>
          <w:tcPr>
            <w:tcW w:w="3460" w:type="dxa"/>
            <w:tcBorders>
              <w:top w:val="nil"/>
              <w:left w:val="nil"/>
              <w:bottom w:val="nil"/>
              <w:right w:val="nil"/>
            </w:tcBorders>
            <w:shd w:val="clear" w:color="000000" w:fill="F2F2F2"/>
            <w:hideMark/>
          </w:tcPr>
          <w:p w14:paraId="3A49E90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Recovery base rate CMHC services</w:t>
            </w:r>
          </w:p>
        </w:tc>
        <w:tc>
          <w:tcPr>
            <w:tcW w:w="4300" w:type="dxa"/>
            <w:tcBorders>
              <w:top w:val="nil"/>
              <w:left w:val="nil"/>
              <w:bottom w:val="nil"/>
              <w:right w:val="nil"/>
            </w:tcBorders>
            <w:shd w:val="clear" w:color="000000" w:fill="F2F2F2"/>
            <w:hideMark/>
          </w:tcPr>
          <w:p w14:paraId="407C7EEA"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0.02329788</w:t>
            </w:r>
          </w:p>
        </w:tc>
        <w:tc>
          <w:tcPr>
            <w:tcW w:w="6160" w:type="dxa"/>
            <w:tcBorders>
              <w:top w:val="nil"/>
              <w:left w:val="nil"/>
              <w:bottom w:val="nil"/>
              <w:right w:val="nil"/>
            </w:tcBorders>
            <w:shd w:val="clear" w:color="000000" w:fill="F2F2F2"/>
            <w:hideMark/>
          </w:tcPr>
          <w:p w14:paraId="031DAFA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Per-service recovery rate derived from data on patient outcomes and numbers of services per patient per year published online by the Australian Institute of Health and Welfare (https://www.aihw.gov.au/reports-data/health-welfare-services/mental-health-services/data)</w:t>
            </w:r>
          </w:p>
        </w:tc>
      </w:tr>
      <w:tr w:rsidR="008C5A06" w:rsidRPr="008C5A06" w14:paraId="1245B7B4" w14:textId="77777777" w:rsidTr="008C5A06">
        <w:tc>
          <w:tcPr>
            <w:tcW w:w="3460" w:type="dxa"/>
            <w:tcBorders>
              <w:top w:val="nil"/>
              <w:left w:val="nil"/>
              <w:bottom w:val="nil"/>
              <w:right w:val="nil"/>
            </w:tcBorders>
            <w:shd w:val="clear" w:color="auto" w:fill="auto"/>
            <w:hideMark/>
          </w:tcPr>
          <w:p w14:paraId="7E34FE0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Recovery rate mental health treatment</w:t>
            </w:r>
          </w:p>
        </w:tc>
        <w:tc>
          <w:tcPr>
            <w:tcW w:w="4300" w:type="dxa"/>
            <w:tcBorders>
              <w:top w:val="nil"/>
              <w:left w:val="nil"/>
              <w:bottom w:val="nil"/>
              <w:right w:val="nil"/>
            </w:tcBorders>
            <w:shd w:val="clear" w:color="auto" w:fill="auto"/>
            <w:hideMark/>
          </w:tcPr>
          <w:p w14:paraId="52014B99"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0.09681324</w:t>
            </w:r>
          </w:p>
        </w:tc>
        <w:tc>
          <w:tcPr>
            <w:tcW w:w="6160" w:type="dxa"/>
            <w:tcBorders>
              <w:top w:val="nil"/>
              <w:left w:val="nil"/>
              <w:bottom w:val="nil"/>
              <w:right w:val="nil"/>
            </w:tcBorders>
            <w:shd w:val="clear" w:color="auto" w:fill="auto"/>
            <w:hideMark/>
          </w:tcPr>
          <w:p w14:paraId="16BE0154"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xml:space="preserve">Per-service recovery rates derived from treatment effectiveness estimates reported in </w:t>
            </w:r>
            <w:proofErr w:type="spellStart"/>
            <w:r w:rsidRPr="008C5A06">
              <w:rPr>
                <w:rFonts w:ascii="Times New Roman" w:eastAsia="Times New Roman" w:hAnsi="Times New Roman"/>
                <w:color w:val="auto"/>
                <w:sz w:val="17"/>
                <w:szCs w:val="17"/>
                <w:lang w:eastAsia="en-AU"/>
              </w:rPr>
              <w:t>Thase</w:t>
            </w:r>
            <w:proofErr w:type="spellEnd"/>
            <w:r w:rsidRPr="008C5A06">
              <w:rPr>
                <w:rFonts w:ascii="Times New Roman" w:eastAsia="Times New Roman" w:hAnsi="Times New Roman"/>
                <w:color w:val="auto"/>
                <w:sz w:val="17"/>
                <w:szCs w:val="17"/>
                <w:lang w:eastAsia="en-AU"/>
              </w:rPr>
              <w:t xml:space="preserve"> et al. (1997, Arch. Gen. Psychiatry 54, 1009−1015) and data on numbers of services per patient per year published online by the Australian Institute of Health and Welfare (https://www.aihw.gov.au/reports/primary-health-care/medicare-subsidised-gp-allied-health-and-specialis/data).</w:t>
            </w:r>
          </w:p>
        </w:tc>
      </w:tr>
      <w:tr w:rsidR="008C5A06" w:rsidRPr="008C5A06" w14:paraId="063D715B" w14:textId="77777777" w:rsidTr="008C5A06">
        <w:tc>
          <w:tcPr>
            <w:tcW w:w="3460" w:type="dxa"/>
            <w:tcBorders>
              <w:top w:val="nil"/>
              <w:left w:val="nil"/>
              <w:bottom w:val="nil"/>
              <w:right w:val="nil"/>
            </w:tcBorders>
            <w:shd w:val="clear" w:color="000000" w:fill="F2F2F2"/>
            <w:hideMark/>
          </w:tcPr>
          <w:p w14:paraId="17A5331C"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lastRenderedPageBreak/>
              <w:t>Recovery rate online services</w:t>
            </w:r>
          </w:p>
        </w:tc>
        <w:tc>
          <w:tcPr>
            <w:tcW w:w="4300" w:type="dxa"/>
            <w:tcBorders>
              <w:top w:val="nil"/>
              <w:left w:val="nil"/>
              <w:bottom w:val="nil"/>
              <w:right w:val="nil"/>
            </w:tcBorders>
            <w:shd w:val="clear" w:color="000000" w:fill="F2F2F2"/>
            <w:hideMark/>
          </w:tcPr>
          <w:p w14:paraId="37A66DEC"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0.4</w:t>
            </w:r>
          </w:p>
        </w:tc>
        <w:tc>
          <w:tcPr>
            <w:tcW w:w="6160" w:type="dxa"/>
            <w:tcBorders>
              <w:top w:val="nil"/>
              <w:left w:val="nil"/>
              <w:bottom w:val="nil"/>
              <w:right w:val="nil"/>
            </w:tcBorders>
            <w:shd w:val="clear" w:color="000000" w:fill="F2F2F2"/>
            <w:hideMark/>
          </w:tcPr>
          <w:p w14:paraId="06D3CBC8"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xml:space="preserve">Derived from Christensen et al. (2004, Br. Med. J. 328, 265) and </w:t>
            </w:r>
            <w:proofErr w:type="spellStart"/>
            <w:r w:rsidRPr="008C5A06">
              <w:rPr>
                <w:rFonts w:ascii="Times New Roman" w:eastAsia="Times New Roman" w:hAnsi="Times New Roman"/>
                <w:color w:val="auto"/>
                <w:sz w:val="17"/>
                <w:szCs w:val="17"/>
                <w:lang w:eastAsia="en-AU"/>
              </w:rPr>
              <w:t>Cuijpers</w:t>
            </w:r>
            <w:proofErr w:type="spellEnd"/>
            <w:r w:rsidRPr="008C5A06">
              <w:rPr>
                <w:rFonts w:ascii="Times New Roman" w:eastAsia="Times New Roman" w:hAnsi="Times New Roman"/>
                <w:color w:val="auto"/>
                <w:sz w:val="17"/>
                <w:szCs w:val="17"/>
                <w:lang w:eastAsia="en-AU"/>
              </w:rPr>
              <w:t xml:space="preserve"> et al. (2009, Br. J. Gen. </w:t>
            </w:r>
            <w:proofErr w:type="spellStart"/>
            <w:r w:rsidRPr="008C5A06">
              <w:rPr>
                <w:rFonts w:ascii="Times New Roman" w:eastAsia="Times New Roman" w:hAnsi="Times New Roman"/>
                <w:color w:val="auto"/>
                <w:sz w:val="17"/>
                <w:szCs w:val="17"/>
                <w:lang w:eastAsia="en-AU"/>
              </w:rPr>
              <w:t>Pract</w:t>
            </w:r>
            <w:proofErr w:type="spellEnd"/>
            <w:r w:rsidRPr="008C5A06">
              <w:rPr>
                <w:rFonts w:ascii="Times New Roman" w:eastAsia="Times New Roman" w:hAnsi="Times New Roman"/>
                <w:color w:val="auto"/>
                <w:sz w:val="17"/>
                <w:szCs w:val="17"/>
                <w:lang w:eastAsia="en-AU"/>
              </w:rPr>
              <w:t xml:space="preserve">., </w:t>
            </w:r>
            <w:proofErr w:type="spellStart"/>
            <w:r w:rsidRPr="008C5A06">
              <w:rPr>
                <w:rFonts w:ascii="Times New Roman" w:eastAsia="Times New Roman" w:hAnsi="Times New Roman"/>
                <w:color w:val="auto"/>
                <w:sz w:val="17"/>
                <w:szCs w:val="17"/>
                <w:lang w:eastAsia="en-AU"/>
              </w:rPr>
              <w:t>doi</w:t>
            </w:r>
            <w:proofErr w:type="spellEnd"/>
            <w:r w:rsidRPr="008C5A06">
              <w:rPr>
                <w:rFonts w:ascii="Times New Roman" w:eastAsia="Times New Roman" w:hAnsi="Times New Roman"/>
                <w:color w:val="auto"/>
                <w:sz w:val="17"/>
                <w:szCs w:val="17"/>
                <w:lang w:eastAsia="en-AU"/>
              </w:rPr>
              <w:t>: 10.3399/bjgp09X395139)</w:t>
            </w:r>
          </w:p>
        </w:tc>
      </w:tr>
      <w:tr w:rsidR="008C5A06" w:rsidRPr="008C5A06" w14:paraId="39F94728" w14:textId="77777777" w:rsidTr="008C5A06">
        <w:tc>
          <w:tcPr>
            <w:tcW w:w="3460" w:type="dxa"/>
            <w:tcBorders>
              <w:top w:val="nil"/>
              <w:left w:val="nil"/>
              <w:bottom w:val="nil"/>
              <w:right w:val="nil"/>
            </w:tcBorders>
            <w:shd w:val="clear" w:color="auto" w:fill="auto"/>
            <w:hideMark/>
          </w:tcPr>
          <w:p w14:paraId="7E325E49"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Recovery rate ratio GP services</w:t>
            </w:r>
          </w:p>
        </w:tc>
        <w:tc>
          <w:tcPr>
            <w:tcW w:w="4300" w:type="dxa"/>
            <w:tcBorders>
              <w:top w:val="nil"/>
              <w:left w:val="nil"/>
              <w:bottom w:val="nil"/>
              <w:right w:val="nil"/>
            </w:tcBorders>
            <w:shd w:val="clear" w:color="auto" w:fill="auto"/>
            <w:hideMark/>
          </w:tcPr>
          <w:p w14:paraId="6D58197E"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0.7243705</w:t>
            </w:r>
          </w:p>
        </w:tc>
        <w:tc>
          <w:tcPr>
            <w:tcW w:w="6160" w:type="dxa"/>
            <w:tcBorders>
              <w:top w:val="nil"/>
              <w:left w:val="nil"/>
              <w:bottom w:val="nil"/>
              <w:right w:val="nil"/>
            </w:tcBorders>
            <w:shd w:val="clear" w:color="auto" w:fill="auto"/>
            <w:hideMark/>
          </w:tcPr>
          <w:p w14:paraId="67D6E41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xml:space="preserve">Derived from </w:t>
            </w:r>
            <w:proofErr w:type="spellStart"/>
            <w:r w:rsidRPr="008C5A06">
              <w:rPr>
                <w:rFonts w:ascii="Times New Roman" w:eastAsia="Times New Roman" w:hAnsi="Times New Roman"/>
                <w:color w:val="auto"/>
                <w:sz w:val="17"/>
                <w:szCs w:val="17"/>
                <w:lang w:eastAsia="en-AU"/>
              </w:rPr>
              <w:t>Cuijpers</w:t>
            </w:r>
            <w:proofErr w:type="spellEnd"/>
            <w:r w:rsidRPr="008C5A06">
              <w:rPr>
                <w:rFonts w:ascii="Times New Roman" w:eastAsia="Times New Roman" w:hAnsi="Times New Roman"/>
                <w:color w:val="auto"/>
                <w:sz w:val="17"/>
                <w:szCs w:val="17"/>
                <w:lang w:eastAsia="en-AU"/>
              </w:rPr>
              <w:t xml:space="preserve"> et al. (2009, Br. J. Gen. </w:t>
            </w:r>
            <w:proofErr w:type="spellStart"/>
            <w:r w:rsidRPr="008C5A06">
              <w:rPr>
                <w:rFonts w:ascii="Times New Roman" w:eastAsia="Times New Roman" w:hAnsi="Times New Roman"/>
                <w:color w:val="auto"/>
                <w:sz w:val="17"/>
                <w:szCs w:val="17"/>
                <w:lang w:eastAsia="en-AU"/>
              </w:rPr>
              <w:t>Pract</w:t>
            </w:r>
            <w:proofErr w:type="spellEnd"/>
            <w:r w:rsidRPr="008C5A06">
              <w:rPr>
                <w:rFonts w:ascii="Times New Roman" w:eastAsia="Times New Roman" w:hAnsi="Times New Roman"/>
                <w:color w:val="auto"/>
                <w:sz w:val="17"/>
                <w:szCs w:val="17"/>
                <w:lang w:eastAsia="en-AU"/>
              </w:rPr>
              <w:t xml:space="preserve">., </w:t>
            </w:r>
            <w:proofErr w:type="spellStart"/>
            <w:r w:rsidRPr="008C5A06">
              <w:rPr>
                <w:rFonts w:ascii="Times New Roman" w:eastAsia="Times New Roman" w:hAnsi="Times New Roman"/>
                <w:color w:val="auto"/>
                <w:sz w:val="17"/>
                <w:szCs w:val="17"/>
                <w:lang w:eastAsia="en-AU"/>
              </w:rPr>
              <w:t>doi</w:t>
            </w:r>
            <w:proofErr w:type="spellEnd"/>
            <w:r w:rsidRPr="008C5A06">
              <w:rPr>
                <w:rFonts w:ascii="Times New Roman" w:eastAsia="Times New Roman" w:hAnsi="Times New Roman"/>
                <w:color w:val="auto"/>
                <w:sz w:val="17"/>
                <w:szCs w:val="17"/>
                <w:lang w:eastAsia="en-AU"/>
              </w:rPr>
              <w:t>: 10.3399/bjgp09X395139)</w:t>
            </w:r>
          </w:p>
        </w:tc>
      </w:tr>
      <w:tr w:rsidR="008C5A06" w:rsidRPr="008C5A06" w14:paraId="76A12D65" w14:textId="77777777" w:rsidTr="008C5A06">
        <w:tc>
          <w:tcPr>
            <w:tcW w:w="3460" w:type="dxa"/>
            <w:tcBorders>
              <w:top w:val="nil"/>
              <w:left w:val="nil"/>
              <w:bottom w:val="nil"/>
              <w:right w:val="nil"/>
            </w:tcBorders>
            <w:shd w:val="clear" w:color="000000" w:fill="F2F2F2"/>
            <w:hideMark/>
          </w:tcPr>
          <w:p w14:paraId="2B2BAC9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Referral rate CMHC services GP</w:t>
            </w:r>
          </w:p>
        </w:tc>
        <w:tc>
          <w:tcPr>
            <w:tcW w:w="4300" w:type="dxa"/>
            <w:tcBorders>
              <w:top w:val="nil"/>
              <w:left w:val="nil"/>
              <w:bottom w:val="nil"/>
              <w:right w:val="nil"/>
            </w:tcBorders>
            <w:shd w:val="clear" w:color="000000" w:fill="F2F2F2"/>
            <w:hideMark/>
          </w:tcPr>
          <w:p w14:paraId="4588D54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0.0181755922265 (Central Coast), 0.0443127899993 (HNE)</w:t>
            </w:r>
          </w:p>
        </w:tc>
        <w:tc>
          <w:tcPr>
            <w:tcW w:w="6160" w:type="dxa"/>
            <w:tcBorders>
              <w:top w:val="nil"/>
              <w:left w:val="nil"/>
              <w:bottom w:val="nil"/>
              <w:right w:val="nil"/>
            </w:tcBorders>
            <w:shd w:val="clear" w:color="000000" w:fill="F2F2F2"/>
            <w:hideMark/>
          </w:tcPr>
          <w:p w14:paraId="2D6AD604"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Derived from national data on mental health-related general practitioner services published by the Australian Institute of Health and Welfare (available at: https://www.aihw.gov.au/reports-data/health-welfare-services/mental-health-services/data)</w:t>
            </w:r>
          </w:p>
        </w:tc>
      </w:tr>
      <w:tr w:rsidR="008C5A06" w:rsidRPr="008C5A06" w14:paraId="2F83CE86" w14:textId="77777777" w:rsidTr="008C5A06">
        <w:tc>
          <w:tcPr>
            <w:tcW w:w="3460" w:type="dxa"/>
            <w:tcBorders>
              <w:top w:val="nil"/>
              <w:left w:val="nil"/>
              <w:bottom w:val="nil"/>
              <w:right w:val="nil"/>
            </w:tcBorders>
            <w:shd w:val="clear" w:color="auto" w:fill="auto"/>
            <w:hideMark/>
          </w:tcPr>
          <w:p w14:paraId="205762A5"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Referral rate online services</w:t>
            </w:r>
          </w:p>
        </w:tc>
        <w:tc>
          <w:tcPr>
            <w:tcW w:w="4300" w:type="dxa"/>
            <w:tcBorders>
              <w:top w:val="nil"/>
              <w:left w:val="nil"/>
              <w:bottom w:val="nil"/>
              <w:right w:val="nil"/>
            </w:tcBorders>
            <w:shd w:val="clear" w:color="auto" w:fill="auto"/>
            <w:hideMark/>
          </w:tcPr>
          <w:p w14:paraId="53701D98"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0.047724167</w:t>
            </w:r>
          </w:p>
        </w:tc>
        <w:tc>
          <w:tcPr>
            <w:tcW w:w="6160" w:type="dxa"/>
            <w:tcBorders>
              <w:top w:val="nil"/>
              <w:left w:val="nil"/>
              <w:bottom w:val="nil"/>
              <w:right w:val="nil"/>
            </w:tcBorders>
            <w:shd w:val="clear" w:color="auto" w:fill="auto"/>
            <w:hideMark/>
          </w:tcPr>
          <w:p w14:paraId="0F2C3F44"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Derived from national data on mental health-related general practitioner services published by the Australian Institute of Health and Welfare (available at: https://www.aihw.gov.au/reports-data/health-welfare-services/mental-health-services/data)</w:t>
            </w:r>
          </w:p>
        </w:tc>
      </w:tr>
      <w:tr w:rsidR="008C5A06" w:rsidRPr="008C5A06" w14:paraId="4662BF49" w14:textId="77777777" w:rsidTr="008C5A06">
        <w:tc>
          <w:tcPr>
            <w:tcW w:w="3460" w:type="dxa"/>
            <w:tcBorders>
              <w:top w:val="nil"/>
              <w:left w:val="nil"/>
              <w:bottom w:val="nil"/>
              <w:right w:val="nil"/>
            </w:tcBorders>
            <w:shd w:val="clear" w:color="000000" w:fill="F2F2F2"/>
            <w:hideMark/>
          </w:tcPr>
          <w:p w14:paraId="6E96B4B5"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Referral rate psychiatrist and allied services increase per year</w:t>
            </w:r>
          </w:p>
        </w:tc>
        <w:tc>
          <w:tcPr>
            <w:tcW w:w="4300" w:type="dxa"/>
            <w:tcBorders>
              <w:top w:val="nil"/>
              <w:left w:val="nil"/>
              <w:bottom w:val="nil"/>
              <w:right w:val="nil"/>
            </w:tcBorders>
            <w:shd w:val="clear" w:color="000000" w:fill="F2F2F2"/>
            <w:hideMark/>
          </w:tcPr>
          <w:p w14:paraId="269F6F4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0.008490524</w:t>
            </w:r>
          </w:p>
        </w:tc>
        <w:tc>
          <w:tcPr>
            <w:tcW w:w="6160" w:type="dxa"/>
            <w:tcBorders>
              <w:top w:val="nil"/>
              <w:left w:val="nil"/>
              <w:bottom w:val="nil"/>
              <w:right w:val="nil"/>
            </w:tcBorders>
            <w:shd w:val="clear" w:color="000000" w:fill="F2F2F2"/>
            <w:hideMark/>
          </w:tcPr>
          <w:p w14:paraId="4D7CC37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Estimated via constrained optimisation</w:t>
            </w:r>
          </w:p>
        </w:tc>
      </w:tr>
      <w:tr w:rsidR="008C5A06" w:rsidRPr="008C5A06" w14:paraId="6CEE1372" w14:textId="77777777" w:rsidTr="008C5A06">
        <w:tc>
          <w:tcPr>
            <w:tcW w:w="3460" w:type="dxa"/>
            <w:tcBorders>
              <w:top w:val="nil"/>
              <w:left w:val="nil"/>
              <w:bottom w:val="nil"/>
              <w:right w:val="nil"/>
            </w:tcBorders>
            <w:shd w:val="clear" w:color="auto" w:fill="auto"/>
            <w:hideMark/>
          </w:tcPr>
          <w:p w14:paraId="5551295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Referral rate psychiatrist or allied services initial</w:t>
            </w:r>
          </w:p>
        </w:tc>
        <w:tc>
          <w:tcPr>
            <w:tcW w:w="4300" w:type="dxa"/>
            <w:tcBorders>
              <w:top w:val="nil"/>
              <w:left w:val="nil"/>
              <w:bottom w:val="nil"/>
              <w:right w:val="nil"/>
            </w:tcBorders>
            <w:shd w:val="clear" w:color="auto" w:fill="auto"/>
            <w:hideMark/>
          </w:tcPr>
          <w:p w14:paraId="25AABB14"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0.136682296</w:t>
            </w:r>
          </w:p>
        </w:tc>
        <w:tc>
          <w:tcPr>
            <w:tcW w:w="6160" w:type="dxa"/>
            <w:tcBorders>
              <w:top w:val="nil"/>
              <w:left w:val="nil"/>
              <w:bottom w:val="nil"/>
              <w:right w:val="nil"/>
            </w:tcBorders>
            <w:shd w:val="clear" w:color="auto" w:fill="auto"/>
            <w:hideMark/>
          </w:tcPr>
          <w:p w14:paraId="21D7C004"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Initial fraction of patients consulting a general practitioner referred to psychiatrist and allied health services (i.e., at the start of 2011).  Estimated via constrained optimisation using national data on mental health-related general practitioner services published by the Australian Institute of Health and Welfare (available at: https://www.aihw.gov.au/reports-data/health-welfare-services/mental-health-services/data).</w:t>
            </w:r>
          </w:p>
        </w:tc>
      </w:tr>
      <w:tr w:rsidR="008C5A06" w:rsidRPr="008C5A06" w14:paraId="699039FE" w14:textId="77777777" w:rsidTr="008C5A06">
        <w:tc>
          <w:tcPr>
            <w:tcW w:w="3460" w:type="dxa"/>
            <w:tcBorders>
              <w:top w:val="nil"/>
              <w:left w:val="nil"/>
              <w:bottom w:val="nil"/>
              <w:right w:val="nil"/>
            </w:tcBorders>
            <w:shd w:val="clear" w:color="000000" w:fill="F2F2F2"/>
            <w:hideMark/>
          </w:tcPr>
          <w:p w14:paraId="046CECE3"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Referred to psychiatric hospital rate</w:t>
            </w:r>
          </w:p>
        </w:tc>
        <w:tc>
          <w:tcPr>
            <w:tcW w:w="4300" w:type="dxa"/>
            <w:tcBorders>
              <w:top w:val="nil"/>
              <w:left w:val="nil"/>
              <w:bottom w:val="nil"/>
              <w:right w:val="nil"/>
            </w:tcBorders>
            <w:shd w:val="clear" w:color="000000" w:fill="F2F2F2"/>
            <w:hideMark/>
          </w:tcPr>
          <w:p w14:paraId="61C8664D"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0.0262117645536 (Central Coast), 0.0254329219821 (HNE)</w:t>
            </w:r>
          </w:p>
        </w:tc>
        <w:tc>
          <w:tcPr>
            <w:tcW w:w="6160" w:type="dxa"/>
            <w:tcBorders>
              <w:top w:val="nil"/>
              <w:left w:val="nil"/>
              <w:bottom w:val="nil"/>
              <w:right w:val="nil"/>
            </w:tcBorders>
            <w:shd w:val="clear" w:color="000000" w:fill="F2F2F2"/>
            <w:hideMark/>
          </w:tcPr>
          <w:p w14:paraId="60098DC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Fraction of patients attending an appointment with a psychiatrist or allied health services referred to psychiatric hospital care.  Estimated via constrained optimisation.</w:t>
            </w:r>
          </w:p>
        </w:tc>
      </w:tr>
      <w:tr w:rsidR="008C5A06" w:rsidRPr="008C5A06" w14:paraId="5E0E8EAB" w14:textId="77777777" w:rsidTr="008C5A06">
        <w:tc>
          <w:tcPr>
            <w:tcW w:w="3460" w:type="dxa"/>
            <w:tcBorders>
              <w:top w:val="nil"/>
              <w:left w:val="nil"/>
              <w:bottom w:val="nil"/>
              <w:right w:val="nil"/>
            </w:tcBorders>
            <w:shd w:val="clear" w:color="auto" w:fill="auto"/>
            <w:hideMark/>
          </w:tcPr>
          <w:p w14:paraId="5D0DC26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Seeking help GP services base rate</w:t>
            </w:r>
          </w:p>
        </w:tc>
        <w:tc>
          <w:tcPr>
            <w:tcW w:w="4300" w:type="dxa"/>
            <w:tcBorders>
              <w:top w:val="nil"/>
              <w:left w:val="nil"/>
              <w:bottom w:val="nil"/>
              <w:right w:val="nil"/>
            </w:tcBorders>
            <w:shd w:val="clear" w:color="auto" w:fill="auto"/>
            <w:hideMark/>
          </w:tcPr>
          <w:p w14:paraId="73E7D04B"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2.03619966706 (Central Coast), 1.75170808573 (HNE)</w:t>
            </w:r>
          </w:p>
        </w:tc>
        <w:tc>
          <w:tcPr>
            <w:tcW w:w="6160" w:type="dxa"/>
            <w:tcBorders>
              <w:top w:val="nil"/>
              <w:left w:val="nil"/>
              <w:bottom w:val="nil"/>
              <w:right w:val="nil"/>
            </w:tcBorders>
            <w:shd w:val="clear" w:color="auto" w:fill="auto"/>
            <w:hideMark/>
          </w:tcPr>
          <w:p w14:paraId="1F2EB626"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Per capita rate per year.  Estimated via constrained optimisation.</w:t>
            </w:r>
          </w:p>
        </w:tc>
      </w:tr>
      <w:tr w:rsidR="008C5A06" w:rsidRPr="008C5A06" w14:paraId="7D82346F" w14:textId="77777777" w:rsidTr="008C5A06">
        <w:tc>
          <w:tcPr>
            <w:tcW w:w="3460" w:type="dxa"/>
            <w:tcBorders>
              <w:top w:val="nil"/>
              <w:left w:val="nil"/>
              <w:bottom w:val="nil"/>
              <w:right w:val="nil"/>
            </w:tcBorders>
            <w:shd w:val="clear" w:color="000000" w:fill="F2F2F2"/>
            <w:hideMark/>
          </w:tcPr>
          <w:p w14:paraId="6F841F2B"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Seeking help GP services rate increase per year</w:t>
            </w:r>
          </w:p>
        </w:tc>
        <w:tc>
          <w:tcPr>
            <w:tcW w:w="4300" w:type="dxa"/>
            <w:tcBorders>
              <w:top w:val="nil"/>
              <w:left w:val="nil"/>
              <w:bottom w:val="nil"/>
              <w:right w:val="nil"/>
            </w:tcBorders>
            <w:shd w:val="clear" w:color="000000" w:fill="F2F2F2"/>
            <w:hideMark/>
          </w:tcPr>
          <w:p w14:paraId="3AACA7C9"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0.047962152</w:t>
            </w:r>
          </w:p>
        </w:tc>
        <w:tc>
          <w:tcPr>
            <w:tcW w:w="6160" w:type="dxa"/>
            <w:tcBorders>
              <w:top w:val="nil"/>
              <w:left w:val="nil"/>
              <w:bottom w:val="nil"/>
              <w:right w:val="nil"/>
            </w:tcBorders>
            <w:shd w:val="clear" w:color="000000" w:fill="F2F2F2"/>
            <w:hideMark/>
          </w:tcPr>
          <w:p w14:paraId="0CADAAE8"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xml:space="preserve">Default value assumes a yearly increase in the per capita help-seeking rate for each LHD catchment equal to 4.80% of the initial base rate (specified by the parameter </w:t>
            </w:r>
            <w:r w:rsidRPr="008C5A06">
              <w:rPr>
                <w:rFonts w:ascii="Times New Roman" w:eastAsia="Times New Roman" w:hAnsi="Times New Roman"/>
                <w:i/>
                <w:iCs/>
                <w:color w:val="auto"/>
                <w:sz w:val="17"/>
                <w:szCs w:val="17"/>
                <w:lang w:eastAsia="en-AU"/>
              </w:rPr>
              <w:t>Seeking help GP services base rate</w:t>
            </w:r>
            <w:r w:rsidRPr="008C5A06">
              <w:rPr>
                <w:rFonts w:ascii="Times New Roman" w:eastAsia="Times New Roman" w:hAnsi="Times New Roman"/>
                <w:color w:val="auto"/>
                <w:sz w:val="17"/>
                <w:szCs w:val="17"/>
                <w:lang w:eastAsia="en-AU"/>
              </w:rPr>
              <w:t>).  Estimated via constrained optimisation.</w:t>
            </w:r>
          </w:p>
        </w:tc>
      </w:tr>
      <w:tr w:rsidR="008C5A06" w:rsidRPr="008C5A06" w14:paraId="5DCD32C5" w14:textId="77777777" w:rsidTr="008C5A06">
        <w:trPr>
          <w:trHeight w:val="204"/>
        </w:trPr>
        <w:tc>
          <w:tcPr>
            <w:tcW w:w="3460" w:type="dxa"/>
            <w:tcBorders>
              <w:top w:val="nil"/>
              <w:left w:val="nil"/>
              <w:bottom w:val="nil"/>
              <w:right w:val="nil"/>
            </w:tcBorders>
            <w:shd w:val="clear" w:color="auto" w:fill="auto"/>
            <w:hideMark/>
          </w:tcPr>
          <w:p w14:paraId="07228256"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c>
          <w:tcPr>
            <w:tcW w:w="4300" w:type="dxa"/>
            <w:tcBorders>
              <w:top w:val="nil"/>
              <w:left w:val="nil"/>
              <w:bottom w:val="nil"/>
              <w:right w:val="nil"/>
            </w:tcBorders>
            <w:shd w:val="clear" w:color="auto" w:fill="auto"/>
            <w:hideMark/>
          </w:tcPr>
          <w:p w14:paraId="51EEC208"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c>
          <w:tcPr>
            <w:tcW w:w="6160" w:type="dxa"/>
            <w:tcBorders>
              <w:top w:val="nil"/>
              <w:left w:val="nil"/>
              <w:bottom w:val="nil"/>
              <w:right w:val="nil"/>
            </w:tcBorders>
            <w:shd w:val="clear" w:color="auto" w:fill="auto"/>
            <w:hideMark/>
          </w:tcPr>
          <w:p w14:paraId="4F968DDD"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r>
      <w:tr w:rsidR="008C5A06" w:rsidRPr="008C5A06" w14:paraId="096FCBF2" w14:textId="77777777" w:rsidTr="008C5A06">
        <w:trPr>
          <w:trHeight w:val="204"/>
        </w:trPr>
        <w:tc>
          <w:tcPr>
            <w:tcW w:w="3460" w:type="dxa"/>
            <w:tcBorders>
              <w:top w:val="nil"/>
              <w:left w:val="nil"/>
              <w:bottom w:val="nil"/>
              <w:right w:val="nil"/>
            </w:tcBorders>
            <w:shd w:val="clear" w:color="000000" w:fill="D9D9D9"/>
            <w:hideMark/>
          </w:tcPr>
          <w:p w14:paraId="2421A774"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Suicidal behaviour sector</w:t>
            </w:r>
          </w:p>
        </w:tc>
        <w:tc>
          <w:tcPr>
            <w:tcW w:w="4300" w:type="dxa"/>
            <w:tcBorders>
              <w:top w:val="nil"/>
              <w:left w:val="nil"/>
              <w:bottom w:val="nil"/>
              <w:right w:val="nil"/>
            </w:tcBorders>
            <w:shd w:val="clear" w:color="000000" w:fill="D9D9D9"/>
            <w:hideMark/>
          </w:tcPr>
          <w:p w14:paraId="3A21D898"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w:t>
            </w:r>
          </w:p>
        </w:tc>
        <w:tc>
          <w:tcPr>
            <w:tcW w:w="6160" w:type="dxa"/>
            <w:tcBorders>
              <w:top w:val="nil"/>
              <w:left w:val="nil"/>
              <w:bottom w:val="nil"/>
              <w:right w:val="nil"/>
            </w:tcBorders>
            <w:shd w:val="clear" w:color="000000" w:fill="D9D9D9"/>
            <w:hideMark/>
          </w:tcPr>
          <w:p w14:paraId="3F7F15B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w:t>
            </w:r>
          </w:p>
        </w:tc>
      </w:tr>
      <w:tr w:rsidR="008C5A06" w:rsidRPr="008C5A06" w14:paraId="19A5691B" w14:textId="77777777" w:rsidTr="008C5A06">
        <w:trPr>
          <w:trHeight w:val="204"/>
        </w:trPr>
        <w:tc>
          <w:tcPr>
            <w:tcW w:w="3460" w:type="dxa"/>
            <w:tcBorders>
              <w:top w:val="nil"/>
              <w:left w:val="nil"/>
              <w:bottom w:val="nil"/>
              <w:right w:val="nil"/>
            </w:tcBorders>
            <w:shd w:val="clear" w:color="auto" w:fill="auto"/>
            <w:hideMark/>
          </w:tcPr>
          <w:p w14:paraId="20EFAF93"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c>
          <w:tcPr>
            <w:tcW w:w="4300" w:type="dxa"/>
            <w:tcBorders>
              <w:top w:val="nil"/>
              <w:left w:val="nil"/>
              <w:bottom w:val="nil"/>
              <w:right w:val="nil"/>
            </w:tcBorders>
            <w:shd w:val="clear" w:color="auto" w:fill="auto"/>
            <w:hideMark/>
          </w:tcPr>
          <w:p w14:paraId="262F57C5"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c>
          <w:tcPr>
            <w:tcW w:w="6160" w:type="dxa"/>
            <w:tcBorders>
              <w:top w:val="nil"/>
              <w:left w:val="nil"/>
              <w:bottom w:val="nil"/>
              <w:right w:val="nil"/>
            </w:tcBorders>
            <w:shd w:val="clear" w:color="auto" w:fill="auto"/>
            <w:hideMark/>
          </w:tcPr>
          <w:p w14:paraId="0146F158"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r>
      <w:tr w:rsidR="008C5A06" w:rsidRPr="008C5A06" w14:paraId="2D8D55A1" w14:textId="77777777" w:rsidTr="008C5A06">
        <w:tc>
          <w:tcPr>
            <w:tcW w:w="3460" w:type="dxa"/>
            <w:tcBorders>
              <w:top w:val="nil"/>
              <w:left w:val="nil"/>
              <w:bottom w:val="nil"/>
              <w:right w:val="nil"/>
            </w:tcBorders>
            <w:shd w:val="clear" w:color="auto" w:fill="auto"/>
            <w:hideMark/>
          </w:tcPr>
          <w:p w14:paraId="79BDE3C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Self-harm hospitalisation rate not disengaged</w:t>
            </w:r>
          </w:p>
        </w:tc>
        <w:tc>
          <w:tcPr>
            <w:tcW w:w="4300" w:type="dxa"/>
            <w:tcBorders>
              <w:top w:val="nil"/>
              <w:left w:val="nil"/>
              <w:bottom w:val="nil"/>
              <w:right w:val="nil"/>
            </w:tcBorders>
            <w:shd w:val="clear" w:color="auto" w:fill="auto"/>
            <w:hideMark/>
          </w:tcPr>
          <w:p w14:paraId="04D7829A"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0.00364373892401 (Central Coast), 0.0053846008212 (HNE)</w:t>
            </w:r>
          </w:p>
        </w:tc>
        <w:tc>
          <w:tcPr>
            <w:tcW w:w="6160" w:type="dxa"/>
            <w:tcBorders>
              <w:top w:val="nil"/>
              <w:left w:val="nil"/>
              <w:bottom w:val="nil"/>
              <w:right w:val="nil"/>
            </w:tcBorders>
            <w:shd w:val="clear" w:color="auto" w:fill="auto"/>
            <w:hideMark/>
          </w:tcPr>
          <w:p w14:paraId="5ABA063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Per capita rate per year.  Estimated via constrained optimisation.</w:t>
            </w:r>
          </w:p>
        </w:tc>
      </w:tr>
      <w:tr w:rsidR="008C5A06" w:rsidRPr="008C5A06" w14:paraId="71935013" w14:textId="77777777" w:rsidTr="008C5A06">
        <w:tc>
          <w:tcPr>
            <w:tcW w:w="3460" w:type="dxa"/>
            <w:tcBorders>
              <w:top w:val="nil"/>
              <w:left w:val="nil"/>
              <w:bottom w:val="nil"/>
              <w:right w:val="nil"/>
            </w:tcBorders>
            <w:shd w:val="clear" w:color="000000" w:fill="F2F2F2"/>
            <w:hideMark/>
          </w:tcPr>
          <w:p w14:paraId="221ADFAD"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Self-harm rate ratio disengaged</w:t>
            </w:r>
          </w:p>
        </w:tc>
        <w:tc>
          <w:tcPr>
            <w:tcW w:w="4300" w:type="dxa"/>
            <w:tcBorders>
              <w:top w:val="nil"/>
              <w:left w:val="nil"/>
              <w:bottom w:val="nil"/>
              <w:right w:val="nil"/>
            </w:tcBorders>
            <w:shd w:val="clear" w:color="000000" w:fill="F2F2F2"/>
            <w:hideMark/>
          </w:tcPr>
          <w:p w14:paraId="7C03AFAF"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2.2409</w:t>
            </w:r>
          </w:p>
        </w:tc>
        <w:tc>
          <w:tcPr>
            <w:tcW w:w="6160" w:type="dxa"/>
            <w:tcBorders>
              <w:top w:val="nil"/>
              <w:left w:val="nil"/>
              <w:bottom w:val="nil"/>
              <w:right w:val="nil"/>
            </w:tcBorders>
            <w:shd w:val="clear" w:color="000000" w:fill="F2F2F2"/>
            <w:hideMark/>
          </w:tcPr>
          <w:p w14:paraId="3477C37D"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Derived from Chamberlain et al. (2009, Crisis 30, 39−42)</w:t>
            </w:r>
          </w:p>
        </w:tc>
      </w:tr>
      <w:tr w:rsidR="008C5A06" w:rsidRPr="008C5A06" w14:paraId="728DEFFC" w14:textId="77777777" w:rsidTr="008C5A06">
        <w:tc>
          <w:tcPr>
            <w:tcW w:w="3460" w:type="dxa"/>
            <w:tcBorders>
              <w:top w:val="nil"/>
              <w:left w:val="nil"/>
              <w:bottom w:val="nil"/>
              <w:right w:val="nil"/>
            </w:tcBorders>
            <w:shd w:val="clear" w:color="auto" w:fill="auto"/>
            <w:hideMark/>
          </w:tcPr>
          <w:p w14:paraId="3B73D58D"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Suicide attempt lethality</w:t>
            </w:r>
          </w:p>
        </w:tc>
        <w:tc>
          <w:tcPr>
            <w:tcW w:w="4300" w:type="dxa"/>
            <w:tcBorders>
              <w:top w:val="nil"/>
              <w:left w:val="nil"/>
              <w:bottom w:val="nil"/>
              <w:right w:val="nil"/>
            </w:tcBorders>
            <w:shd w:val="clear" w:color="auto" w:fill="auto"/>
            <w:hideMark/>
          </w:tcPr>
          <w:p w14:paraId="65D4446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0.115247617469 (Central Coast), 0.087441547923 (HNE)</w:t>
            </w:r>
          </w:p>
        </w:tc>
        <w:tc>
          <w:tcPr>
            <w:tcW w:w="6160" w:type="dxa"/>
            <w:tcBorders>
              <w:top w:val="nil"/>
              <w:left w:val="nil"/>
              <w:bottom w:val="nil"/>
              <w:right w:val="nil"/>
            </w:tcBorders>
            <w:shd w:val="clear" w:color="auto" w:fill="auto"/>
            <w:hideMark/>
          </w:tcPr>
          <w:p w14:paraId="1B504C5B"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Estimated via constrained optimisation</w:t>
            </w:r>
          </w:p>
        </w:tc>
      </w:tr>
      <w:tr w:rsidR="008C5A06" w:rsidRPr="008C5A06" w14:paraId="4F0FD500" w14:textId="77777777" w:rsidTr="008C5A06">
        <w:trPr>
          <w:trHeight w:val="204"/>
        </w:trPr>
        <w:tc>
          <w:tcPr>
            <w:tcW w:w="3460" w:type="dxa"/>
            <w:tcBorders>
              <w:top w:val="nil"/>
              <w:left w:val="nil"/>
              <w:bottom w:val="nil"/>
              <w:right w:val="nil"/>
            </w:tcBorders>
            <w:shd w:val="clear" w:color="auto" w:fill="auto"/>
            <w:hideMark/>
          </w:tcPr>
          <w:p w14:paraId="4A3C87D7"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c>
          <w:tcPr>
            <w:tcW w:w="4300" w:type="dxa"/>
            <w:tcBorders>
              <w:top w:val="nil"/>
              <w:left w:val="nil"/>
              <w:bottom w:val="nil"/>
              <w:right w:val="nil"/>
            </w:tcBorders>
            <w:shd w:val="clear" w:color="auto" w:fill="auto"/>
            <w:hideMark/>
          </w:tcPr>
          <w:p w14:paraId="0F340F29"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c>
          <w:tcPr>
            <w:tcW w:w="6160" w:type="dxa"/>
            <w:tcBorders>
              <w:top w:val="nil"/>
              <w:left w:val="nil"/>
              <w:bottom w:val="nil"/>
              <w:right w:val="nil"/>
            </w:tcBorders>
            <w:shd w:val="clear" w:color="auto" w:fill="auto"/>
            <w:hideMark/>
          </w:tcPr>
          <w:p w14:paraId="5B365961"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r>
      <w:tr w:rsidR="008C5A06" w:rsidRPr="008C5A06" w14:paraId="6A3E5F75" w14:textId="77777777" w:rsidTr="008C5A06">
        <w:trPr>
          <w:trHeight w:val="204"/>
        </w:trPr>
        <w:tc>
          <w:tcPr>
            <w:tcW w:w="3460" w:type="dxa"/>
            <w:tcBorders>
              <w:top w:val="nil"/>
              <w:left w:val="nil"/>
              <w:bottom w:val="nil"/>
              <w:right w:val="nil"/>
            </w:tcBorders>
            <w:shd w:val="clear" w:color="000000" w:fill="D9D9D9"/>
            <w:hideMark/>
          </w:tcPr>
          <w:p w14:paraId="2D6B3705"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Interventions</w:t>
            </w:r>
          </w:p>
        </w:tc>
        <w:tc>
          <w:tcPr>
            <w:tcW w:w="4300" w:type="dxa"/>
            <w:tcBorders>
              <w:top w:val="nil"/>
              <w:left w:val="nil"/>
              <w:bottom w:val="nil"/>
              <w:right w:val="nil"/>
            </w:tcBorders>
            <w:shd w:val="clear" w:color="000000" w:fill="D9D9D9"/>
            <w:hideMark/>
          </w:tcPr>
          <w:p w14:paraId="052A826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w:t>
            </w:r>
          </w:p>
        </w:tc>
        <w:tc>
          <w:tcPr>
            <w:tcW w:w="6160" w:type="dxa"/>
            <w:tcBorders>
              <w:top w:val="nil"/>
              <w:left w:val="nil"/>
              <w:bottom w:val="nil"/>
              <w:right w:val="nil"/>
            </w:tcBorders>
            <w:shd w:val="clear" w:color="000000" w:fill="D9D9D9"/>
            <w:hideMark/>
          </w:tcPr>
          <w:p w14:paraId="4AD8624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w:t>
            </w:r>
          </w:p>
        </w:tc>
      </w:tr>
      <w:tr w:rsidR="008C5A06" w:rsidRPr="008C5A06" w14:paraId="1147C6D7" w14:textId="77777777" w:rsidTr="008C5A06">
        <w:trPr>
          <w:trHeight w:val="204"/>
        </w:trPr>
        <w:tc>
          <w:tcPr>
            <w:tcW w:w="3460" w:type="dxa"/>
            <w:tcBorders>
              <w:top w:val="nil"/>
              <w:left w:val="nil"/>
              <w:bottom w:val="nil"/>
              <w:right w:val="nil"/>
            </w:tcBorders>
            <w:shd w:val="clear" w:color="auto" w:fill="auto"/>
            <w:hideMark/>
          </w:tcPr>
          <w:p w14:paraId="75E0F167"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c>
          <w:tcPr>
            <w:tcW w:w="4300" w:type="dxa"/>
            <w:tcBorders>
              <w:top w:val="nil"/>
              <w:left w:val="nil"/>
              <w:bottom w:val="nil"/>
              <w:right w:val="nil"/>
            </w:tcBorders>
            <w:shd w:val="clear" w:color="auto" w:fill="auto"/>
            <w:hideMark/>
          </w:tcPr>
          <w:p w14:paraId="5199FDD2"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c>
          <w:tcPr>
            <w:tcW w:w="6160" w:type="dxa"/>
            <w:tcBorders>
              <w:top w:val="nil"/>
              <w:left w:val="nil"/>
              <w:bottom w:val="nil"/>
              <w:right w:val="nil"/>
            </w:tcBorders>
            <w:shd w:val="clear" w:color="auto" w:fill="auto"/>
            <w:hideMark/>
          </w:tcPr>
          <w:p w14:paraId="1BAB2F71" w14:textId="77777777" w:rsidR="008C5A06" w:rsidRPr="008C5A06" w:rsidRDefault="008C5A06" w:rsidP="008C5A06">
            <w:pPr>
              <w:spacing w:line="240" w:lineRule="auto"/>
              <w:rPr>
                <w:rFonts w:ascii="Times New Roman" w:eastAsia="Times New Roman" w:hAnsi="Times New Roman"/>
                <w:color w:val="auto"/>
                <w:sz w:val="17"/>
                <w:szCs w:val="17"/>
                <w:lang w:eastAsia="en-AU"/>
              </w:rPr>
            </w:pPr>
          </w:p>
        </w:tc>
      </w:tr>
      <w:tr w:rsidR="008C5A06" w:rsidRPr="008C5A06" w14:paraId="2D6B293A" w14:textId="77777777" w:rsidTr="008C5A06">
        <w:tc>
          <w:tcPr>
            <w:tcW w:w="3460" w:type="dxa"/>
            <w:tcBorders>
              <w:top w:val="nil"/>
              <w:left w:val="nil"/>
              <w:bottom w:val="nil"/>
              <w:right w:val="nil"/>
            </w:tcBorders>
            <w:shd w:val="clear" w:color="000000" w:fill="F2F2F2"/>
            <w:hideMark/>
          </w:tcPr>
          <w:p w14:paraId="09A3CFD8"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Acute care services effect duration (weeks)</w:t>
            </w:r>
          </w:p>
        </w:tc>
        <w:tc>
          <w:tcPr>
            <w:tcW w:w="4300" w:type="dxa"/>
            <w:tcBorders>
              <w:top w:val="nil"/>
              <w:left w:val="nil"/>
              <w:bottom w:val="nil"/>
              <w:right w:val="nil"/>
            </w:tcBorders>
            <w:shd w:val="clear" w:color="000000" w:fill="F2F2F2"/>
            <w:hideMark/>
          </w:tcPr>
          <w:p w14:paraId="6C694B9C"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2</w:t>
            </w:r>
          </w:p>
        </w:tc>
        <w:tc>
          <w:tcPr>
            <w:tcW w:w="6160" w:type="dxa"/>
            <w:tcBorders>
              <w:top w:val="nil"/>
              <w:left w:val="nil"/>
              <w:bottom w:val="nil"/>
              <w:right w:val="nil"/>
            </w:tcBorders>
            <w:shd w:val="clear" w:color="000000" w:fill="F2F2F2"/>
            <w:hideMark/>
          </w:tcPr>
          <w:p w14:paraId="1E869E14"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Default value assumes community-based acute care reduces the probability of repeat episodes of suicidal ideation or behaviour for a mean of 2 weeks after referral</w:t>
            </w:r>
          </w:p>
        </w:tc>
      </w:tr>
      <w:tr w:rsidR="008C5A06" w:rsidRPr="008C5A06" w14:paraId="44B11FFE" w14:textId="77777777" w:rsidTr="008C5A06">
        <w:tc>
          <w:tcPr>
            <w:tcW w:w="3460" w:type="dxa"/>
            <w:tcBorders>
              <w:top w:val="nil"/>
              <w:left w:val="nil"/>
              <w:bottom w:val="nil"/>
              <w:right w:val="nil"/>
            </w:tcBorders>
            <w:shd w:val="clear" w:color="auto" w:fill="auto"/>
            <w:hideMark/>
          </w:tcPr>
          <w:p w14:paraId="0319663F" w14:textId="77777777" w:rsidR="008C5A06" w:rsidRPr="008C5A06" w:rsidRDefault="008C5A06" w:rsidP="008C5A06">
            <w:pPr>
              <w:spacing w:line="240" w:lineRule="auto"/>
              <w:rPr>
                <w:rFonts w:ascii="Times New Roman" w:eastAsia="Times New Roman" w:hAnsi="Times New Roman"/>
                <w:color w:val="FF0000"/>
                <w:sz w:val="17"/>
                <w:szCs w:val="17"/>
                <w:lang w:eastAsia="en-AU"/>
              </w:rPr>
            </w:pPr>
            <w:r w:rsidRPr="008C5A06">
              <w:rPr>
                <w:rFonts w:ascii="Times New Roman" w:eastAsia="Times New Roman" w:hAnsi="Times New Roman"/>
                <w:color w:val="FF0000"/>
                <w:sz w:val="17"/>
                <w:szCs w:val="17"/>
                <w:lang w:eastAsia="en-AU"/>
              </w:rPr>
              <w:t>Acute care services effect on self-harm rate</w:t>
            </w:r>
          </w:p>
        </w:tc>
        <w:tc>
          <w:tcPr>
            <w:tcW w:w="4300" w:type="dxa"/>
            <w:tcBorders>
              <w:top w:val="nil"/>
              <w:left w:val="nil"/>
              <w:bottom w:val="nil"/>
              <w:right w:val="nil"/>
            </w:tcBorders>
            <w:shd w:val="clear" w:color="auto" w:fill="auto"/>
            <w:hideMark/>
          </w:tcPr>
          <w:p w14:paraId="00744001" w14:textId="77777777" w:rsidR="008C5A06" w:rsidRPr="008C5A06" w:rsidRDefault="008C5A06" w:rsidP="008C5A06">
            <w:pPr>
              <w:spacing w:line="240" w:lineRule="auto"/>
              <w:rPr>
                <w:rFonts w:ascii="Times New Roman" w:eastAsia="Times New Roman" w:hAnsi="Times New Roman"/>
                <w:color w:val="FF0000"/>
                <w:sz w:val="17"/>
                <w:szCs w:val="17"/>
                <w:lang w:eastAsia="en-AU"/>
              </w:rPr>
            </w:pPr>
            <w:r w:rsidRPr="008C5A06">
              <w:rPr>
                <w:rFonts w:ascii="Times New Roman" w:eastAsia="Times New Roman" w:hAnsi="Times New Roman"/>
                <w:color w:val="FF0000"/>
                <w:sz w:val="17"/>
                <w:szCs w:val="17"/>
                <w:lang w:eastAsia="en-AU"/>
              </w:rPr>
              <w:t>0.3975155</w:t>
            </w:r>
          </w:p>
        </w:tc>
        <w:tc>
          <w:tcPr>
            <w:tcW w:w="6160" w:type="dxa"/>
            <w:tcBorders>
              <w:top w:val="nil"/>
              <w:left w:val="nil"/>
              <w:bottom w:val="nil"/>
              <w:right w:val="nil"/>
            </w:tcBorders>
            <w:shd w:val="clear" w:color="auto" w:fill="auto"/>
            <w:hideMark/>
          </w:tcPr>
          <w:p w14:paraId="06C813ED" w14:textId="77777777" w:rsidR="008C5A06" w:rsidRPr="008C5A06" w:rsidRDefault="008C5A06" w:rsidP="008C5A06">
            <w:pPr>
              <w:spacing w:line="240" w:lineRule="auto"/>
              <w:rPr>
                <w:rFonts w:ascii="Times New Roman" w:eastAsia="Times New Roman" w:hAnsi="Times New Roman"/>
                <w:color w:val="FF0000"/>
                <w:sz w:val="17"/>
                <w:szCs w:val="17"/>
                <w:lang w:eastAsia="en-AU"/>
              </w:rPr>
            </w:pPr>
            <w:r w:rsidRPr="008C5A06">
              <w:rPr>
                <w:rFonts w:ascii="Times New Roman" w:eastAsia="Times New Roman" w:hAnsi="Times New Roman"/>
                <w:color w:val="FF0000"/>
                <w:sz w:val="17"/>
                <w:szCs w:val="17"/>
                <w:lang w:eastAsia="en-AU"/>
              </w:rPr>
              <w:t xml:space="preserve">Derived from </w:t>
            </w:r>
            <w:proofErr w:type="spellStart"/>
            <w:r w:rsidRPr="008C5A06">
              <w:rPr>
                <w:rFonts w:ascii="Times New Roman" w:eastAsia="Times New Roman" w:hAnsi="Times New Roman"/>
                <w:color w:val="FF0000"/>
                <w:sz w:val="17"/>
                <w:szCs w:val="17"/>
                <w:lang w:eastAsia="en-AU"/>
              </w:rPr>
              <w:t>Hvid</w:t>
            </w:r>
            <w:proofErr w:type="spellEnd"/>
            <w:r w:rsidRPr="008C5A06">
              <w:rPr>
                <w:rFonts w:ascii="Times New Roman" w:eastAsia="Times New Roman" w:hAnsi="Times New Roman"/>
                <w:color w:val="FF0000"/>
                <w:sz w:val="17"/>
                <w:szCs w:val="17"/>
                <w:lang w:eastAsia="en-AU"/>
              </w:rPr>
              <w:t xml:space="preserve"> et al. (2011, Nord. J. Psychiatry 65, 292−298)</w:t>
            </w:r>
          </w:p>
        </w:tc>
      </w:tr>
      <w:tr w:rsidR="008C5A06" w:rsidRPr="008C5A06" w14:paraId="7325A09E" w14:textId="77777777" w:rsidTr="008C5A06">
        <w:tc>
          <w:tcPr>
            <w:tcW w:w="3460" w:type="dxa"/>
            <w:tcBorders>
              <w:top w:val="nil"/>
              <w:left w:val="nil"/>
              <w:bottom w:val="nil"/>
              <w:right w:val="nil"/>
            </w:tcBorders>
            <w:shd w:val="clear" w:color="000000" w:fill="F2F2F2"/>
            <w:hideMark/>
          </w:tcPr>
          <w:p w14:paraId="5A252321"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Additional CMHC service contacts per patient (post-attempt care)</w:t>
            </w:r>
          </w:p>
        </w:tc>
        <w:tc>
          <w:tcPr>
            <w:tcW w:w="4300" w:type="dxa"/>
            <w:tcBorders>
              <w:top w:val="nil"/>
              <w:left w:val="nil"/>
              <w:bottom w:val="nil"/>
              <w:right w:val="nil"/>
            </w:tcBorders>
            <w:shd w:val="clear" w:color="000000" w:fill="F2F2F2"/>
            <w:hideMark/>
          </w:tcPr>
          <w:p w14:paraId="5DC17C75"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18.24816</w:t>
            </w:r>
          </w:p>
        </w:tc>
        <w:tc>
          <w:tcPr>
            <w:tcW w:w="6160" w:type="dxa"/>
            <w:tcBorders>
              <w:top w:val="nil"/>
              <w:left w:val="nil"/>
              <w:bottom w:val="nil"/>
              <w:right w:val="nil"/>
            </w:tcBorders>
            <w:shd w:val="clear" w:color="000000" w:fill="F2F2F2"/>
            <w:hideMark/>
          </w:tcPr>
          <w:p w14:paraId="62D07BAE"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xml:space="preserve">Difference between the mean number of community mental health care service contacts per patient for patients receiving medium to longer term treatment and the mean number of service contacts per patient for all patients.  Estimated using data published by the Australian Institute of Health and Welfare (2018, Mental health services − in brief 2018.  Cat. no. HSE 211. Australian Institute of Health and Welfare, Canberra). </w:t>
            </w:r>
          </w:p>
        </w:tc>
      </w:tr>
      <w:tr w:rsidR="008C5A06" w:rsidRPr="008C5A06" w14:paraId="068BABDD" w14:textId="77777777" w:rsidTr="008C5A06">
        <w:tc>
          <w:tcPr>
            <w:tcW w:w="3460" w:type="dxa"/>
            <w:tcBorders>
              <w:top w:val="nil"/>
              <w:left w:val="nil"/>
              <w:bottom w:val="nil"/>
              <w:right w:val="nil"/>
            </w:tcBorders>
            <w:shd w:val="clear" w:color="auto" w:fill="auto"/>
            <w:hideMark/>
          </w:tcPr>
          <w:p w14:paraId="058FC88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lastRenderedPageBreak/>
              <w:t>Assertive aftercare effect duration (weeks)</w:t>
            </w:r>
          </w:p>
        </w:tc>
        <w:tc>
          <w:tcPr>
            <w:tcW w:w="4300" w:type="dxa"/>
            <w:tcBorders>
              <w:top w:val="nil"/>
              <w:left w:val="nil"/>
              <w:bottom w:val="nil"/>
              <w:right w:val="nil"/>
            </w:tcBorders>
            <w:shd w:val="clear" w:color="auto" w:fill="auto"/>
            <w:hideMark/>
          </w:tcPr>
          <w:p w14:paraId="780BE77C"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52.14285714</w:t>
            </w:r>
          </w:p>
        </w:tc>
        <w:tc>
          <w:tcPr>
            <w:tcW w:w="6160" w:type="dxa"/>
            <w:tcBorders>
              <w:top w:val="nil"/>
              <w:left w:val="nil"/>
              <w:bottom w:val="nil"/>
              <w:right w:val="nil"/>
            </w:tcBorders>
            <w:shd w:val="clear" w:color="auto" w:fill="auto"/>
            <w:hideMark/>
          </w:tcPr>
          <w:p w14:paraId="7BBC6C1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Default value assumes assertive aftercare reduces the probability of repeat self-harm for a mean of 52.1 weeks after a suicide attempt</w:t>
            </w:r>
          </w:p>
        </w:tc>
      </w:tr>
      <w:tr w:rsidR="008C5A06" w:rsidRPr="008C5A06" w14:paraId="41A7615D" w14:textId="77777777" w:rsidTr="008C5A06">
        <w:tc>
          <w:tcPr>
            <w:tcW w:w="3460" w:type="dxa"/>
            <w:tcBorders>
              <w:top w:val="nil"/>
              <w:left w:val="nil"/>
              <w:bottom w:val="nil"/>
              <w:right w:val="nil"/>
            </w:tcBorders>
            <w:shd w:val="clear" w:color="000000" w:fill="F2F2F2"/>
            <w:hideMark/>
          </w:tcPr>
          <w:p w14:paraId="374CFA5A" w14:textId="77777777" w:rsidR="008C5A06" w:rsidRPr="008C5A06" w:rsidRDefault="008C5A06" w:rsidP="008C5A06">
            <w:pPr>
              <w:spacing w:line="240" w:lineRule="auto"/>
              <w:rPr>
                <w:rFonts w:ascii="Times New Roman" w:eastAsia="Times New Roman" w:hAnsi="Times New Roman"/>
                <w:color w:val="FF0000"/>
                <w:sz w:val="17"/>
                <w:szCs w:val="17"/>
                <w:lang w:eastAsia="en-AU"/>
              </w:rPr>
            </w:pPr>
            <w:r w:rsidRPr="008C5A06">
              <w:rPr>
                <w:rFonts w:ascii="Times New Roman" w:eastAsia="Times New Roman" w:hAnsi="Times New Roman"/>
                <w:color w:val="FF0000"/>
                <w:sz w:val="17"/>
                <w:szCs w:val="17"/>
                <w:lang w:eastAsia="en-AU"/>
              </w:rPr>
              <w:t>Assertive aftercare effect estimate</w:t>
            </w:r>
          </w:p>
        </w:tc>
        <w:tc>
          <w:tcPr>
            <w:tcW w:w="4300" w:type="dxa"/>
            <w:tcBorders>
              <w:top w:val="nil"/>
              <w:left w:val="nil"/>
              <w:bottom w:val="nil"/>
              <w:right w:val="nil"/>
            </w:tcBorders>
            <w:shd w:val="clear" w:color="000000" w:fill="F2F2F2"/>
            <w:hideMark/>
          </w:tcPr>
          <w:p w14:paraId="1F2D29F6" w14:textId="77777777" w:rsidR="008C5A06" w:rsidRPr="008C5A06" w:rsidRDefault="008C5A06" w:rsidP="008C5A06">
            <w:pPr>
              <w:spacing w:line="240" w:lineRule="auto"/>
              <w:rPr>
                <w:rFonts w:ascii="Times New Roman" w:eastAsia="Times New Roman" w:hAnsi="Times New Roman"/>
                <w:color w:val="FF0000"/>
                <w:sz w:val="17"/>
                <w:szCs w:val="17"/>
                <w:lang w:eastAsia="en-AU"/>
              </w:rPr>
            </w:pPr>
            <w:r w:rsidRPr="008C5A06">
              <w:rPr>
                <w:rFonts w:ascii="Times New Roman" w:eastAsia="Times New Roman" w:hAnsi="Times New Roman"/>
                <w:color w:val="FF0000"/>
                <w:sz w:val="17"/>
                <w:szCs w:val="17"/>
                <w:lang w:eastAsia="en-AU"/>
              </w:rPr>
              <w:t>0.3975155</w:t>
            </w:r>
          </w:p>
        </w:tc>
        <w:tc>
          <w:tcPr>
            <w:tcW w:w="6160" w:type="dxa"/>
            <w:tcBorders>
              <w:top w:val="nil"/>
              <w:left w:val="nil"/>
              <w:bottom w:val="nil"/>
              <w:right w:val="nil"/>
            </w:tcBorders>
            <w:shd w:val="clear" w:color="000000" w:fill="F2F2F2"/>
            <w:hideMark/>
          </w:tcPr>
          <w:p w14:paraId="22AF7EFC" w14:textId="77777777" w:rsidR="008C5A06" w:rsidRPr="008C5A06" w:rsidRDefault="008C5A06" w:rsidP="008C5A06">
            <w:pPr>
              <w:spacing w:line="240" w:lineRule="auto"/>
              <w:rPr>
                <w:rFonts w:ascii="Times New Roman" w:eastAsia="Times New Roman" w:hAnsi="Times New Roman"/>
                <w:color w:val="FF0000"/>
                <w:sz w:val="17"/>
                <w:szCs w:val="17"/>
                <w:lang w:eastAsia="en-AU"/>
              </w:rPr>
            </w:pPr>
            <w:r w:rsidRPr="008C5A06">
              <w:rPr>
                <w:rFonts w:ascii="Times New Roman" w:eastAsia="Times New Roman" w:hAnsi="Times New Roman"/>
                <w:color w:val="FF0000"/>
                <w:sz w:val="17"/>
                <w:szCs w:val="17"/>
                <w:lang w:eastAsia="en-AU"/>
              </w:rPr>
              <w:t xml:space="preserve">Derived from </w:t>
            </w:r>
            <w:proofErr w:type="spellStart"/>
            <w:r w:rsidRPr="008C5A06">
              <w:rPr>
                <w:rFonts w:ascii="Times New Roman" w:eastAsia="Times New Roman" w:hAnsi="Times New Roman"/>
                <w:color w:val="FF0000"/>
                <w:sz w:val="17"/>
                <w:szCs w:val="17"/>
                <w:lang w:eastAsia="en-AU"/>
              </w:rPr>
              <w:t>Hvid</w:t>
            </w:r>
            <w:proofErr w:type="spellEnd"/>
            <w:r w:rsidRPr="008C5A06">
              <w:rPr>
                <w:rFonts w:ascii="Times New Roman" w:eastAsia="Times New Roman" w:hAnsi="Times New Roman"/>
                <w:color w:val="FF0000"/>
                <w:sz w:val="17"/>
                <w:szCs w:val="17"/>
                <w:lang w:eastAsia="en-AU"/>
              </w:rPr>
              <w:t xml:space="preserve"> et al. (2011, Nord. J. Psychiatry 65, 292−298)</w:t>
            </w:r>
          </w:p>
        </w:tc>
      </w:tr>
      <w:tr w:rsidR="008C5A06" w:rsidRPr="008C5A06" w14:paraId="45E290A2" w14:textId="77777777" w:rsidTr="008C5A06">
        <w:tc>
          <w:tcPr>
            <w:tcW w:w="3460" w:type="dxa"/>
            <w:tcBorders>
              <w:top w:val="nil"/>
              <w:left w:val="nil"/>
              <w:bottom w:val="nil"/>
              <w:right w:val="nil"/>
            </w:tcBorders>
            <w:shd w:val="clear" w:color="auto" w:fill="auto"/>
            <w:hideMark/>
          </w:tcPr>
          <w:p w14:paraId="4D4F0221"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Assertive aftercare treatment duration (weeks)</w:t>
            </w:r>
          </w:p>
        </w:tc>
        <w:tc>
          <w:tcPr>
            <w:tcW w:w="4300" w:type="dxa"/>
            <w:tcBorders>
              <w:top w:val="nil"/>
              <w:left w:val="nil"/>
              <w:bottom w:val="nil"/>
              <w:right w:val="nil"/>
            </w:tcBorders>
            <w:shd w:val="clear" w:color="auto" w:fill="auto"/>
            <w:hideMark/>
          </w:tcPr>
          <w:p w14:paraId="6B11818E"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13.14286</w:t>
            </w:r>
          </w:p>
        </w:tc>
        <w:tc>
          <w:tcPr>
            <w:tcW w:w="6160" w:type="dxa"/>
            <w:tcBorders>
              <w:top w:val="nil"/>
              <w:left w:val="nil"/>
              <w:bottom w:val="nil"/>
              <w:right w:val="nil"/>
            </w:tcBorders>
            <w:shd w:val="clear" w:color="auto" w:fill="auto"/>
            <w:hideMark/>
          </w:tcPr>
          <w:p w14:paraId="19A40F1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Default value assumes post-attempt care is provided for a mean of 92 days after a suicide attempt.  This is the minimum duration of medium to longer term community-based mental health treatment, as defined in Australian Institute of Health and Welfare (2018, Mental health services − in brief 2018.  Cat. no. HSE 211. Australian Institute of Health and Welfare, Canberra)</w:t>
            </w:r>
          </w:p>
        </w:tc>
      </w:tr>
      <w:tr w:rsidR="008C5A06" w:rsidRPr="008C5A06" w14:paraId="736B6883" w14:textId="77777777" w:rsidTr="008C5A06">
        <w:tc>
          <w:tcPr>
            <w:tcW w:w="3460" w:type="dxa"/>
            <w:tcBorders>
              <w:top w:val="nil"/>
              <w:left w:val="nil"/>
              <w:bottom w:val="nil"/>
              <w:right w:val="nil"/>
            </w:tcBorders>
            <w:shd w:val="clear" w:color="000000" w:fill="F2F2F2"/>
            <w:hideMark/>
          </w:tcPr>
          <w:p w14:paraId="1FD37D0E"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ED referral rate acute care services</w:t>
            </w:r>
          </w:p>
        </w:tc>
        <w:tc>
          <w:tcPr>
            <w:tcW w:w="4300" w:type="dxa"/>
            <w:tcBorders>
              <w:top w:val="nil"/>
              <w:left w:val="nil"/>
              <w:bottom w:val="nil"/>
              <w:right w:val="nil"/>
            </w:tcBorders>
            <w:shd w:val="clear" w:color="000000" w:fill="F2F2F2"/>
            <w:hideMark/>
          </w:tcPr>
          <w:p w14:paraId="0F7152A3"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0.4815356</w:t>
            </w:r>
          </w:p>
        </w:tc>
        <w:tc>
          <w:tcPr>
            <w:tcW w:w="6160" w:type="dxa"/>
            <w:tcBorders>
              <w:top w:val="nil"/>
              <w:left w:val="nil"/>
              <w:bottom w:val="nil"/>
              <w:right w:val="nil"/>
            </w:tcBorders>
            <w:shd w:val="clear" w:color="000000" w:fill="F2F2F2"/>
            <w:hideMark/>
          </w:tcPr>
          <w:p w14:paraId="097BF4CF"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Proportion of patients presenting to an emergency department for suicidal ideation or behaviour admitted to hospital (patients requiring inpatient care are assumed to be admitted via an emergency department).  Estimate derived from Perera et al. (2018, Med. J. Aust. 208, 348−353).</w:t>
            </w:r>
          </w:p>
        </w:tc>
      </w:tr>
      <w:tr w:rsidR="008C5A06" w:rsidRPr="008C5A06" w14:paraId="48AC5F1C" w14:textId="77777777" w:rsidTr="008C5A06">
        <w:tc>
          <w:tcPr>
            <w:tcW w:w="3460" w:type="dxa"/>
            <w:tcBorders>
              <w:top w:val="nil"/>
              <w:left w:val="nil"/>
              <w:bottom w:val="nil"/>
              <w:right w:val="nil"/>
            </w:tcBorders>
            <w:shd w:val="clear" w:color="auto" w:fill="auto"/>
            <w:hideMark/>
          </w:tcPr>
          <w:p w14:paraId="7A955615"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ED referral rate safe space services</w:t>
            </w:r>
          </w:p>
        </w:tc>
        <w:tc>
          <w:tcPr>
            <w:tcW w:w="4300" w:type="dxa"/>
            <w:tcBorders>
              <w:top w:val="nil"/>
              <w:left w:val="nil"/>
              <w:bottom w:val="nil"/>
              <w:right w:val="nil"/>
            </w:tcBorders>
            <w:shd w:val="clear" w:color="auto" w:fill="auto"/>
            <w:hideMark/>
          </w:tcPr>
          <w:p w14:paraId="4E14646E"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0.4815356</w:t>
            </w:r>
          </w:p>
        </w:tc>
        <w:tc>
          <w:tcPr>
            <w:tcW w:w="6160" w:type="dxa"/>
            <w:tcBorders>
              <w:top w:val="nil"/>
              <w:left w:val="nil"/>
              <w:bottom w:val="nil"/>
              <w:right w:val="nil"/>
            </w:tcBorders>
            <w:shd w:val="clear" w:color="auto" w:fill="auto"/>
            <w:hideMark/>
          </w:tcPr>
          <w:p w14:paraId="7F5DB316"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Fraction of patients attending a safe space service referred to an emergency department.  Default value is an estimate of the proportion of suicide-related emergency department presentations resulting in hospital admission (derived from Perera et al., 2018, Med. J. Aust. 208, 348−353)</w:t>
            </w:r>
          </w:p>
        </w:tc>
      </w:tr>
      <w:tr w:rsidR="008C5A06" w:rsidRPr="008C5A06" w14:paraId="1E3BBC99" w14:textId="77777777" w:rsidTr="008C5A06">
        <w:tc>
          <w:tcPr>
            <w:tcW w:w="3460" w:type="dxa"/>
            <w:tcBorders>
              <w:top w:val="nil"/>
              <w:left w:val="nil"/>
              <w:bottom w:val="nil"/>
              <w:right w:val="nil"/>
            </w:tcBorders>
            <w:shd w:val="clear" w:color="000000" w:fill="F2F2F2"/>
            <w:hideMark/>
          </w:tcPr>
          <w:p w14:paraId="17C9826D"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Effect of community-based education programs on mental health service engagement</w:t>
            </w:r>
          </w:p>
        </w:tc>
        <w:tc>
          <w:tcPr>
            <w:tcW w:w="4300" w:type="dxa"/>
            <w:tcBorders>
              <w:top w:val="nil"/>
              <w:left w:val="nil"/>
              <w:bottom w:val="nil"/>
              <w:right w:val="nil"/>
            </w:tcBorders>
            <w:shd w:val="clear" w:color="000000" w:fill="F2F2F2"/>
            <w:hideMark/>
          </w:tcPr>
          <w:p w14:paraId="289D4D7D"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1.585327</w:t>
            </w:r>
          </w:p>
        </w:tc>
        <w:tc>
          <w:tcPr>
            <w:tcW w:w="6160" w:type="dxa"/>
            <w:tcBorders>
              <w:top w:val="nil"/>
              <w:left w:val="nil"/>
              <w:bottom w:val="nil"/>
              <w:right w:val="nil"/>
            </w:tcBorders>
            <w:shd w:val="clear" w:color="000000" w:fill="F2F2F2"/>
            <w:hideMark/>
          </w:tcPr>
          <w:p w14:paraId="35B28F99"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xml:space="preserve">Derived from </w:t>
            </w:r>
            <w:proofErr w:type="spellStart"/>
            <w:r w:rsidRPr="008C5A06">
              <w:rPr>
                <w:rFonts w:ascii="Times New Roman" w:eastAsia="Times New Roman" w:hAnsi="Times New Roman"/>
                <w:color w:val="auto"/>
                <w:sz w:val="17"/>
                <w:szCs w:val="17"/>
                <w:lang w:eastAsia="en-AU"/>
              </w:rPr>
              <w:t>Jorm</w:t>
            </w:r>
            <w:proofErr w:type="spellEnd"/>
            <w:r w:rsidRPr="008C5A06">
              <w:rPr>
                <w:rFonts w:ascii="Times New Roman" w:eastAsia="Times New Roman" w:hAnsi="Times New Roman"/>
                <w:color w:val="auto"/>
                <w:sz w:val="17"/>
                <w:szCs w:val="17"/>
                <w:lang w:eastAsia="en-AU"/>
              </w:rPr>
              <w:t xml:space="preserve"> et al. (2003, Psychol. Med. 33, 1071-1079)</w:t>
            </w:r>
          </w:p>
        </w:tc>
      </w:tr>
      <w:tr w:rsidR="008C5A06" w:rsidRPr="008C5A06" w14:paraId="3AD71A50" w14:textId="77777777" w:rsidTr="008C5A06">
        <w:tc>
          <w:tcPr>
            <w:tcW w:w="3460" w:type="dxa"/>
            <w:tcBorders>
              <w:top w:val="nil"/>
              <w:left w:val="nil"/>
              <w:bottom w:val="nil"/>
              <w:right w:val="nil"/>
            </w:tcBorders>
            <w:shd w:val="clear" w:color="auto" w:fill="auto"/>
            <w:hideMark/>
          </w:tcPr>
          <w:p w14:paraId="74BEEF2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Effect of Sense of Community Index increase on community-based education program effectiveness</w:t>
            </w:r>
          </w:p>
        </w:tc>
        <w:tc>
          <w:tcPr>
            <w:tcW w:w="4300" w:type="dxa"/>
            <w:tcBorders>
              <w:top w:val="nil"/>
              <w:left w:val="nil"/>
              <w:bottom w:val="nil"/>
              <w:right w:val="nil"/>
            </w:tcBorders>
            <w:shd w:val="clear" w:color="auto" w:fill="auto"/>
            <w:hideMark/>
          </w:tcPr>
          <w:p w14:paraId="5BE9A68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1.034002</w:t>
            </w:r>
          </w:p>
        </w:tc>
        <w:tc>
          <w:tcPr>
            <w:tcW w:w="6160" w:type="dxa"/>
            <w:tcBorders>
              <w:top w:val="nil"/>
              <w:left w:val="nil"/>
              <w:bottom w:val="nil"/>
              <w:right w:val="nil"/>
            </w:tcBorders>
            <w:shd w:val="clear" w:color="auto" w:fill="auto"/>
            <w:hideMark/>
          </w:tcPr>
          <w:p w14:paraId="2DA555BE"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Assumes an increase in the Sense of Community Index from its baseline value (9.15) to the highest possible value (12) would increase the effect of awareness campaigns on the rate of help seeking by 10%</w:t>
            </w:r>
          </w:p>
        </w:tc>
      </w:tr>
      <w:tr w:rsidR="008C5A06" w:rsidRPr="008C5A06" w14:paraId="0DC4B04D" w14:textId="77777777" w:rsidTr="008C5A06">
        <w:tc>
          <w:tcPr>
            <w:tcW w:w="3460" w:type="dxa"/>
            <w:tcBorders>
              <w:top w:val="nil"/>
              <w:left w:val="nil"/>
              <w:bottom w:val="nil"/>
              <w:right w:val="nil"/>
            </w:tcBorders>
            <w:shd w:val="clear" w:color="000000" w:fill="F2F2F2"/>
            <w:hideMark/>
          </w:tcPr>
          <w:p w14:paraId="6919430E" w14:textId="77777777" w:rsidR="008C5A06" w:rsidRPr="008C5A06" w:rsidRDefault="008C5A06" w:rsidP="008C5A06">
            <w:pPr>
              <w:spacing w:line="240" w:lineRule="auto"/>
              <w:rPr>
                <w:rFonts w:ascii="Times New Roman" w:eastAsia="Times New Roman" w:hAnsi="Times New Roman"/>
                <w:color w:val="FF0000"/>
                <w:sz w:val="17"/>
                <w:szCs w:val="17"/>
                <w:lang w:eastAsia="en-AU"/>
              </w:rPr>
            </w:pPr>
            <w:r w:rsidRPr="008C5A06">
              <w:rPr>
                <w:rFonts w:ascii="Times New Roman" w:eastAsia="Times New Roman" w:hAnsi="Times New Roman"/>
                <w:color w:val="FF0000"/>
                <w:sz w:val="17"/>
                <w:szCs w:val="17"/>
                <w:lang w:eastAsia="en-AU"/>
              </w:rPr>
              <w:t>Effect of Sense of Community Index increase on distress</w:t>
            </w:r>
          </w:p>
        </w:tc>
        <w:tc>
          <w:tcPr>
            <w:tcW w:w="4300" w:type="dxa"/>
            <w:tcBorders>
              <w:top w:val="nil"/>
              <w:left w:val="nil"/>
              <w:bottom w:val="nil"/>
              <w:right w:val="nil"/>
            </w:tcBorders>
            <w:shd w:val="clear" w:color="000000" w:fill="F2F2F2"/>
            <w:hideMark/>
          </w:tcPr>
          <w:p w14:paraId="092E61AE" w14:textId="77777777" w:rsidR="008C5A06" w:rsidRPr="008C5A06" w:rsidRDefault="008C5A06" w:rsidP="008C5A06">
            <w:pPr>
              <w:spacing w:line="240" w:lineRule="auto"/>
              <w:rPr>
                <w:rFonts w:ascii="Times New Roman" w:eastAsia="Times New Roman" w:hAnsi="Times New Roman"/>
                <w:color w:val="FF0000"/>
                <w:sz w:val="17"/>
                <w:szCs w:val="17"/>
                <w:lang w:eastAsia="en-AU"/>
              </w:rPr>
            </w:pPr>
            <w:r w:rsidRPr="008C5A06">
              <w:rPr>
                <w:rFonts w:ascii="Times New Roman" w:eastAsia="Times New Roman" w:hAnsi="Times New Roman"/>
                <w:color w:val="FF0000"/>
                <w:sz w:val="17"/>
                <w:szCs w:val="17"/>
                <w:lang w:eastAsia="en-AU"/>
              </w:rPr>
              <w:t>0.64</w:t>
            </w:r>
          </w:p>
        </w:tc>
        <w:tc>
          <w:tcPr>
            <w:tcW w:w="6160" w:type="dxa"/>
            <w:tcBorders>
              <w:top w:val="nil"/>
              <w:left w:val="nil"/>
              <w:bottom w:val="nil"/>
              <w:right w:val="nil"/>
            </w:tcBorders>
            <w:shd w:val="clear" w:color="000000" w:fill="F2F2F2"/>
            <w:hideMark/>
          </w:tcPr>
          <w:p w14:paraId="536611C6" w14:textId="77777777" w:rsidR="008C5A06" w:rsidRPr="008C5A06" w:rsidRDefault="008C5A06" w:rsidP="008C5A06">
            <w:pPr>
              <w:spacing w:line="240" w:lineRule="auto"/>
              <w:rPr>
                <w:rFonts w:ascii="Times New Roman" w:eastAsia="Times New Roman" w:hAnsi="Times New Roman"/>
                <w:color w:val="FF0000"/>
                <w:sz w:val="17"/>
                <w:szCs w:val="17"/>
                <w:lang w:eastAsia="en-AU"/>
              </w:rPr>
            </w:pPr>
            <w:r w:rsidRPr="008C5A06">
              <w:rPr>
                <w:rFonts w:ascii="Times New Roman" w:eastAsia="Times New Roman" w:hAnsi="Times New Roman"/>
                <w:color w:val="FF0000"/>
                <w:sz w:val="17"/>
                <w:szCs w:val="17"/>
                <w:lang w:eastAsia="en-AU"/>
              </w:rPr>
              <w:t xml:space="preserve">Derived from Handley et al. (2012, Soc. Psychiatry </w:t>
            </w:r>
            <w:proofErr w:type="spellStart"/>
            <w:r w:rsidRPr="008C5A06">
              <w:rPr>
                <w:rFonts w:ascii="Times New Roman" w:eastAsia="Times New Roman" w:hAnsi="Times New Roman"/>
                <w:color w:val="FF0000"/>
                <w:sz w:val="17"/>
                <w:szCs w:val="17"/>
                <w:lang w:eastAsia="en-AU"/>
              </w:rPr>
              <w:t>Psychiatr</w:t>
            </w:r>
            <w:proofErr w:type="spellEnd"/>
            <w:r w:rsidRPr="008C5A06">
              <w:rPr>
                <w:rFonts w:ascii="Times New Roman" w:eastAsia="Times New Roman" w:hAnsi="Times New Roman"/>
                <w:color w:val="FF0000"/>
                <w:sz w:val="17"/>
                <w:szCs w:val="17"/>
                <w:lang w:eastAsia="en-AU"/>
              </w:rPr>
              <w:t>. Epidemiol. 47, 1281−1290)</w:t>
            </w:r>
          </w:p>
        </w:tc>
      </w:tr>
      <w:tr w:rsidR="008C5A06" w:rsidRPr="008C5A06" w14:paraId="5A3BC15A" w14:textId="77777777" w:rsidTr="008C5A06">
        <w:tc>
          <w:tcPr>
            <w:tcW w:w="3460" w:type="dxa"/>
            <w:tcBorders>
              <w:top w:val="nil"/>
              <w:left w:val="nil"/>
              <w:bottom w:val="nil"/>
              <w:right w:val="nil"/>
            </w:tcBorders>
            <w:shd w:val="clear" w:color="auto" w:fill="auto"/>
            <w:hideMark/>
          </w:tcPr>
          <w:p w14:paraId="4DAC2581" w14:textId="77777777" w:rsidR="008C5A06" w:rsidRPr="008C5A06" w:rsidRDefault="008C5A06" w:rsidP="008C5A06">
            <w:pPr>
              <w:spacing w:line="240" w:lineRule="auto"/>
              <w:rPr>
                <w:rFonts w:ascii="Times New Roman" w:eastAsia="Times New Roman" w:hAnsi="Times New Roman"/>
                <w:color w:val="FF0000"/>
                <w:sz w:val="17"/>
                <w:szCs w:val="17"/>
                <w:lang w:eastAsia="en-AU"/>
              </w:rPr>
            </w:pPr>
            <w:r w:rsidRPr="008C5A06">
              <w:rPr>
                <w:rFonts w:ascii="Times New Roman" w:eastAsia="Times New Roman" w:hAnsi="Times New Roman"/>
                <w:color w:val="FF0000"/>
                <w:sz w:val="17"/>
                <w:szCs w:val="17"/>
                <w:lang w:eastAsia="en-AU"/>
              </w:rPr>
              <w:t>Effect of Sense of Community Index increase on lethality</w:t>
            </w:r>
          </w:p>
        </w:tc>
        <w:tc>
          <w:tcPr>
            <w:tcW w:w="4300" w:type="dxa"/>
            <w:tcBorders>
              <w:top w:val="nil"/>
              <w:left w:val="nil"/>
              <w:bottom w:val="nil"/>
              <w:right w:val="nil"/>
            </w:tcBorders>
            <w:shd w:val="clear" w:color="auto" w:fill="auto"/>
            <w:hideMark/>
          </w:tcPr>
          <w:p w14:paraId="6027B428" w14:textId="77777777" w:rsidR="008C5A06" w:rsidRPr="008C5A06" w:rsidRDefault="008C5A06" w:rsidP="008C5A06">
            <w:pPr>
              <w:spacing w:line="240" w:lineRule="auto"/>
              <w:rPr>
                <w:rFonts w:ascii="Times New Roman" w:eastAsia="Times New Roman" w:hAnsi="Times New Roman"/>
                <w:color w:val="FF0000"/>
                <w:sz w:val="17"/>
                <w:szCs w:val="17"/>
                <w:lang w:eastAsia="en-AU"/>
              </w:rPr>
            </w:pPr>
            <w:r w:rsidRPr="008C5A06">
              <w:rPr>
                <w:rFonts w:ascii="Times New Roman" w:eastAsia="Times New Roman" w:hAnsi="Times New Roman"/>
                <w:color w:val="FF0000"/>
                <w:sz w:val="17"/>
                <w:szCs w:val="17"/>
                <w:lang w:eastAsia="en-AU"/>
              </w:rPr>
              <w:t>0.9637119</w:t>
            </w:r>
          </w:p>
        </w:tc>
        <w:tc>
          <w:tcPr>
            <w:tcW w:w="6160" w:type="dxa"/>
            <w:tcBorders>
              <w:top w:val="nil"/>
              <w:left w:val="nil"/>
              <w:bottom w:val="nil"/>
              <w:right w:val="nil"/>
            </w:tcBorders>
            <w:shd w:val="clear" w:color="auto" w:fill="auto"/>
            <w:hideMark/>
          </w:tcPr>
          <w:p w14:paraId="6E374AC1" w14:textId="77777777" w:rsidR="008C5A06" w:rsidRPr="008C5A06" w:rsidRDefault="008C5A06" w:rsidP="008C5A06">
            <w:pPr>
              <w:spacing w:line="240" w:lineRule="auto"/>
              <w:rPr>
                <w:rFonts w:ascii="Times New Roman" w:eastAsia="Times New Roman" w:hAnsi="Times New Roman"/>
                <w:color w:val="FF0000"/>
                <w:sz w:val="17"/>
                <w:szCs w:val="17"/>
                <w:lang w:eastAsia="en-AU"/>
              </w:rPr>
            </w:pPr>
            <w:r w:rsidRPr="008C5A06">
              <w:rPr>
                <w:rFonts w:ascii="Times New Roman" w:eastAsia="Times New Roman" w:hAnsi="Times New Roman"/>
                <w:color w:val="FF0000"/>
                <w:sz w:val="17"/>
                <w:szCs w:val="17"/>
                <w:lang w:eastAsia="en-AU"/>
              </w:rPr>
              <w:t>Default value assumes an increase in the Sense of Community Index from its baseline value (9.15) to 12 (the maximum possible value) would reduce suicide attempt lethality by 10%</w:t>
            </w:r>
          </w:p>
        </w:tc>
      </w:tr>
      <w:tr w:rsidR="008C5A06" w:rsidRPr="008C5A06" w14:paraId="71B16B65" w14:textId="77777777" w:rsidTr="008C5A06">
        <w:tc>
          <w:tcPr>
            <w:tcW w:w="3460" w:type="dxa"/>
            <w:tcBorders>
              <w:top w:val="nil"/>
              <w:left w:val="nil"/>
              <w:bottom w:val="nil"/>
              <w:right w:val="nil"/>
            </w:tcBorders>
            <w:shd w:val="clear" w:color="000000" w:fill="F2F2F2"/>
            <w:hideMark/>
          </w:tcPr>
          <w:p w14:paraId="4175819F" w14:textId="77777777" w:rsidR="008C5A06" w:rsidRPr="008C5A06" w:rsidRDefault="008C5A06" w:rsidP="008C5A06">
            <w:pPr>
              <w:spacing w:line="240" w:lineRule="auto"/>
              <w:rPr>
                <w:rFonts w:ascii="Times New Roman" w:eastAsia="Times New Roman" w:hAnsi="Times New Roman"/>
                <w:color w:val="FF0000"/>
                <w:sz w:val="17"/>
                <w:szCs w:val="17"/>
                <w:lang w:eastAsia="en-AU"/>
              </w:rPr>
            </w:pPr>
            <w:r w:rsidRPr="008C5A06">
              <w:rPr>
                <w:rFonts w:ascii="Times New Roman" w:eastAsia="Times New Roman" w:hAnsi="Times New Roman"/>
                <w:color w:val="FF0000"/>
                <w:sz w:val="17"/>
                <w:szCs w:val="17"/>
                <w:lang w:eastAsia="en-AU"/>
              </w:rPr>
              <w:t>Family psychoeducation effect estimate</w:t>
            </w:r>
          </w:p>
        </w:tc>
        <w:tc>
          <w:tcPr>
            <w:tcW w:w="4300" w:type="dxa"/>
            <w:tcBorders>
              <w:top w:val="nil"/>
              <w:left w:val="nil"/>
              <w:bottom w:val="nil"/>
              <w:right w:val="nil"/>
            </w:tcBorders>
            <w:shd w:val="clear" w:color="000000" w:fill="F2F2F2"/>
            <w:hideMark/>
          </w:tcPr>
          <w:p w14:paraId="53FA8821" w14:textId="77777777" w:rsidR="008C5A06" w:rsidRPr="008C5A06" w:rsidRDefault="008C5A06" w:rsidP="008C5A06">
            <w:pPr>
              <w:spacing w:line="240" w:lineRule="auto"/>
              <w:rPr>
                <w:rFonts w:ascii="Times New Roman" w:eastAsia="Times New Roman" w:hAnsi="Times New Roman"/>
                <w:color w:val="FF0000"/>
                <w:sz w:val="17"/>
                <w:szCs w:val="17"/>
                <w:lang w:eastAsia="en-AU"/>
              </w:rPr>
            </w:pPr>
            <w:r w:rsidRPr="008C5A06">
              <w:rPr>
                <w:rFonts w:ascii="Times New Roman" w:eastAsia="Times New Roman" w:hAnsi="Times New Roman"/>
                <w:color w:val="FF0000"/>
                <w:sz w:val="17"/>
                <w:szCs w:val="17"/>
                <w:lang w:eastAsia="en-AU"/>
              </w:rPr>
              <w:t>2.515152</w:t>
            </w:r>
          </w:p>
        </w:tc>
        <w:tc>
          <w:tcPr>
            <w:tcW w:w="6160" w:type="dxa"/>
            <w:tcBorders>
              <w:top w:val="nil"/>
              <w:left w:val="nil"/>
              <w:bottom w:val="nil"/>
              <w:right w:val="nil"/>
            </w:tcBorders>
            <w:shd w:val="clear" w:color="000000" w:fill="F2F2F2"/>
            <w:hideMark/>
          </w:tcPr>
          <w:p w14:paraId="4D452BE2" w14:textId="77777777" w:rsidR="008C5A06" w:rsidRPr="008C5A06" w:rsidRDefault="008C5A06" w:rsidP="008C5A06">
            <w:pPr>
              <w:spacing w:line="240" w:lineRule="auto"/>
              <w:rPr>
                <w:rFonts w:ascii="Times New Roman" w:eastAsia="Times New Roman" w:hAnsi="Times New Roman"/>
                <w:color w:val="FF0000"/>
                <w:sz w:val="17"/>
                <w:szCs w:val="17"/>
                <w:lang w:eastAsia="en-AU"/>
              </w:rPr>
            </w:pPr>
            <w:r w:rsidRPr="008C5A06">
              <w:rPr>
                <w:rFonts w:ascii="Times New Roman" w:eastAsia="Times New Roman" w:hAnsi="Times New Roman"/>
                <w:color w:val="FF0000"/>
                <w:sz w:val="17"/>
                <w:szCs w:val="17"/>
                <w:lang w:eastAsia="en-AU"/>
              </w:rPr>
              <w:t>Derived from Shimazu et al. (2011, Br. J Psychiatry 198, 385-390)</w:t>
            </w:r>
          </w:p>
        </w:tc>
      </w:tr>
      <w:tr w:rsidR="008C5A06" w:rsidRPr="008C5A06" w14:paraId="3A835614" w14:textId="77777777" w:rsidTr="008C5A06">
        <w:tc>
          <w:tcPr>
            <w:tcW w:w="3460" w:type="dxa"/>
            <w:tcBorders>
              <w:top w:val="nil"/>
              <w:left w:val="nil"/>
              <w:bottom w:val="nil"/>
              <w:right w:val="nil"/>
            </w:tcBorders>
            <w:shd w:val="clear" w:color="auto" w:fill="auto"/>
            <w:hideMark/>
          </w:tcPr>
          <w:p w14:paraId="3E71E9EB"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GP training effect estimate</w:t>
            </w:r>
          </w:p>
        </w:tc>
        <w:tc>
          <w:tcPr>
            <w:tcW w:w="4300" w:type="dxa"/>
            <w:tcBorders>
              <w:top w:val="nil"/>
              <w:left w:val="nil"/>
              <w:bottom w:val="nil"/>
              <w:right w:val="nil"/>
            </w:tcBorders>
            <w:shd w:val="clear" w:color="auto" w:fill="auto"/>
            <w:hideMark/>
          </w:tcPr>
          <w:p w14:paraId="3327A953"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1.4375</w:t>
            </w:r>
          </w:p>
        </w:tc>
        <w:tc>
          <w:tcPr>
            <w:tcW w:w="6160" w:type="dxa"/>
            <w:tcBorders>
              <w:top w:val="nil"/>
              <w:left w:val="nil"/>
              <w:bottom w:val="nil"/>
              <w:right w:val="nil"/>
            </w:tcBorders>
            <w:shd w:val="clear" w:color="auto" w:fill="auto"/>
            <w:hideMark/>
          </w:tcPr>
          <w:p w14:paraId="13979D89"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Derived from Pfaff et al. (2001, Med. J. Aust. 174, 222-226)</w:t>
            </w:r>
          </w:p>
        </w:tc>
      </w:tr>
      <w:tr w:rsidR="008C5A06" w:rsidRPr="008C5A06" w14:paraId="6EDC98F3" w14:textId="77777777" w:rsidTr="008C5A06">
        <w:tc>
          <w:tcPr>
            <w:tcW w:w="3460" w:type="dxa"/>
            <w:tcBorders>
              <w:top w:val="nil"/>
              <w:left w:val="nil"/>
              <w:bottom w:val="nil"/>
              <w:right w:val="nil"/>
            </w:tcBorders>
            <w:shd w:val="clear" w:color="000000" w:fill="F2F2F2"/>
            <w:hideMark/>
          </w:tcPr>
          <w:p w14:paraId="5B8A17C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Maximum acute care services referral rate</w:t>
            </w:r>
          </w:p>
        </w:tc>
        <w:tc>
          <w:tcPr>
            <w:tcW w:w="4300" w:type="dxa"/>
            <w:tcBorders>
              <w:top w:val="nil"/>
              <w:left w:val="nil"/>
              <w:bottom w:val="nil"/>
              <w:right w:val="nil"/>
            </w:tcBorders>
            <w:shd w:val="clear" w:color="000000" w:fill="F2F2F2"/>
            <w:hideMark/>
          </w:tcPr>
          <w:p w14:paraId="5BBF1751"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0.7</w:t>
            </w:r>
          </w:p>
        </w:tc>
        <w:tc>
          <w:tcPr>
            <w:tcW w:w="6160" w:type="dxa"/>
            <w:tcBorders>
              <w:top w:val="nil"/>
              <w:left w:val="nil"/>
              <w:bottom w:val="nil"/>
              <w:right w:val="nil"/>
            </w:tcBorders>
            <w:shd w:val="clear" w:color="000000" w:fill="F2F2F2"/>
            <w:hideMark/>
          </w:tcPr>
          <w:p w14:paraId="4CEE591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Default value assumes that a maximum of 70% of people in suicidal crisis who would usually present to an emergency department will contact community-based acute care services instead</w:t>
            </w:r>
          </w:p>
        </w:tc>
      </w:tr>
      <w:tr w:rsidR="008C5A06" w:rsidRPr="008C5A06" w14:paraId="7D727BED" w14:textId="77777777" w:rsidTr="008C5A06">
        <w:tc>
          <w:tcPr>
            <w:tcW w:w="3460" w:type="dxa"/>
            <w:tcBorders>
              <w:top w:val="nil"/>
              <w:left w:val="nil"/>
              <w:bottom w:val="nil"/>
              <w:right w:val="nil"/>
            </w:tcBorders>
            <w:shd w:val="clear" w:color="auto" w:fill="auto"/>
            <w:hideMark/>
          </w:tcPr>
          <w:p w14:paraId="1FE49B1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Maximum acute care services referral rate safe space services</w:t>
            </w:r>
          </w:p>
        </w:tc>
        <w:tc>
          <w:tcPr>
            <w:tcW w:w="4300" w:type="dxa"/>
            <w:tcBorders>
              <w:top w:val="nil"/>
              <w:left w:val="nil"/>
              <w:bottom w:val="nil"/>
              <w:right w:val="nil"/>
            </w:tcBorders>
            <w:shd w:val="clear" w:color="auto" w:fill="auto"/>
            <w:hideMark/>
          </w:tcPr>
          <w:p w14:paraId="201D8729"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0.3044022</w:t>
            </w:r>
          </w:p>
        </w:tc>
        <w:tc>
          <w:tcPr>
            <w:tcW w:w="6160" w:type="dxa"/>
            <w:tcBorders>
              <w:top w:val="nil"/>
              <w:left w:val="nil"/>
              <w:bottom w:val="nil"/>
              <w:right w:val="nil"/>
            </w:tcBorders>
            <w:shd w:val="clear" w:color="auto" w:fill="auto"/>
            <w:hideMark/>
          </w:tcPr>
          <w:p w14:paraId="27D6FB46"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Fraction of patients attending a safe space service referred to community-based acute care services.  Default value is an estimate of the proportion of suicide-related emergency department presentations that are potentially life-threatening but do not result in hospital admission (derived from Perera et al., 2018, Med. J. Aust. 208, 348−353).</w:t>
            </w:r>
          </w:p>
        </w:tc>
      </w:tr>
      <w:tr w:rsidR="008C5A06" w:rsidRPr="008C5A06" w14:paraId="6F459741" w14:textId="77777777" w:rsidTr="008C5A06">
        <w:tc>
          <w:tcPr>
            <w:tcW w:w="3460" w:type="dxa"/>
            <w:tcBorders>
              <w:top w:val="nil"/>
              <w:left w:val="nil"/>
              <w:bottom w:val="nil"/>
              <w:right w:val="nil"/>
            </w:tcBorders>
            <w:shd w:val="clear" w:color="000000" w:fill="F2F2F2"/>
            <w:hideMark/>
          </w:tcPr>
          <w:p w14:paraId="2C092896"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Maximum assertive aftercare rate</w:t>
            </w:r>
          </w:p>
        </w:tc>
        <w:tc>
          <w:tcPr>
            <w:tcW w:w="4300" w:type="dxa"/>
            <w:tcBorders>
              <w:top w:val="nil"/>
              <w:left w:val="nil"/>
              <w:bottom w:val="nil"/>
              <w:right w:val="nil"/>
            </w:tcBorders>
            <w:shd w:val="clear" w:color="000000" w:fill="F2F2F2"/>
            <w:hideMark/>
          </w:tcPr>
          <w:p w14:paraId="7666D523"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1</w:t>
            </w:r>
          </w:p>
        </w:tc>
        <w:tc>
          <w:tcPr>
            <w:tcW w:w="6160" w:type="dxa"/>
            <w:tcBorders>
              <w:top w:val="nil"/>
              <w:left w:val="nil"/>
              <w:bottom w:val="nil"/>
              <w:right w:val="nil"/>
            </w:tcBorders>
            <w:shd w:val="clear" w:color="000000" w:fill="F2F2F2"/>
            <w:hideMark/>
          </w:tcPr>
          <w:p w14:paraId="620B86F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Default value assumes that post-attempt care will be provided to all patients hospitalised for a suicide attempt when fully implemented</w:t>
            </w:r>
          </w:p>
        </w:tc>
      </w:tr>
      <w:tr w:rsidR="008C5A06" w:rsidRPr="008C5A06" w14:paraId="4513103D" w14:textId="77777777" w:rsidTr="008C5A06">
        <w:tc>
          <w:tcPr>
            <w:tcW w:w="3460" w:type="dxa"/>
            <w:tcBorders>
              <w:top w:val="nil"/>
              <w:left w:val="nil"/>
              <w:bottom w:val="nil"/>
              <w:right w:val="nil"/>
            </w:tcBorders>
            <w:shd w:val="clear" w:color="auto" w:fill="auto"/>
            <w:hideMark/>
          </w:tcPr>
          <w:p w14:paraId="5BC89D89"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Maximum family psychoeducation rate</w:t>
            </w:r>
          </w:p>
        </w:tc>
        <w:tc>
          <w:tcPr>
            <w:tcW w:w="4300" w:type="dxa"/>
            <w:tcBorders>
              <w:top w:val="nil"/>
              <w:left w:val="nil"/>
              <w:bottom w:val="nil"/>
              <w:right w:val="nil"/>
            </w:tcBorders>
            <w:shd w:val="clear" w:color="auto" w:fill="auto"/>
            <w:hideMark/>
          </w:tcPr>
          <w:p w14:paraId="3A50739A"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0.5533981</w:t>
            </w:r>
          </w:p>
        </w:tc>
        <w:tc>
          <w:tcPr>
            <w:tcW w:w="6160" w:type="dxa"/>
            <w:tcBorders>
              <w:top w:val="nil"/>
              <w:left w:val="nil"/>
              <w:bottom w:val="nil"/>
              <w:right w:val="nil"/>
            </w:tcBorders>
            <w:shd w:val="clear" w:color="auto" w:fill="auto"/>
            <w:hideMark/>
          </w:tcPr>
          <w:p w14:paraId="3B6FA4D3"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Derived from Shimazu et al. (2011, Br. J Psychiatry 198, 385-390)</w:t>
            </w:r>
          </w:p>
        </w:tc>
      </w:tr>
      <w:tr w:rsidR="008C5A06" w:rsidRPr="008C5A06" w14:paraId="1912442B" w14:textId="77777777" w:rsidTr="008C5A06">
        <w:tc>
          <w:tcPr>
            <w:tcW w:w="3460" w:type="dxa"/>
            <w:tcBorders>
              <w:top w:val="nil"/>
              <w:left w:val="nil"/>
              <w:bottom w:val="nil"/>
              <w:right w:val="nil"/>
            </w:tcBorders>
            <w:shd w:val="clear" w:color="000000" w:fill="F2F2F2"/>
            <w:hideMark/>
          </w:tcPr>
          <w:p w14:paraId="0762C8FC"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Maximum GP training rate</w:t>
            </w:r>
          </w:p>
        </w:tc>
        <w:tc>
          <w:tcPr>
            <w:tcW w:w="4300" w:type="dxa"/>
            <w:tcBorders>
              <w:top w:val="nil"/>
              <w:left w:val="nil"/>
              <w:bottom w:val="nil"/>
              <w:right w:val="nil"/>
            </w:tcBorders>
            <w:shd w:val="clear" w:color="000000" w:fill="F2F2F2"/>
            <w:hideMark/>
          </w:tcPr>
          <w:p w14:paraId="73C51055"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0.7</w:t>
            </w:r>
          </w:p>
        </w:tc>
        <w:tc>
          <w:tcPr>
            <w:tcW w:w="6160" w:type="dxa"/>
            <w:tcBorders>
              <w:top w:val="nil"/>
              <w:left w:val="nil"/>
              <w:bottom w:val="nil"/>
              <w:right w:val="nil"/>
            </w:tcBorders>
            <w:shd w:val="clear" w:color="000000" w:fill="F2F2F2"/>
            <w:hideMark/>
          </w:tcPr>
          <w:p w14:paraId="6A10943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Default value assumes that at most 70% of mental health-related GP services will be provided by a GP who has attended a training program</w:t>
            </w:r>
          </w:p>
        </w:tc>
      </w:tr>
      <w:tr w:rsidR="008C5A06" w:rsidRPr="008C5A06" w14:paraId="5AC7602A" w14:textId="77777777" w:rsidTr="008C5A06">
        <w:tc>
          <w:tcPr>
            <w:tcW w:w="3460" w:type="dxa"/>
            <w:tcBorders>
              <w:top w:val="nil"/>
              <w:left w:val="nil"/>
              <w:bottom w:val="nil"/>
              <w:right w:val="nil"/>
            </w:tcBorders>
            <w:shd w:val="clear" w:color="auto" w:fill="auto"/>
            <w:hideMark/>
          </w:tcPr>
          <w:p w14:paraId="6CCDDEB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Maximum safe space services referral rate</w:t>
            </w:r>
          </w:p>
        </w:tc>
        <w:tc>
          <w:tcPr>
            <w:tcW w:w="4300" w:type="dxa"/>
            <w:tcBorders>
              <w:top w:val="nil"/>
              <w:left w:val="nil"/>
              <w:bottom w:val="nil"/>
              <w:right w:val="nil"/>
            </w:tcBorders>
            <w:shd w:val="clear" w:color="auto" w:fill="auto"/>
            <w:hideMark/>
          </w:tcPr>
          <w:p w14:paraId="30E5FC0E"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0.7</w:t>
            </w:r>
          </w:p>
        </w:tc>
        <w:tc>
          <w:tcPr>
            <w:tcW w:w="6160" w:type="dxa"/>
            <w:tcBorders>
              <w:top w:val="nil"/>
              <w:left w:val="nil"/>
              <w:bottom w:val="nil"/>
              <w:right w:val="nil"/>
            </w:tcBorders>
            <w:shd w:val="clear" w:color="auto" w:fill="auto"/>
            <w:hideMark/>
          </w:tcPr>
          <w:p w14:paraId="02037C6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Default value assumes that 70% of people in suicidal crisis who would normally present to an emergency department would present to a safe space alternative instead</w:t>
            </w:r>
          </w:p>
        </w:tc>
      </w:tr>
      <w:tr w:rsidR="008C5A06" w:rsidRPr="008C5A06" w14:paraId="5EC09C07" w14:textId="77777777" w:rsidTr="008C5A06">
        <w:tc>
          <w:tcPr>
            <w:tcW w:w="3460" w:type="dxa"/>
            <w:tcBorders>
              <w:top w:val="nil"/>
              <w:left w:val="nil"/>
              <w:bottom w:val="nil"/>
              <w:right w:val="nil"/>
            </w:tcBorders>
            <w:shd w:val="clear" w:color="000000" w:fill="F2F2F2"/>
            <w:hideMark/>
          </w:tcPr>
          <w:p w14:paraId="2DC11DAD"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Maximum safety plan rate</w:t>
            </w:r>
          </w:p>
        </w:tc>
        <w:tc>
          <w:tcPr>
            <w:tcW w:w="4300" w:type="dxa"/>
            <w:tcBorders>
              <w:top w:val="nil"/>
              <w:left w:val="nil"/>
              <w:bottom w:val="nil"/>
              <w:right w:val="nil"/>
            </w:tcBorders>
            <w:shd w:val="clear" w:color="000000" w:fill="F2F2F2"/>
            <w:hideMark/>
          </w:tcPr>
          <w:p w14:paraId="649C4E56"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0.7</w:t>
            </w:r>
          </w:p>
        </w:tc>
        <w:tc>
          <w:tcPr>
            <w:tcW w:w="6160" w:type="dxa"/>
            <w:tcBorders>
              <w:top w:val="nil"/>
              <w:left w:val="nil"/>
              <w:bottom w:val="nil"/>
              <w:right w:val="nil"/>
            </w:tcBorders>
            <w:shd w:val="clear" w:color="000000" w:fill="F2F2F2"/>
            <w:hideMark/>
          </w:tcPr>
          <w:p w14:paraId="5B7626F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Default value assumes that a safety plan is provided to a maximum of 70% of patients presenting to an emergency department for suicidal ideation or behaviour</w:t>
            </w:r>
          </w:p>
        </w:tc>
      </w:tr>
      <w:tr w:rsidR="008C5A06" w:rsidRPr="008C5A06" w14:paraId="7ED04DA6" w14:textId="77777777" w:rsidTr="008C5A06">
        <w:tc>
          <w:tcPr>
            <w:tcW w:w="3460" w:type="dxa"/>
            <w:tcBorders>
              <w:top w:val="nil"/>
              <w:left w:val="nil"/>
              <w:bottom w:val="nil"/>
              <w:right w:val="nil"/>
            </w:tcBorders>
            <w:shd w:val="clear" w:color="auto" w:fill="auto"/>
            <w:hideMark/>
          </w:tcPr>
          <w:p w14:paraId="1E2EA664"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lastRenderedPageBreak/>
              <w:t>Proportion high or very high distress engaged with services</w:t>
            </w:r>
          </w:p>
        </w:tc>
        <w:tc>
          <w:tcPr>
            <w:tcW w:w="4300" w:type="dxa"/>
            <w:tcBorders>
              <w:top w:val="nil"/>
              <w:left w:val="nil"/>
              <w:bottom w:val="nil"/>
              <w:right w:val="nil"/>
            </w:tcBorders>
            <w:shd w:val="clear" w:color="auto" w:fill="auto"/>
            <w:hideMark/>
          </w:tcPr>
          <w:p w14:paraId="7EB208BD"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0.512977099</w:t>
            </w:r>
          </w:p>
        </w:tc>
        <w:tc>
          <w:tcPr>
            <w:tcW w:w="6160" w:type="dxa"/>
            <w:tcBorders>
              <w:top w:val="nil"/>
              <w:left w:val="nil"/>
              <w:bottom w:val="nil"/>
              <w:right w:val="nil"/>
            </w:tcBorders>
            <w:shd w:val="clear" w:color="auto" w:fill="auto"/>
            <w:hideMark/>
          </w:tcPr>
          <w:p w14:paraId="0F0646A1"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Derived from Australian Bureau of Statistics (2012, Information paper.  Use of the Kessler psychological distress scale in ABS health surveys, Australia, 2007-08.  Cat. no. 4817.0.55.001.  Australian Bureau of Statistics, Canberra)</w:t>
            </w:r>
          </w:p>
        </w:tc>
      </w:tr>
      <w:tr w:rsidR="008C5A06" w:rsidRPr="008C5A06" w14:paraId="3BD49BB2" w14:textId="77777777" w:rsidTr="008C5A06">
        <w:tc>
          <w:tcPr>
            <w:tcW w:w="3460" w:type="dxa"/>
            <w:tcBorders>
              <w:top w:val="nil"/>
              <w:left w:val="nil"/>
              <w:bottom w:val="nil"/>
              <w:right w:val="nil"/>
            </w:tcBorders>
            <w:shd w:val="clear" w:color="000000" w:fill="F2F2F2"/>
            <w:hideMark/>
          </w:tcPr>
          <w:p w14:paraId="183FDE3B"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Proportion of ED presentations involving paramedics or police</w:t>
            </w:r>
          </w:p>
        </w:tc>
        <w:tc>
          <w:tcPr>
            <w:tcW w:w="4300" w:type="dxa"/>
            <w:tcBorders>
              <w:top w:val="nil"/>
              <w:left w:val="nil"/>
              <w:bottom w:val="nil"/>
              <w:right w:val="nil"/>
            </w:tcBorders>
            <w:shd w:val="clear" w:color="000000" w:fill="F2F2F2"/>
            <w:hideMark/>
          </w:tcPr>
          <w:p w14:paraId="653D39E6"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0.224</w:t>
            </w:r>
          </w:p>
        </w:tc>
        <w:tc>
          <w:tcPr>
            <w:tcW w:w="6160" w:type="dxa"/>
            <w:tcBorders>
              <w:top w:val="nil"/>
              <w:left w:val="nil"/>
              <w:bottom w:val="nil"/>
              <w:right w:val="nil"/>
            </w:tcBorders>
            <w:shd w:val="clear" w:color="000000" w:fill="F2F2F2"/>
            <w:hideMark/>
          </w:tcPr>
          <w:p w14:paraId="78E31CCB"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Derived from Australian Institute of Health and Welfare (2018, Mental health services − in brief 2018.  Cat. no. HSE 211. Australian Institute of Health and Welfare, Canberra)</w:t>
            </w:r>
          </w:p>
        </w:tc>
      </w:tr>
      <w:tr w:rsidR="008C5A06" w:rsidRPr="008C5A06" w14:paraId="109D81D1" w14:textId="77777777" w:rsidTr="008C5A06">
        <w:tc>
          <w:tcPr>
            <w:tcW w:w="3460" w:type="dxa"/>
            <w:tcBorders>
              <w:top w:val="nil"/>
              <w:left w:val="nil"/>
              <w:bottom w:val="nil"/>
              <w:right w:val="nil"/>
            </w:tcBorders>
            <w:shd w:val="clear" w:color="auto" w:fill="auto"/>
            <w:hideMark/>
          </w:tcPr>
          <w:p w14:paraId="6665D08E"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Proportion of patients with a diagnosed affective disorder</w:t>
            </w:r>
          </w:p>
        </w:tc>
        <w:tc>
          <w:tcPr>
            <w:tcW w:w="4300" w:type="dxa"/>
            <w:tcBorders>
              <w:top w:val="nil"/>
              <w:left w:val="nil"/>
              <w:bottom w:val="nil"/>
              <w:right w:val="nil"/>
            </w:tcBorders>
            <w:shd w:val="clear" w:color="auto" w:fill="auto"/>
            <w:hideMark/>
          </w:tcPr>
          <w:p w14:paraId="6AFED011"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0.2343458</w:t>
            </w:r>
          </w:p>
        </w:tc>
        <w:tc>
          <w:tcPr>
            <w:tcW w:w="6160" w:type="dxa"/>
            <w:tcBorders>
              <w:top w:val="nil"/>
              <w:left w:val="nil"/>
              <w:bottom w:val="nil"/>
              <w:right w:val="nil"/>
            </w:tcBorders>
            <w:shd w:val="clear" w:color="auto" w:fill="auto"/>
            <w:hideMark/>
          </w:tcPr>
          <w:p w14:paraId="4C811F6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Derived from Australian Bureau of Statistics (2012, Information paper.  Use of the Kessler psychological distress scale in ABS health surveys, Australia, 2007-08.  Cat. no. 4817.0.55.001.  Australian Bureau of Statistics, Canberra)</w:t>
            </w:r>
          </w:p>
        </w:tc>
      </w:tr>
      <w:tr w:rsidR="008C5A06" w:rsidRPr="008C5A06" w14:paraId="4343C26F" w14:textId="77777777" w:rsidTr="008C5A06">
        <w:tc>
          <w:tcPr>
            <w:tcW w:w="3460" w:type="dxa"/>
            <w:tcBorders>
              <w:top w:val="nil"/>
              <w:left w:val="nil"/>
              <w:bottom w:val="nil"/>
              <w:right w:val="nil"/>
            </w:tcBorders>
            <w:shd w:val="clear" w:color="000000" w:fill="F2F2F2"/>
            <w:hideMark/>
          </w:tcPr>
          <w:p w14:paraId="0589DD89"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Repeat self-harm rate per year</w:t>
            </w:r>
          </w:p>
        </w:tc>
        <w:tc>
          <w:tcPr>
            <w:tcW w:w="4300" w:type="dxa"/>
            <w:tcBorders>
              <w:top w:val="nil"/>
              <w:left w:val="nil"/>
              <w:bottom w:val="nil"/>
              <w:right w:val="nil"/>
            </w:tcBorders>
            <w:shd w:val="clear" w:color="000000" w:fill="F2F2F2"/>
            <w:hideMark/>
          </w:tcPr>
          <w:p w14:paraId="1504838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0.179</w:t>
            </w:r>
          </w:p>
        </w:tc>
        <w:tc>
          <w:tcPr>
            <w:tcW w:w="6160" w:type="dxa"/>
            <w:tcBorders>
              <w:top w:val="nil"/>
              <w:left w:val="nil"/>
              <w:bottom w:val="nil"/>
              <w:right w:val="nil"/>
            </w:tcBorders>
            <w:shd w:val="clear" w:color="000000" w:fill="F2F2F2"/>
            <w:hideMark/>
          </w:tcPr>
          <w:p w14:paraId="693577DA"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xml:space="preserve">Derived from Carroll et al. (2014, </w:t>
            </w:r>
            <w:proofErr w:type="spellStart"/>
            <w:r w:rsidRPr="008C5A06">
              <w:rPr>
                <w:rFonts w:ascii="Times New Roman" w:eastAsia="Times New Roman" w:hAnsi="Times New Roman"/>
                <w:color w:val="auto"/>
                <w:sz w:val="17"/>
                <w:szCs w:val="17"/>
                <w:lang w:eastAsia="en-AU"/>
              </w:rPr>
              <w:t>PLoS</w:t>
            </w:r>
            <w:proofErr w:type="spellEnd"/>
            <w:r w:rsidRPr="008C5A06">
              <w:rPr>
                <w:rFonts w:ascii="Times New Roman" w:eastAsia="Times New Roman" w:hAnsi="Times New Roman"/>
                <w:color w:val="auto"/>
                <w:sz w:val="17"/>
                <w:szCs w:val="17"/>
                <w:lang w:eastAsia="en-AU"/>
              </w:rPr>
              <w:t xml:space="preserve"> ONE 9, e89944)</w:t>
            </w:r>
          </w:p>
        </w:tc>
      </w:tr>
      <w:tr w:rsidR="008C5A06" w:rsidRPr="008C5A06" w14:paraId="7EA2A0DA" w14:textId="77777777" w:rsidTr="008C5A06">
        <w:tc>
          <w:tcPr>
            <w:tcW w:w="3460" w:type="dxa"/>
            <w:tcBorders>
              <w:top w:val="nil"/>
              <w:left w:val="nil"/>
              <w:bottom w:val="nil"/>
              <w:right w:val="nil"/>
            </w:tcBorders>
            <w:shd w:val="clear" w:color="auto" w:fill="auto"/>
            <w:hideMark/>
          </w:tcPr>
          <w:p w14:paraId="1986E6CE"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Safe space services effect duration (weeks)</w:t>
            </w:r>
          </w:p>
        </w:tc>
        <w:tc>
          <w:tcPr>
            <w:tcW w:w="4300" w:type="dxa"/>
            <w:tcBorders>
              <w:top w:val="nil"/>
              <w:left w:val="nil"/>
              <w:bottom w:val="nil"/>
              <w:right w:val="nil"/>
            </w:tcBorders>
            <w:shd w:val="clear" w:color="auto" w:fill="auto"/>
            <w:hideMark/>
          </w:tcPr>
          <w:p w14:paraId="6751357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2</w:t>
            </w:r>
          </w:p>
        </w:tc>
        <w:tc>
          <w:tcPr>
            <w:tcW w:w="6160" w:type="dxa"/>
            <w:tcBorders>
              <w:top w:val="nil"/>
              <w:left w:val="nil"/>
              <w:bottom w:val="nil"/>
              <w:right w:val="nil"/>
            </w:tcBorders>
            <w:shd w:val="clear" w:color="auto" w:fill="auto"/>
            <w:hideMark/>
          </w:tcPr>
          <w:p w14:paraId="317C0A44"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Default value assumes care provided in a safe space service reduces the probability of repeat episodes of suicidal behaviour or ideation for a mean of 2 weeks</w:t>
            </w:r>
          </w:p>
        </w:tc>
      </w:tr>
      <w:tr w:rsidR="008C5A06" w:rsidRPr="008C5A06" w14:paraId="27F8AF66" w14:textId="77777777" w:rsidTr="008C5A06">
        <w:tc>
          <w:tcPr>
            <w:tcW w:w="3460" w:type="dxa"/>
            <w:tcBorders>
              <w:top w:val="nil"/>
              <w:left w:val="nil"/>
              <w:bottom w:val="nil"/>
              <w:right w:val="nil"/>
            </w:tcBorders>
            <w:shd w:val="clear" w:color="000000" w:fill="F2F2F2"/>
            <w:hideMark/>
          </w:tcPr>
          <w:p w14:paraId="4001B658"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Safe space services effect estimate</w:t>
            </w:r>
          </w:p>
        </w:tc>
        <w:tc>
          <w:tcPr>
            <w:tcW w:w="4300" w:type="dxa"/>
            <w:tcBorders>
              <w:top w:val="nil"/>
              <w:left w:val="nil"/>
              <w:bottom w:val="nil"/>
              <w:right w:val="nil"/>
            </w:tcBorders>
            <w:shd w:val="clear" w:color="000000" w:fill="F2F2F2"/>
            <w:hideMark/>
          </w:tcPr>
          <w:p w14:paraId="1CBD1E38"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0.3975155</w:t>
            </w:r>
          </w:p>
        </w:tc>
        <w:tc>
          <w:tcPr>
            <w:tcW w:w="6160" w:type="dxa"/>
            <w:tcBorders>
              <w:top w:val="nil"/>
              <w:left w:val="nil"/>
              <w:bottom w:val="nil"/>
              <w:right w:val="nil"/>
            </w:tcBorders>
            <w:shd w:val="clear" w:color="000000" w:fill="F2F2F2"/>
            <w:hideMark/>
          </w:tcPr>
          <w:p w14:paraId="1E3D126D"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xml:space="preserve">Derived from </w:t>
            </w:r>
            <w:proofErr w:type="spellStart"/>
            <w:r w:rsidRPr="008C5A06">
              <w:rPr>
                <w:rFonts w:ascii="Times New Roman" w:eastAsia="Times New Roman" w:hAnsi="Times New Roman"/>
                <w:color w:val="auto"/>
                <w:sz w:val="17"/>
                <w:szCs w:val="17"/>
                <w:lang w:eastAsia="en-AU"/>
              </w:rPr>
              <w:t>Hvid</w:t>
            </w:r>
            <w:proofErr w:type="spellEnd"/>
            <w:r w:rsidRPr="008C5A06">
              <w:rPr>
                <w:rFonts w:ascii="Times New Roman" w:eastAsia="Times New Roman" w:hAnsi="Times New Roman"/>
                <w:color w:val="auto"/>
                <w:sz w:val="17"/>
                <w:szCs w:val="17"/>
                <w:lang w:eastAsia="en-AU"/>
              </w:rPr>
              <w:t xml:space="preserve"> et al. (2011, Nord. J. Psychiatry 65, 292-298)</w:t>
            </w:r>
          </w:p>
        </w:tc>
      </w:tr>
      <w:tr w:rsidR="008C5A06" w:rsidRPr="008C5A06" w14:paraId="42CF07B1" w14:textId="77777777" w:rsidTr="008C5A06">
        <w:tc>
          <w:tcPr>
            <w:tcW w:w="3460" w:type="dxa"/>
            <w:tcBorders>
              <w:top w:val="nil"/>
              <w:left w:val="nil"/>
              <w:bottom w:val="nil"/>
              <w:right w:val="nil"/>
            </w:tcBorders>
            <w:shd w:val="clear" w:color="auto" w:fill="auto"/>
            <w:hideMark/>
          </w:tcPr>
          <w:p w14:paraId="0A6DA0B1"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Safety planning effect duration (weeks)</w:t>
            </w:r>
          </w:p>
        </w:tc>
        <w:tc>
          <w:tcPr>
            <w:tcW w:w="4300" w:type="dxa"/>
            <w:tcBorders>
              <w:top w:val="nil"/>
              <w:left w:val="nil"/>
              <w:bottom w:val="nil"/>
              <w:right w:val="nil"/>
            </w:tcBorders>
            <w:shd w:val="clear" w:color="auto" w:fill="auto"/>
            <w:hideMark/>
          </w:tcPr>
          <w:p w14:paraId="2ABA687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8</w:t>
            </w:r>
          </w:p>
        </w:tc>
        <w:tc>
          <w:tcPr>
            <w:tcW w:w="6160" w:type="dxa"/>
            <w:tcBorders>
              <w:top w:val="nil"/>
              <w:left w:val="nil"/>
              <w:bottom w:val="nil"/>
              <w:right w:val="nil"/>
            </w:tcBorders>
            <w:shd w:val="clear" w:color="auto" w:fill="auto"/>
            <w:hideMark/>
          </w:tcPr>
          <w:p w14:paraId="4C465F9E"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Default value assumes safety planning reduces the probability of re-presentation for suicidal behaviour or ideation for a mean of 8 weeks after an initial suicide-related emergency department presentation</w:t>
            </w:r>
          </w:p>
        </w:tc>
      </w:tr>
      <w:tr w:rsidR="008C5A06" w:rsidRPr="008C5A06" w14:paraId="353D9AF4" w14:textId="77777777" w:rsidTr="008C5A06">
        <w:tc>
          <w:tcPr>
            <w:tcW w:w="3460" w:type="dxa"/>
            <w:tcBorders>
              <w:top w:val="nil"/>
              <w:left w:val="nil"/>
              <w:bottom w:val="nil"/>
              <w:right w:val="nil"/>
            </w:tcBorders>
            <w:shd w:val="clear" w:color="000000" w:fill="F2F2F2"/>
            <w:hideMark/>
          </w:tcPr>
          <w:p w14:paraId="1B66DC3B" w14:textId="77777777" w:rsidR="008C5A06" w:rsidRPr="008C5A06" w:rsidRDefault="008C5A06" w:rsidP="008C5A06">
            <w:pPr>
              <w:spacing w:line="240" w:lineRule="auto"/>
              <w:rPr>
                <w:rFonts w:ascii="Times New Roman" w:eastAsia="Times New Roman" w:hAnsi="Times New Roman"/>
                <w:color w:val="FF0000"/>
                <w:sz w:val="17"/>
                <w:szCs w:val="17"/>
                <w:lang w:eastAsia="en-AU"/>
              </w:rPr>
            </w:pPr>
            <w:r w:rsidRPr="008C5A06">
              <w:rPr>
                <w:rFonts w:ascii="Times New Roman" w:eastAsia="Times New Roman" w:hAnsi="Times New Roman"/>
                <w:color w:val="FF0000"/>
                <w:sz w:val="17"/>
                <w:szCs w:val="17"/>
                <w:lang w:eastAsia="en-AU"/>
              </w:rPr>
              <w:t>Safety planning effect estimate</w:t>
            </w:r>
          </w:p>
        </w:tc>
        <w:tc>
          <w:tcPr>
            <w:tcW w:w="4300" w:type="dxa"/>
            <w:tcBorders>
              <w:top w:val="nil"/>
              <w:left w:val="nil"/>
              <w:bottom w:val="nil"/>
              <w:right w:val="nil"/>
            </w:tcBorders>
            <w:shd w:val="clear" w:color="000000" w:fill="F2F2F2"/>
            <w:hideMark/>
          </w:tcPr>
          <w:p w14:paraId="541B8F7C" w14:textId="77777777" w:rsidR="008C5A06" w:rsidRPr="008C5A06" w:rsidRDefault="008C5A06" w:rsidP="008C5A06">
            <w:pPr>
              <w:spacing w:line="240" w:lineRule="auto"/>
              <w:rPr>
                <w:rFonts w:ascii="Times New Roman" w:eastAsia="Times New Roman" w:hAnsi="Times New Roman"/>
                <w:color w:val="FF0000"/>
                <w:sz w:val="17"/>
                <w:szCs w:val="17"/>
                <w:lang w:eastAsia="en-AU"/>
              </w:rPr>
            </w:pPr>
            <w:r w:rsidRPr="008C5A06">
              <w:rPr>
                <w:rFonts w:ascii="Times New Roman" w:eastAsia="Times New Roman" w:hAnsi="Times New Roman"/>
                <w:color w:val="FF0000"/>
                <w:sz w:val="17"/>
                <w:szCs w:val="17"/>
                <w:lang w:eastAsia="en-AU"/>
              </w:rPr>
              <w:t>0.8474415</w:t>
            </w:r>
          </w:p>
        </w:tc>
        <w:tc>
          <w:tcPr>
            <w:tcW w:w="6160" w:type="dxa"/>
            <w:tcBorders>
              <w:top w:val="nil"/>
              <w:left w:val="nil"/>
              <w:bottom w:val="nil"/>
              <w:right w:val="nil"/>
            </w:tcBorders>
            <w:shd w:val="clear" w:color="000000" w:fill="F2F2F2"/>
            <w:hideMark/>
          </w:tcPr>
          <w:p w14:paraId="405C6FE6" w14:textId="77777777" w:rsidR="008C5A06" w:rsidRPr="008C5A06" w:rsidRDefault="008C5A06" w:rsidP="008C5A06">
            <w:pPr>
              <w:spacing w:line="240" w:lineRule="auto"/>
              <w:rPr>
                <w:rFonts w:ascii="Times New Roman" w:eastAsia="Times New Roman" w:hAnsi="Times New Roman"/>
                <w:color w:val="FF0000"/>
                <w:sz w:val="17"/>
                <w:szCs w:val="17"/>
                <w:lang w:eastAsia="en-AU"/>
              </w:rPr>
            </w:pPr>
            <w:r w:rsidRPr="008C5A06">
              <w:rPr>
                <w:rFonts w:ascii="Times New Roman" w:eastAsia="Times New Roman" w:hAnsi="Times New Roman"/>
                <w:color w:val="FF0000"/>
                <w:sz w:val="17"/>
                <w:szCs w:val="17"/>
                <w:lang w:eastAsia="en-AU"/>
              </w:rPr>
              <w:t>Derived from Miller et al. (2017, JAMA Psychiatry 74, 563-570)</w:t>
            </w:r>
          </w:p>
        </w:tc>
      </w:tr>
      <w:tr w:rsidR="008C5A06" w:rsidRPr="008C5A06" w14:paraId="58C227CF" w14:textId="77777777" w:rsidTr="008C5A06">
        <w:tc>
          <w:tcPr>
            <w:tcW w:w="3460" w:type="dxa"/>
            <w:tcBorders>
              <w:top w:val="nil"/>
              <w:left w:val="nil"/>
              <w:bottom w:val="nil"/>
              <w:right w:val="nil"/>
            </w:tcBorders>
            <w:shd w:val="clear" w:color="auto" w:fill="auto"/>
            <w:hideMark/>
          </w:tcPr>
          <w:p w14:paraId="176E58A9"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Self-harm re-presentation rate per year</w:t>
            </w:r>
          </w:p>
        </w:tc>
        <w:tc>
          <w:tcPr>
            <w:tcW w:w="4300" w:type="dxa"/>
            <w:tcBorders>
              <w:top w:val="nil"/>
              <w:left w:val="nil"/>
              <w:bottom w:val="nil"/>
              <w:right w:val="nil"/>
            </w:tcBorders>
            <w:shd w:val="clear" w:color="auto" w:fill="auto"/>
            <w:hideMark/>
          </w:tcPr>
          <w:p w14:paraId="7F4C12F3"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3.837889</w:t>
            </w:r>
          </w:p>
        </w:tc>
        <w:tc>
          <w:tcPr>
            <w:tcW w:w="6160" w:type="dxa"/>
            <w:tcBorders>
              <w:top w:val="nil"/>
              <w:left w:val="nil"/>
              <w:bottom w:val="nil"/>
              <w:right w:val="nil"/>
            </w:tcBorders>
            <w:shd w:val="clear" w:color="auto" w:fill="auto"/>
            <w:hideMark/>
          </w:tcPr>
          <w:p w14:paraId="247FE00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Derived from Perera et al. (2018, Med. J. Aust. 208, 348−353)</w:t>
            </w:r>
          </w:p>
        </w:tc>
      </w:tr>
      <w:tr w:rsidR="008C5A06" w:rsidRPr="008C5A06" w14:paraId="5E29F427" w14:textId="77777777" w:rsidTr="008C5A06">
        <w:tc>
          <w:tcPr>
            <w:tcW w:w="3460" w:type="dxa"/>
            <w:tcBorders>
              <w:top w:val="nil"/>
              <w:left w:val="nil"/>
              <w:bottom w:val="nil"/>
              <w:right w:val="nil"/>
            </w:tcBorders>
            <w:shd w:val="clear" w:color="000000" w:fill="F2F2F2"/>
            <w:hideMark/>
          </w:tcPr>
          <w:p w14:paraId="2B7E240A"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Sense of Community Index initial</w:t>
            </w:r>
          </w:p>
        </w:tc>
        <w:tc>
          <w:tcPr>
            <w:tcW w:w="4300" w:type="dxa"/>
            <w:tcBorders>
              <w:top w:val="nil"/>
              <w:left w:val="nil"/>
              <w:bottom w:val="nil"/>
              <w:right w:val="nil"/>
            </w:tcBorders>
            <w:shd w:val="clear" w:color="000000" w:fill="F2F2F2"/>
            <w:hideMark/>
          </w:tcPr>
          <w:p w14:paraId="2139666E"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9.149557522</w:t>
            </w:r>
          </w:p>
        </w:tc>
        <w:tc>
          <w:tcPr>
            <w:tcW w:w="6160" w:type="dxa"/>
            <w:tcBorders>
              <w:top w:val="nil"/>
              <w:left w:val="nil"/>
              <w:bottom w:val="nil"/>
              <w:right w:val="nil"/>
            </w:tcBorders>
            <w:shd w:val="clear" w:color="000000" w:fill="F2F2F2"/>
            <w:hideMark/>
          </w:tcPr>
          <w:p w14:paraId="321B58C9"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xml:space="preserve">Derived from Handley et al. (2012, Soc. Psychiatry </w:t>
            </w:r>
            <w:proofErr w:type="spellStart"/>
            <w:r w:rsidRPr="008C5A06">
              <w:rPr>
                <w:rFonts w:ascii="Times New Roman" w:eastAsia="Times New Roman" w:hAnsi="Times New Roman"/>
                <w:color w:val="auto"/>
                <w:sz w:val="17"/>
                <w:szCs w:val="17"/>
                <w:lang w:eastAsia="en-AU"/>
              </w:rPr>
              <w:t>Psychiatr</w:t>
            </w:r>
            <w:proofErr w:type="spellEnd"/>
            <w:r w:rsidRPr="008C5A06">
              <w:rPr>
                <w:rFonts w:ascii="Times New Roman" w:eastAsia="Times New Roman" w:hAnsi="Times New Roman"/>
                <w:color w:val="auto"/>
                <w:sz w:val="17"/>
                <w:szCs w:val="17"/>
                <w:lang w:eastAsia="en-AU"/>
              </w:rPr>
              <w:t>. Epidemiol. 47, 1281−1290)</w:t>
            </w:r>
          </w:p>
        </w:tc>
      </w:tr>
      <w:tr w:rsidR="008C5A06" w:rsidRPr="008C5A06" w14:paraId="2D9F7A8B" w14:textId="77777777" w:rsidTr="008C5A06">
        <w:tc>
          <w:tcPr>
            <w:tcW w:w="3460" w:type="dxa"/>
            <w:tcBorders>
              <w:top w:val="nil"/>
              <w:left w:val="nil"/>
              <w:bottom w:val="nil"/>
              <w:right w:val="nil"/>
            </w:tcBorders>
            <w:shd w:val="clear" w:color="auto" w:fill="auto"/>
            <w:hideMark/>
          </w:tcPr>
          <w:p w14:paraId="0A8873E8"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Sense of Community Index target</w:t>
            </w:r>
          </w:p>
        </w:tc>
        <w:tc>
          <w:tcPr>
            <w:tcW w:w="4300" w:type="dxa"/>
            <w:tcBorders>
              <w:top w:val="nil"/>
              <w:left w:val="nil"/>
              <w:bottom w:val="nil"/>
              <w:right w:val="nil"/>
            </w:tcBorders>
            <w:shd w:val="clear" w:color="auto" w:fill="auto"/>
            <w:hideMark/>
          </w:tcPr>
          <w:p w14:paraId="2FD348CC"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9.607035</w:t>
            </w:r>
          </w:p>
        </w:tc>
        <w:tc>
          <w:tcPr>
            <w:tcW w:w="6160" w:type="dxa"/>
            <w:tcBorders>
              <w:top w:val="nil"/>
              <w:left w:val="nil"/>
              <w:bottom w:val="nil"/>
              <w:right w:val="nil"/>
            </w:tcBorders>
            <w:shd w:val="clear" w:color="auto" w:fill="auto"/>
            <w:hideMark/>
          </w:tcPr>
          <w:p w14:paraId="579C98D1"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Default value corresponds to a 5% increase in the Sense of Community Index (relative to the baseline value, 9.15)</w:t>
            </w:r>
          </w:p>
        </w:tc>
      </w:tr>
      <w:tr w:rsidR="008C5A06" w:rsidRPr="008C5A06" w14:paraId="1A185DE4" w14:textId="77777777" w:rsidTr="008C5A06">
        <w:tc>
          <w:tcPr>
            <w:tcW w:w="3460" w:type="dxa"/>
            <w:tcBorders>
              <w:top w:val="nil"/>
              <w:left w:val="nil"/>
              <w:bottom w:val="nil"/>
              <w:right w:val="nil"/>
            </w:tcBorders>
            <w:shd w:val="clear" w:color="000000" w:fill="F2F2F2"/>
            <w:hideMark/>
          </w:tcPr>
          <w:p w14:paraId="5A2D008F"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Suicide-related ED presentation admission rate</w:t>
            </w:r>
          </w:p>
        </w:tc>
        <w:tc>
          <w:tcPr>
            <w:tcW w:w="4300" w:type="dxa"/>
            <w:tcBorders>
              <w:top w:val="nil"/>
              <w:left w:val="nil"/>
              <w:bottom w:val="nil"/>
              <w:right w:val="nil"/>
            </w:tcBorders>
            <w:shd w:val="clear" w:color="000000" w:fill="F2F2F2"/>
            <w:hideMark/>
          </w:tcPr>
          <w:p w14:paraId="0B7B5488"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0.4815356</w:t>
            </w:r>
          </w:p>
        </w:tc>
        <w:tc>
          <w:tcPr>
            <w:tcW w:w="6160" w:type="dxa"/>
            <w:tcBorders>
              <w:top w:val="nil"/>
              <w:left w:val="nil"/>
              <w:bottom w:val="nil"/>
              <w:right w:val="nil"/>
            </w:tcBorders>
            <w:shd w:val="clear" w:color="000000" w:fill="F2F2F2"/>
            <w:hideMark/>
          </w:tcPr>
          <w:p w14:paraId="15668C1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Derived from Perera et al. (2018, Med. J. Aust. 208, 348−353)</w:t>
            </w:r>
          </w:p>
        </w:tc>
      </w:tr>
      <w:tr w:rsidR="008C5A06" w:rsidRPr="008C5A06" w14:paraId="74EAC53A" w14:textId="77777777" w:rsidTr="008C5A06">
        <w:tc>
          <w:tcPr>
            <w:tcW w:w="3460" w:type="dxa"/>
            <w:tcBorders>
              <w:top w:val="nil"/>
              <w:left w:val="nil"/>
              <w:bottom w:val="nil"/>
              <w:right w:val="nil"/>
            </w:tcBorders>
            <w:shd w:val="clear" w:color="auto" w:fill="auto"/>
            <w:hideMark/>
          </w:tcPr>
          <w:p w14:paraId="33D6B504"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Suicide-related ED presentation rate</w:t>
            </w:r>
          </w:p>
        </w:tc>
        <w:tc>
          <w:tcPr>
            <w:tcW w:w="4300" w:type="dxa"/>
            <w:tcBorders>
              <w:top w:val="nil"/>
              <w:left w:val="nil"/>
              <w:bottom w:val="nil"/>
              <w:right w:val="nil"/>
            </w:tcBorders>
            <w:shd w:val="clear" w:color="auto" w:fill="auto"/>
            <w:hideMark/>
          </w:tcPr>
          <w:p w14:paraId="4EEB355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0.173505926</w:t>
            </w:r>
          </w:p>
        </w:tc>
        <w:tc>
          <w:tcPr>
            <w:tcW w:w="6160" w:type="dxa"/>
            <w:tcBorders>
              <w:top w:val="nil"/>
              <w:left w:val="nil"/>
              <w:bottom w:val="nil"/>
              <w:right w:val="nil"/>
            </w:tcBorders>
            <w:shd w:val="clear" w:color="auto" w:fill="auto"/>
            <w:hideMark/>
          </w:tcPr>
          <w:p w14:paraId="306A311C"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Derived from Perera et al. (2018, Med. J. Aust. 208, 348−353)</w:t>
            </w:r>
          </w:p>
        </w:tc>
      </w:tr>
      <w:tr w:rsidR="008C5A06" w:rsidRPr="008C5A06" w14:paraId="01F14963" w14:textId="77777777" w:rsidTr="008C5A06">
        <w:tc>
          <w:tcPr>
            <w:tcW w:w="3460" w:type="dxa"/>
            <w:tcBorders>
              <w:top w:val="nil"/>
              <w:left w:val="nil"/>
              <w:bottom w:val="nil"/>
              <w:right w:val="nil"/>
            </w:tcBorders>
            <w:shd w:val="clear" w:color="000000" w:fill="F2F2F2"/>
            <w:hideMark/>
          </w:tcPr>
          <w:p w14:paraId="6D9D3BE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Years to implement community-based education programs</w:t>
            </w:r>
          </w:p>
        </w:tc>
        <w:tc>
          <w:tcPr>
            <w:tcW w:w="4300" w:type="dxa"/>
            <w:tcBorders>
              <w:top w:val="nil"/>
              <w:left w:val="nil"/>
              <w:bottom w:val="nil"/>
              <w:right w:val="nil"/>
            </w:tcBorders>
            <w:shd w:val="clear" w:color="000000" w:fill="F2F2F2"/>
            <w:hideMark/>
          </w:tcPr>
          <w:p w14:paraId="440FF43F"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5</w:t>
            </w:r>
          </w:p>
        </w:tc>
        <w:tc>
          <w:tcPr>
            <w:tcW w:w="6160" w:type="dxa"/>
            <w:tcBorders>
              <w:top w:val="nil"/>
              <w:left w:val="nil"/>
              <w:bottom w:val="nil"/>
              <w:right w:val="nil"/>
            </w:tcBorders>
            <w:shd w:val="clear" w:color="000000" w:fill="F2F2F2"/>
            <w:hideMark/>
          </w:tcPr>
          <w:p w14:paraId="3319DAF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Default value assumes it will take 5 years to scale up community-based education programs</w:t>
            </w:r>
          </w:p>
        </w:tc>
      </w:tr>
      <w:tr w:rsidR="008C5A06" w:rsidRPr="008C5A06" w14:paraId="0E180833" w14:textId="77777777" w:rsidTr="008C5A06">
        <w:tc>
          <w:tcPr>
            <w:tcW w:w="3460" w:type="dxa"/>
            <w:tcBorders>
              <w:top w:val="nil"/>
              <w:left w:val="nil"/>
              <w:bottom w:val="nil"/>
              <w:right w:val="nil"/>
            </w:tcBorders>
            <w:shd w:val="clear" w:color="auto" w:fill="auto"/>
            <w:hideMark/>
          </w:tcPr>
          <w:p w14:paraId="20991BC8" w14:textId="77777777" w:rsidR="008C5A06" w:rsidRPr="008C5A06" w:rsidRDefault="008C5A06" w:rsidP="008C5A06">
            <w:pPr>
              <w:spacing w:line="240" w:lineRule="auto"/>
              <w:rPr>
                <w:rFonts w:ascii="Times New Roman" w:eastAsia="Times New Roman" w:hAnsi="Times New Roman"/>
                <w:color w:val="000000"/>
                <w:sz w:val="17"/>
                <w:szCs w:val="17"/>
                <w:lang w:eastAsia="en-AU"/>
              </w:rPr>
            </w:pPr>
            <w:r w:rsidRPr="008C5A06">
              <w:rPr>
                <w:rFonts w:ascii="Times New Roman" w:eastAsia="Times New Roman" w:hAnsi="Times New Roman"/>
                <w:color w:val="000000"/>
                <w:sz w:val="17"/>
                <w:szCs w:val="17"/>
                <w:lang w:eastAsia="en-AU"/>
              </w:rPr>
              <w:t>Years to implement GP training</w:t>
            </w:r>
          </w:p>
        </w:tc>
        <w:tc>
          <w:tcPr>
            <w:tcW w:w="4300" w:type="dxa"/>
            <w:tcBorders>
              <w:top w:val="nil"/>
              <w:left w:val="nil"/>
              <w:bottom w:val="nil"/>
              <w:right w:val="nil"/>
            </w:tcBorders>
            <w:shd w:val="clear" w:color="auto" w:fill="auto"/>
            <w:hideMark/>
          </w:tcPr>
          <w:p w14:paraId="2CCB7FB5" w14:textId="77777777" w:rsidR="008C5A06" w:rsidRPr="008C5A06" w:rsidRDefault="008C5A06" w:rsidP="008C5A06">
            <w:pPr>
              <w:spacing w:line="240" w:lineRule="auto"/>
              <w:rPr>
                <w:rFonts w:ascii="Times New Roman" w:eastAsia="Times New Roman" w:hAnsi="Times New Roman"/>
                <w:color w:val="000000"/>
                <w:sz w:val="17"/>
                <w:szCs w:val="17"/>
                <w:lang w:eastAsia="en-AU"/>
              </w:rPr>
            </w:pPr>
            <w:r w:rsidRPr="008C5A06">
              <w:rPr>
                <w:rFonts w:ascii="Times New Roman" w:eastAsia="Times New Roman" w:hAnsi="Times New Roman"/>
                <w:color w:val="000000"/>
                <w:sz w:val="17"/>
                <w:szCs w:val="17"/>
                <w:lang w:eastAsia="en-AU"/>
              </w:rPr>
              <w:t>3</w:t>
            </w:r>
          </w:p>
        </w:tc>
        <w:tc>
          <w:tcPr>
            <w:tcW w:w="6160" w:type="dxa"/>
            <w:tcBorders>
              <w:top w:val="nil"/>
              <w:left w:val="nil"/>
              <w:bottom w:val="nil"/>
              <w:right w:val="nil"/>
            </w:tcBorders>
            <w:shd w:val="clear" w:color="auto" w:fill="auto"/>
            <w:hideMark/>
          </w:tcPr>
          <w:p w14:paraId="15EF0824" w14:textId="77777777" w:rsidR="008C5A06" w:rsidRPr="008C5A06" w:rsidRDefault="008C5A06" w:rsidP="008C5A06">
            <w:pPr>
              <w:spacing w:line="240" w:lineRule="auto"/>
              <w:rPr>
                <w:rFonts w:ascii="Times New Roman" w:eastAsia="Times New Roman" w:hAnsi="Times New Roman"/>
                <w:color w:val="000000"/>
                <w:sz w:val="17"/>
                <w:szCs w:val="17"/>
                <w:lang w:eastAsia="en-AU"/>
              </w:rPr>
            </w:pPr>
            <w:r w:rsidRPr="008C5A06">
              <w:rPr>
                <w:rFonts w:ascii="Times New Roman" w:eastAsia="Times New Roman" w:hAnsi="Times New Roman"/>
                <w:color w:val="000000"/>
                <w:sz w:val="17"/>
                <w:szCs w:val="17"/>
                <w:lang w:eastAsia="en-AU"/>
              </w:rPr>
              <w:t>Default value assumes it will take 3 years to fully implement a GP training program</w:t>
            </w:r>
          </w:p>
        </w:tc>
      </w:tr>
      <w:tr w:rsidR="008C5A06" w:rsidRPr="008C5A06" w14:paraId="16FBB445" w14:textId="77777777" w:rsidTr="008C5A06">
        <w:tc>
          <w:tcPr>
            <w:tcW w:w="3460" w:type="dxa"/>
            <w:tcBorders>
              <w:top w:val="nil"/>
              <w:left w:val="nil"/>
              <w:bottom w:val="nil"/>
              <w:right w:val="nil"/>
            </w:tcBorders>
            <w:shd w:val="clear" w:color="000000" w:fill="F2F2F2"/>
            <w:hideMark/>
          </w:tcPr>
          <w:p w14:paraId="4AFF4C11"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Years to reach maximum acute care services rate</w:t>
            </w:r>
          </w:p>
        </w:tc>
        <w:tc>
          <w:tcPr>
            <w:tcW w:w="4300" w:type="dxa"/>
            <w:tcBorders>
              <w:top w:val="nil"/>
              <w:left w:val="nil"/>
              <w:bottom w:val="nil"/>
              <w:right w:val="nil"/>
            </w:tcBorders>
            <w:shd w:val="clear" w:color="000000" w:fill="F2F2F2"/>
            <w:hideMark/>
          </w:tcPr>
          <w:p w14:paraId="3F16033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2</w:t>
            </w:r>
          </w:p>
        </w:tc>
        <w:tc>
          <w:tcPr>
            <w:tcW w:w="6160" w:type="dxa"/>
            <w:tcBorders>
              <w:top w:val="nil"/>
              <w:left w:val="nil"/>
              <w:bottom w:val="nil"/>
              <w:right w:val="nil"/>
            </w:tcBorders>
            <w:shd w:val="clear" w:color="000000" w:fill="F2F2F2"/>
            <w:hideMark/>
          </w:tcPr>
          <w:p w14:paraId="4A86230E"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Default value assumes it will take 2 years to reach the maximum acute care services referral rate</w:t>
            </w:r>
          </w:p>
        </w:tc>
      </w:tr>
      <w:tr w:rsidR="008C5A06" w:rsidRPr="008C5A06" w14:paraId="23FC7D1C" w14:textId="77777777" w:rsidTr="008C5A06">
        <w:tc>
          <w:tcPr>
            <w:tcW w:w="3460" w:type="dxa"/>
            <w:tcBorders>
              <w:top w:val="nil"/>
              <w:left w:val="nil"/>
              <w:bottom w:val="nil"/>
              <w:right w:val="nil"/>
            </w:tcBorders>
            <w:shd w:val="clear" w:color="auto" w:fill="auto"/>
            <w:hideMark/>
          </w:tcPr>
          <w:p w14:paraId="513F68EC"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Years to reach maximum family psychoeducation rate</w:t>
            </w:r>
          </w:p>
        </w:tc>
        <w:tc>
          <w:tcPr>
            <w:tcW w:w="4300" w:type="dxa"/>
            <w:tcBorders>
              <w:top w:val="nil"/>
              <w:left w:val="nil"/>
              <w:bottom w:val="nil"/>
              <w:right w:val="nil"/>
            </w:tcBorders>
            <w:shd w:val="clear" w:color="auto" w:fill="auto"/>
            <w:hideMark/>
          </w:tcPr>
          <w:p w14:paraId="08A905DF"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2</w:t>
            </w:r>
          </w:p>
        </w:tc>
        <w:tc>
          <w:tcPr>
            <w:tcW w:w="6160" w:type="dxa"/>
            <w:tcBorders>
              <w:top w:val="nil"/>
              <w:left w:val="nil"/>
              <w:bottom w:val="nil"/>
              <w:right w:val="nil"/>
            </w:tcBorders>
            <w:shd w:val="clear" w:color="auto" w:fill="auto"/>
            <w:hideMark/>
          </w:tcPr>
          <w:p w14:paraId="5752F136"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Default value assumes it will take 2 years to reach the maximum family psychoeducation and support rate</w:t>
            </w:r>
          </w:p>
        </w:tc>
      </w:tr>
      <w:tr w:rsidR="008C5A06" w:rsidRPr="008C5A06" w14:paraId="22297A94" w14:textId="77777777" w:rsidTr="008C5A06">
        <w:tc>
          <w:tcPr>
            <w:tcW w:w="3460" w:type="dxa"/>
            <w:tcBorders>
              <w:top w:val="nil"/>
              <w:left w:val="nil"/>
              <w:bottom w:val="nil"/>
              <w:right w:val="nil"/>
            </w:tcBorders>
            <w:shd w:val="clear" w:color="000000" w:fill="F2F2F2"/>
            <w:hideMark/>
          </w:tcPr>
          <w:p w14:paraId="28586281"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Years to reach maximum safe space services referral rate</w:t>
            </w:r>
          </w:p>
        </w:tc>
        <w:tc>
          <w:tcPr>
            <w:tcW w:w="4300" w:type="dxa"/>
            <w:tcBorders>
              <w:top w:val="nil"/>
              <w:left w:val="nil"/>
              <w:bottom w:val="nil"/>
              <w:right w:val="nil"/>
            </w:tcBorders>
            <w:shd w:val="clear" w:color="000000" w:fill="F2F2F2"/>
            <w:hideMark/>
          </w:tcPr>
          <w:p w14:paraId="61C7C5B4"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2</w:t>
            </w:r>
          </w:p>
        </w:tc>
        <w:tc>
          <w:tcPr>
            <w:tcW w:w="6160" w:type="dxa"/>
            <w:tcBorders>
              <w:top w:val="nil"/>
              <w:left w:val="nil"/>
              <w:bottom w:val="nil"/>
              <w:right w:val="nil"/>
            </w:tcBorders>
            <w:shd w:val="clear" w:color="000000" w:fill="F2F2F2"/>
            <w:hideMark/>
          </w:tcPr>
          <w:p w14:paraId="47F8783C"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Default value assumes it will take 2 years to reach the maximum safe space services referral rate</w:t>
            </w:r>
          </w:p>
        </w:tc>
      </w:tr>
      <w:tr w:rsidR="008C5A06" w:rsidRPr="008C5A06" w14:paraId="05ADDBA6" w14:textId="77777777" w:rsidTr="008C5A06">
        <w:tc>
          <w:tcPr>
            <w:tcW w:w="3460" w:type="dxa"/>
            <w:tcBorders>
              <w:top w:val="nil"/>
              <w:left w:val="nil"/>
              <w:bottom w:val="nil"/>
              <w:right w:val="nil"/>
            </w:tcBorders>
            <w:shd w:val="clear" w:color="auto" w:fill="auto"/>
            <w:hideMark/>
          </w:tcPr>
          <w:p w14:paraId="2C503F02"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Years to reach maximum safety plan rate</w:t>
            </w:r>
          </w:p>
        </w:tc>
        <w:tc>
          <w:tcPr>
            <w:tcW w:w="4300" w:type="dxa"/>
            <w:tcBorders>
              <w:top w:val="nil"/>
              <w:left w:val="nil"/>
              <w:bottom w:val="nil"/>
              <w:right w:val="nil"/>
            </w:tcBorders>
            <w:shd w:val="clear" w:color="auto" w:fill="auto"/>
            <w:hideMark/>
          </w:tcPr>
          <w:p w14:paraId="1D8DEEE5"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2</w:t>
            </w:r>
          </w:p>
        </w:tc>
        <w:tc>
          <w:tcPr>
            <w:tcW w:w="6160" w:type="dxa"/>
            <w:tcBorders>
              <w:top w:val="nil"/>
              <w:left w:val="nil"/>
              <w:bottom w:val="nil"/>
              <w:right w:val="nil"/>
            </w:tcBorders>
            <w:shd w:val="clear" w:color="auto" w:fill="auto"/>
            <w:hideMark/>
          </w:tcPr>
          <w:p w14:paraId="69127F63"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Default value assumes it will take 2 years to reach the maximum safety plan rate</w:t>
            </w:r>
          </w:p>
        </w:tc>
      </w:tr>
      <w:tr w:rsidR="008C5A06" w:rsidRPr="008C5A06" w14:paraId="51F4704A" w14:textId="77777777" w:rsidTr="008C5A06">
        <w:tc>
          <w:tcPr>
            <w:tcW w:w="3460" w:type="dxa"/>
            <w:tcBorders>
              <w:top w:val="nil"/>
              <w:left w:val="nil"/>
              <w:bottom w:val="nil"/>
              <w:right w:val="nil"/>
            </w:tcBorders>
            <w:shd w:val="clear" w:color="000000" w:fill="F2F2F2"/>
            <w:hideMark/>
          </w:tcPr>
          <w:p w14:paraId="79D02B3E"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Years to reach Sense of Community Index target</w:t>
            </w:r>
          </w:p>
        </w:tc>
        <w:tc>
          <w:tcPr>
            <w:tcW w:w="4300" w:type="dxa"/>
            <w:tcBorders>
              <w:top w:val="nil"/>
              <w:left w:val="nil"/>
              <w:bottom w:val="nil"/>
              <w:right w:val="nil"/>
            </w:tcBorders>
            <w:shd w:val="clear" w:color="000000" w:fill="F2F2F2"/>
            <w:hideMark/>
          </w:tcPr>
          <w:p w14:paraId="4217F5B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20</w:t>
            </w:r>
          </w:p>
        </w:tc>
        <w:tc>
          <w:tcPr>
            <w:tcW w:w="6160" w:type="dxa"/>
            <w:tcBorders>
              <w:top w:val="nil"/>
              <w:left w:val="nil"/>
              <w:bottom w:val="nil"/>
              <w:right w:val="nil"/>
            </w:tcBorders>
            <w:shd w:val="clear" w:color="000000" w:fill="F2F2F2"/>
            <w:hideMark/>
          </w:tcPr>
          <w:p w14:paraId="2C3A41A0"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Default value assumes it will take 20 years to reach the Sense of Community Index target</w:t>
            </w:r>
          </w:p>
        </w:tc>
      </w:tr>
      <w:tr w:rsidR="008C5A06" w:rsidRPr="008C5A06" w14:paraId="69105707" w14:textId="77777777" w:rsidTr="008C5A06">
        <w:tc>
          <w:tcPr>
            <w:tcW w:w="3460" w:type="dxa"/>
            <w:tcBorders>
              <w:top w:val="nil"/>
              <w:left w:val="nil"/>
              <w:bottom w:val="nil"/>
              <w:right w:val="nil"/>
            </w:tcBorders>
            <w:shd w:val="clear" w:color="auto" w:fill="auto"/>
            <w:hideMark/>
          </w:tcPr>
          <w:p w14:paraId="2984A691"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Years to scale up assertive aftercare</w:t>
            </w:r>
          </w:p>
        </w:tc>
        <w:tc>
          <w:tcPr>
            <w:tcW w:w="4300" w:type="dxa"/>
            <w:tcBorders>
              <w:top w:val="nil"/>
              <w:left w:val="nil"/>
              <w:bottom w:val="nil"/>
              <w:right w:val="nil"/>
            </w:tcBorders>
            <w:shd w:val="clear" w:color="auto" w:fill="auto"/>
            <w:hideMark/>
          </w:tcPr>
          <w:p w14:paraId="60F6E0CA"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2</w:t>
            </w:r>
          </w:p>
        </w:tc>
        <w:tc>
          <w:tcPr>
            <w:tcW w:w="6160" w:type="dxa"/>
            <w:tcBorders>
              <w:top w:val="nil"/>
              <w:left w:val="nil"/>
              <w:bottom w:val="nil"/>
              <w:right w:val="nil"/>
            </w:tcBorders>
            <w:shd w:val="clear" w:color="auto" w:fill="auto"/>
            <w:hideMark/>
          </w:tcPr>
          <w:p w14:paraId="7A1A9699"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Default value assumes it will take 2 years to fully implement an post-attempt care program</w:t>
            </w:r>
          </w:p>
        </w:tc>
      </w:tr>
      <w:tr w:rsidR="008C5A06" w:rsidRPr="008C5A06" w14:paraId="1249C411" w14:textId="77777777" w:rsidTr="008C5A06">
        <w:trPr>
          <w:trHeight w:val="204"/>
        </w:trPr>
        <w:tc>
          <w:tcPr>
            <w:tcW w:w="3460" w:type="dxa"/>
            <w:tcBorders>
              <w:top w:val="nil"/>
              <w:left w:val="nil"/>
              <w:bottom w:val="single" w:sz="4" w:space="0" w:color="auto"/>
              <w:right w:val="nil"/>
            </w:tcBorders>
            <w:shd w:val="clear" w:color="auto" w:fill="auto"/>
            <w:hideMark/>
          </w:tcPr>
          <w:p w14:paraId="32E793AA"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w:t>
            </w:r>
          </w:p>
        </w:tc>
        <w:tc>
          <w:tcPr>
            <w:tcW w:w="4300" w:type="dxa"/>
            <w:tcBorders>
              <w:top w:val="nil"/>
              <w:left w:val="nil"/>
              <w:bottom w:val="single" w:sz="4" w:space="0" w:color="auto"/>
              <w:right w:val="nil"/>
            </w:tcBorders>
            <w:shd w:val="clear" w:color="auto" w:fill="auto"/>
            <w:hideMark/>
          </w:tcPr>
          <w:p w14:paraId="7918BEB7"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w:t>
            </w:r>
          </w:p>
        </w:tc>
        <w:tc>
          <w:tcPr>
            <w:tcW w:w="6160" w:type="dxa"/>
            <w:tcBorders>
              <w:top w:val="nil"/>
              <w:left w:val="nil"/>
              <w:bottom w:val="single" w:sz="4" w:space="0" w:color="auto"/>
              <w:right w:val="nil"/>
            </w:tcBorders>
            <w:shd w:val="clear" w:color="auto" w:fill="auto"/>
            <w:hideMark/>
          </w:tcPr>
          <w:p w14:paraId="45596A24" w14:textId="77777777" w:rsidR="008C5A06" w:rsidRPr="008C5A06" w:rsidRDefault="008C5A06" w:rsidP="008C5A06">
            <w:pPr>
              <w:spacing w:line="240" w:lineRule="auto"/>
              <w:rPr>
                <w:rFonts w:ascii="Times New Roman" w:eastAsia="Times New Roman" w:hAnsi="Times New Roman"/>
                <w:color w:val="auto"/>
                <w:sz w:val="17"/>
                <w:szCs w:val="17"/>
                <w:lang w:eastAsia="en-AU"/>
              </w:rPr>
            </w:pPr>
            <w:r w:rsidRPr="008C5A06">
              <w:rPr>
                <w:rFonts w:ascii="Times New Roman" w:eastAsia="Times New Roman" w:hAnsi="Times New Roman"/>
                <w:color w:val="auto"/>
                <w:sz w:val="17"/>
                <w:szCs w:val="17"/>
                <w:lang w:eastAsia="en-AU"/>
              </w:rPr>
              <w:t> </w:t>
            </w:r>
          </w:p>
        </w:tc>
      </w:tr>
    </w:tbl>
    <w:p w14:paraId="2FC7C07C" w14:textId="77777777" w:rsidR="008C5A06" w:rsidRDefault="008C5A06" w:rsidP="007F7C0B">
      <w:pPr>
        <w:spacing w:line="480" w:lineRule="auto"/>
        <w:rPr>
          <w:rFonts w:ascii="Times New Roman" w:hAnsi="Times New Roman"/>
          <w:sz w:val="20"/>
          <w:szCs w:val="20"/>
        </w:rPr>
      </w:pPr>
    </w:p>
    <w:p w14:paraId="2908E747" w14:textId="77777777" w:rsidR="007F7C0B" w:rsidRDefault="007F7C0B" w:rsidP="007F7C0B">
      <w:pPr>
        <w:spacing w:line="480" w:lineRule="auto"/>
        <w:rPr>
          <w:rFonts w:ascii="Times New Roman" w:hAnsi="Times New Roman"/>
          <w:sz w:val="20"/>
          <w:szCs w:val="20"/>
        </w:rPr>
      </w:pPr>
    </w:p>
    <w:p w14:paraId="5B23CF13" w14:textId="77777777" w:rsidR="005332CC" w:rsidRDefault="005332CC" w:rsidP="00C9211F">
      <w:pPr>
        <w:spacing w:line="480" w:lineRule="auto"/>
        <w:rPr>
          <w:rFonts w:ascii="Times New Roman" w:hAnsi="Times New Roman"/>
          <w:sz w:val="20"/>
          <w:szCs w:val="20"/>
        </w:rPr>
        <w:sectPr w:rsidR="005332CC" w:rsidSect="00D61898">
          <w:pgSz w:w="16838" w:h="11906" w:orient="landscape" w:code="9"/>
          <w:pgMar w:top="1440" w:right="1440" w:bottom="1440" w:left="1440" w:header="284" w:footer="680" w:gutter="0"/>
          <w:cols w:space="708"/>
          <w:docGrid w:linePitch="360"/>
        </w:sectPr>
      </w:pPr>
    </w:p>
    <w:p w14:paraId="3B8A3916" w14:textId="0E405484" w:rsidR="005332CC" w:rsidRPr="006529D4" w:rsidRDefault="006529D4" w:rsidP="00C9211F">
      <w:pPr>
        <w:spacing w:line="480" w:lineRule="auto"/>
        <w:rPr>
          <w:rFonts w:ascii="Times New Roman" w:hAnsi="Times New Roman"/>
          <w:sz w:val="24"/>
          <w:szCs w:val="24"/>
        </w:rPr>
      </w:pPr>
      <w:r>
        <w:rPr>
          <w:rFonts w:ascii="Times New Roman" w:hAnsi="Times New Roman"/>
          <w:sz w:val="24"/>
          <w:szCs w:val="24"/>
        </w:rPr>
        <w:lastRenderedPageBreak/>
        <w:t xml:space="preserve">4.  </w:t>
      </w:r>
      <w:r w:rsidR="007F7C0B">
        <w:rPr>
          <w:rFonts w:ascii="Times New Roman" w:hAnsi="Times New Roman"/>
          <w:sz w:val="24"/>
          <w:szCs w:val="24"/>
        </w:rPr>
        <w:t>M</w:t>
      </w:r>
      <w:r w:rsidRPr="006529D4">
        <w:rPr>
          <w:rFonts w:ascii="Times New Roman" w:hAnsi="Times New Roman"/>
          <w:sz w:val="24"/>
          <w:szCs w:val="24"/>
        </w:rPr>
        <w:t xml:space="preserve">odelling </w:t>
      </w:r>
      <w:r w:rsidR="00F51C69">
        <w:rPr>
          <w:rFonts w:ascii="Times New Roman" w:hAnsi="Times New Roman"/>
          <w:sz w:val="24"/>
          <w:szCs w:val="24"/>
        </w:rPr>
        <w:t xml:space="preserve">of </w:t>
      </w:r>
      <w:r w:rsidRPr="006529D4">
        <w:rPr>
          <w:rFonts w:ascii="Times New Roman" w:hAnsi="Times New Roman"/>
          <w:sz w:val="24"/>
          <w:szCs w:val="24"/>
        </w:rPr>
        <w:t>the impact of COVID-19</w:t>
      </w:r>
    </w:p>
    <w:p w14:paraId="0A71A90B" w14:textId="43330FDA" w:rsidR="004C5137" w:rsidRDefault="00760756" w:rsidP="00C9211F">
      <w:pPr>
        <w:spacing w:line="480" w:lineRule="auto"/>
        <w:rPr>
          <w:rFonts w:ascii="Times New Roman" w:hAnsi="Times New Roman"/>
          <w:sz w:val="20"/>
          <w:szCs w:val="20"/>
        </w:rPr>
      </w:pPr>
      <w:r>
        <w:rPr>
          <w:rFonts w:ascii="Times New Roman" w:hAnsi="Times New Roman"/>
          <w:sz w:val="20"/>
          <w:szCs w:val="20"/>
        </w:rPr>
        <w:t xml:space="preserve">The </w:t>
      </w:r>
      <w:r w:rsidR="00AC2505">
        <w:rPr>
          <w:rFonts w:ascii="Times New Roman" w:hAnsi="Times New Roman"/>
          <w:sz w:val="20"/>
          <w:szCs w:val="20"/>
        </w:rPr>
        <w:t xml:space="preserve">substantial </w:t>
      </w:r>
      <w:r>
        <w:rPr>
          <w:rFonts w:ascii="Times New Roman" w:hAnsi="Times New Roman"/>
          <w:sz w:val="20"/>
          <w:szCs w:val="20"/>
        </w:rPr>
        <w:t xml:space="preserve">adverse mental health impacts of social dislocation and </w:t>
      </w:r>
      <w:r w:rsidR="00AC2505">
        <w:rPr>
          <w:rFonts w:ascii="Times New Roman" w:hAnsi="Times New Roman"/>
          <w:sz w:val="20"/>
          <w:szCs w:val="20"/>
        </w:rPr>
        <w:t>job loss</w:t>
      </w:r>
      <w:r>
        <w:rPr>
          <w:rFonts w:ascii="Times New Roman" w:hAnsi="Times New Roman"/>
          <w:sz w:val="20"/>
          <w:szCs w:val="20"/>
        </w:rPr>
        <w:t xml:space="preserve"> </w:t>
      </w:r>
      <w:r w:rsidR="00AC2505">
        <w:rPr>
          <w:rFonts w:ascii="Times New Roman" w:hAnsi="Times New Roman"/>
          <w:sz w:val="20"/>
          <w:szCs w:val="20"/>
        </w:rPr>
        <w:t xml:space="preserve">resulting from </w:t>
      </w:r>
      <w:r>
        <w:rPr>
          <w:rFonts w:ascii="Times New Roman" w:hAnsi="Times New Roman"/>
          <w:sz w:val="20"/>
          <w:szCs w:val="20"/>
        </w:rPr>
        <w:t xml:space="preserve">the </w:t>
      </w:r>
      <w:r w:rsidR="00AC2505">
        <w:rPr>
          <w:rFonts w:ascii="Times New Roman" w:hAnsi="Times New Roman"/>
          <w:sz w:val="20"/>
          <w:szCs w:val="20"/>
        </w:rPr>
        <w:t>continuing</w:t>
      </w:r>
      <w:r w:rsidR="00EE27BC">
        <w:rPr>
          <w:rFonts w:ascii="Times New Roman" w:hAnsi="Times New Roman"/>
          <w:sz w:val="20"/>
          <w:szCs w:val="20"/>
        </w:rPr>
        <w:t xml:space="preserve"> </w:t>
      </w:r>
      <w:r>
        <w:rPr>
          <w:rFonts w:ascii="Times New Roman" w:hAnsi="Times New Roman"/>
          <w:sz w:val="20"/>
          <w:szCs w:val="20"/>
        </w:rPr>
        <w:t xml:space="preserve">COVID-19 pandemic </w:t>
      </w:r>
      <w:r w:rsidR="003972EA">
        <w:rPr>
          <w:rFonts w:ascii="Times New Roman" w:hAnsi="Times New Roman"/>
          <w:sz w:val="20"/>
          <w:szCs w:val="20"/>
        </w:rPr>
        <w:t>(</w:t>
      </w:r>
      <w:r w:rsidR="00EE27BC">
        <w:rPr>
          <w:rFonts w:ascii="Times New Roman" w:hAnsi="Times New Roman"/>
          <w:sz w:val="20"/>
          <w:szCs w:val="20"/>
        </w:rPr>
        <w:t xml:space="preserve">e.g., </w:t>
      </w:r>
      <w:r w:rsidR="003972EA">
        <w:rPr>
          <w:rFonts w:ascii="Times New Roman" w:hAnsi="Times New Roman"/>
          <w:sz w:val="20"/>
          <w:szCs w:val="20"/>
        </w:rPr>
        <w:t xml:space="preserve">Moreno et al., 2020; Atkinson et al., 2020) </w:t>
      </w:r>
      <w:r>
        <w:rPr>
          <w:rFonts w:ascii="Times New Roman" w:hAnsi="Times New Roman"/>
          <w:sz w:val="20"/>
          <w:szCs w:val="20"/>
        </w:rPr>
        <w:t xml:space="preserve">were modelled </w:t>
      </w:r>
      <w:r w:rsidR="00D8609D">
        <w:rPr>
          <w:rFonts w:ascii="Times New Roman" w:hAnsi="Times New Roman"/>
          <w:sz w:val="20"/>
          <w:szCs w:val="20"/>
        </w:rPr>
        <w:t>as</w:t>
      </w:r>
      <w:r>
        <w:rPr>
          <w:rFonts w:ascii="Times New Roman" w:hAnsi="Times New Roman"/>
          <w:sz w:val="20"/>
          <w:szCs w:val="20"/>
        </w:rPr>
        <w:t xml:space="preserve"> </w:t>
      </w:r>
      <w:r w:rsidR="003972EA">
        <w:rPr>
          <w:rFonts w:ascii="Times New Roman" w:hAnsi="Times New Roman"/>
          <w:sz w:val="20"/>
          <w:szCs w:val="20"/>
        </w:rPr>
        <w:t>a</w:t>
      </w:r>
      <w:r w:rsidR="006D7FA0">
        <w:rPr>
          <w:rFonts w:ascii="Times New Roman" w:hAnsi="Times New Roman"/>
          <w:sz w:val="20"/>
          <w:szCs w:val="20"/>
        </w:rPr>
        <w:t xml:space="preserve">n abrupt </w:t>
      </w:r>
      <w:r>
        <w:rPr>
          <w:rFonts w:ascii="Times New Roman" w:hAnsi="Times New Roman"/>
          <w:sz w:val="20"/>
          <w:szCs w:val="20"/>
        </w:rPr>
        <w:t xml:space="preserve">increase in </w:t>
      </w:r>
      <w:r w:rsidR="003972EA">
        <w:rPr>
          <w:rFonts w:ascii="Times New Roman" w:hAnsi="Times New Roman"/>
          <w:sz w:val="20"/>
          <w:szCs w:val="20"/>
        </w:rPr>
        <w:t>psychological distress incidence from 1 March 2020</w:t>
      </w:r>
      <w:r w:rsidR="00E51436">
        <w:rPr>
          <w:rFonts w:ascii="Times New Roman" w:hAnsi="Times New Roman"/>
          <w:sz w:val="20"/>
          <w:szCs w:val="20"/>
        </w:rPr>
        <w:t xml:space="preserve"> </w:t>
      </w:r>
      <w:r w:rsidR="003972EA">
        <w:rPr>
          <w:rFonts w:ascii="Times New Roman" w:hAnsi="Times New Roman"/>
          <w:sz w:val="20"/>
          <w:szCs w:val="20"/>
        </w:rPr>
        <w:t>that declines gradually until the end of the simulation period</w:t>
      </w:r>
      <w:r w:rsidR="004C5137">
        <w:rPr>
          <w:rFonts w:ascii="Times New Roman" w:hAnsi="Times New Roman"/>
          <w:sz w:val="20"/>
          <w:szCs w:val="20"/>
        </w:rPr>
        <w:t xml:space="preserve"> (</w:t>
      </w:r>
      <w:r w:rsidR="007349D6">
        <w:rPr>
          <w:rFonts w:ascii="Times New Roman" w:hAnsi="Times New Roman"/>
          <w:sz w:val="20"/>
          <w:szCs w:val="20"/>
        </w:rPr>
        <w:t>the start of 2031;</w:t>
      </w:r>
      <w:r w:rsidR="00816FD9">
        <w:rPr>
          <w:rFonts w:ascii="Times New Roman" w:hAnsi="Times New Roman"/>
          <w:sz w:val="20"/>
          <w:szCs w:val="20"/>
        </w:rPr>
        <w:t xml:space="preserve"> </w:t>
      </w:r>
      <w:r w:rsidR="004C5137">
        <w:rPr>
          <w:rFonts w:ascii="Times New Roman" w:hAnsi="Times New Roman"/>
          <w:sz w:val="20"/>
          <w:szCs w:val="20"/>
        </w:rPr>
        <w:t>figure S14)</w:t>
      </w:r>
      <w:r w:rsidR="003972EA">
        <w:rPr>
          <w:rFonts w:ascii="Times New Roman" w:hAnsi="Times New Roman"/>
          <w:sz w:val="20"/>
          <w:szCs w:val="20"/>
        </w:rPr>
        <w:t>.</w:t>
      </w:r>
      <w:r w:rsidR="00E51436">
        <w:rPr>
          <w:rFonts w:ascii="Times New Roman" w:hAnsi="Times New Roman"/>
          <w:sz w:val="20"/>
          <w:szCs w:val="20"/>
        </w:rPr>
        <w:t xml:space="preserve">  Parameters </w:t>
      </w:r>
      <w:r w:rsidR="001E6FEA">
        <w:rPr>
          <w:rFonts w:ascii="Times New Roman" w:hAnsi="Times New Roman"/>
          <w:sz w:val="20"/>
          <w:szCs w:val="20"/>
        </w:rPr>
        <w:t>controlling</w:t>
      </w:r>
      <w:r w:rsidR="00E51436">
        <w:rPr>
          <w:rFonts w:ascii="Times New Roman" w:hAnsi="Times New Roman"/>
          <w:sz w:val="20"/>
          <w:szCs w:val="20"/>
        </w:rPr>
        <w:t xml:space="preserve"> the </w:t>
      </w:r>
      <w:r w:rsidR="001E6FEA">
        <w:rPr>
          <w:rFonts w:ascii="Times New Roman" w:hAnsi="Times New Roman"/>
          <w:sz w:val="20"/>
          <w:szCs w:val="20"/>
        </w:rPr>
        <w:t xml:space="preserve">simulated </w:t>
      </w:r>
      <w:r w:rsidR="008D56DF">
        <w:rPr>
          <w:rFonts w:ascii="Times New Roman" w:hAnsi="Times New Roman"/>
          <w:sz w:val="20"/>
          <w:szCs w:val="20"/>
        </w:rPr>
        <w:t xml:space="preserve">effect of the COVID-19 pandemic on psychological distress onset </w:t>
      </w:r>
      <w:r w:rsidR="00D008FC">
        <w:rPr>
          <w:rFonts w:ascii="Times New Roman" w:hAnsi="Times New Roman"/>
          <w:sz w:val="20"/>
          <w:szCs w:val="20"/>
        </w:rPr>
        <w:t>(</w:t>
      </w:r>
      <w:r w:rsidR="001E6FEA">
        <w:rPr>
          <w:rFonts w:ascii="Times New Roman" w:hAnsi="Times New Roman"/>
          <w:sz w:val="20"/>
          <w:szCs w:val="20"/>
        </w:rPr>
        <w:t xml:space="preserve">see </w:t>
      </w:r>
      <w:r w:rsidR="008D56DF">
        <w:rPr>
          <w:rFonts w:ascii="Times New Roman" w:hAnsi="Times New Roman"/>
          <w:sz w:val="20"/>
          <w:szCs w:val="20"/>
        </w:rPr>
        <w:t>Table S3</w:t>
      </w:r>
      <w:r w:rsidR="00D008FC">
        <w:rPr>
          <w:rFonts w:ascii="Times New Roman" w:hAnsi="Times New Roman"/>
          <w:sz w:val="20"/>
          <w:szCs w:val="20"/>
        </w:rPr>
        <w:t>)</w:t>
      </w:r>
      <w:r w:rsidR="008D56DF">
        <w:rPr>
          <w:rFonts w:ascii="Times New Roman" w:hAnsi="Times New Roman"/>
          <w:sz w:val="20"/>
          <w:szCs w:val="20"/>
        </w:rPr>
        <w:t xml:space="preserve"> were </w:t>
      </w:r>
      <w:r w:rsidR="003B061F">
        <w:rPr>
          <w:rFonts w:ascii="Times New Roman" w:hAnsi="Times New Roman"/>
          <w:sz w:val="20"/>
          <w:szCs w:val="20"/>
        </w:rPr>
        <w:t>set</w:t>
      </w:r>
      <w:r w:rsidR="008D56DF">
        <w:rPr>
          <w:rFonts w:ascii="Times New Roman" w:hAnsi="Times New Roman"/>
          <w:sz w:val="20"/>
          <w:szCs w:val="20"/>
        </w:rPr>
        <w:t xml:space="preserve"> to </w:t>
      </w:r>
      <w:r w:rsidR="001E6FEA">
        <w:rPr>
          <w:rFonts w:ascii="Times New Roman" w:hAnsi="Times New Roman"/>
          <w:sz w:val="20"/>
          <w:szCs w:val="20"/>
        </w:rPr>
        <w:t>generate</w:t>
      </w:r>
      <w:r w:rsidR="008D56DF">
        <w:rPr>
          <w:rFonts w:ascii="Times New Roman" w:hAnsi="Times New Roman"/>
          <w:sz w:val="20"/>
          <w:szCs w:val="20"/>
        </w:rPr>
        <w:t xml:space="preserve"> a maximum increase </w:t>
      </w:r>
      <w:r w:rsidR="00E84075">
        <w:rPr>
          <w:rFonts w:ascii="Times New Roman" w:hAnsi="Times New Roman"/>
          <w:sz w:val="20"/>
          <w:szCs w:val="20"/>
        </w:rPr>
        <w:t xml:space="preserve">in </w:t>
      </w:r>
      <w:r w:rsidR="008D56DF">
        <w:rPr>
          <w:rFonts w:ascii="Times New Roman" w:hAnsi="Times New Roman"/>
          <w:sz w:val="20"/>
          <w:szCs w:val="20"/>
        </w:rPr>
        <w:t xml:space="preserve">psychological distress </w:t>
      </w:r>
      <w:r w:rsidR="00E84075">
        <w:rPr>
          <w:rFonts w:ascii="Times New Roman" w:hAnsi="Times New Roman"/>
          <w:sz w:val="20"/>
          <w:szCs w:val="20"/>
        </w:rPr>
        <w:t xml:space="preserve">prevalence </w:t>
      </w:r>
      <w:r w:rsidR="008D56DF">
        <w:rPr>
          <w:rFonts w:ascii="Times New Roman" w:hAnsi="Times New Roman"/>
          <w:sz w:val="20"/>
          <w:szCs w:val="20"/>
        </w:rPr>
        <w:t xml:space="preserve">of </w:t>
      </w:r>
      <w:r w:rsidR="008D56DF" w:rsidRPr="008D56DF">
        <w:rPr>
          <w:rFonts w:ascii="Times New Roman" w:hAnsi="Times New Roman"/>
          <w:i/>
          <w:iCs/>
          <w:sz w:val="20"/>
          <w:szCs w:val="20"/>
        </w:rPr>
        <w:t>c</w:t>
      </w:r>
      <w:r w:rsidR="008D56DF">
        <w:rPr>
          <w:rFonts w:ascii="Times New Roman" w:hAnsi="Times New Roman"/>
          <w:sz w:val="20"/>
          <w:szCs w:val="20"/>
        </w:rPr>
        <w:t xml:space="preserve">. </w:t>
      </w:r>
      <w:r w:rsidR="007A362C">
        <w:rPr>
          <w:rFonts w:ascii="Times New Roman" w:hAnsi="Times New Roman"/>
          <w:sz w:val="20"/>
          <w:szCs w:val="20"/>
        </w:rPr>
        <w:t>35</w:t>
      </w:r>
      <w:r w:rsidR="008D56DF">
        <w:rPr>
          <w:rFonts w:ascii="Times New Roman" w:hAnsi="Times New Roman"/>
          <w:sz w:val="20"/>
          <w:szCs w:val="20"/>
        </w:rPr>
        <w:t>%</w:t>
      </w:r>
      <w:r w:rsidR="00631991">
        <w:rPr>
          <w:rFonts w:ascii="Times New Roman" w:hAnsi="Times New Roman"/>
          <w:sz w:val="20"/>
          <w:szCs w:val="20"/>
        </w:rPr>
        <w:t xml:space="preserve"> (in </w:t>
      </w:r>
      <w:r w:rsidR="00B74FFC">
        <w:rPr>
          <w:rFonts w:ascii="Times New Roman" w:hAnsi="Times New Roman"/>
          <w:sz w:val="20"/>
          <w:szCs w:val="20"/>
        </w:rPr>
        <w:t>early 2022</w:t>
      </w:r>
      <w:r w:rsidR="00631991">
        <w:rPr>
          <w:rFonts w:ascii="Times New Roman" w:hAnsi="Times New Roman"/>
          <w:sz w:val="20"/>
          <w:szCs w:val="20"/>
        </w:rPr>
        <w:t>)</w:t>
      </w:r>
      <w:r w:rsidR="00C371EC">
        <w:rPr>
          <w:rFonts w:ascii="Times New Roman" w:hAnsi="Times New Roman"/>
          <w:sz w:val="20"/>
          <w:szCs w:val="20"/>
        </w:rPr>
        <w:t xml:space="preserve">, </w:t>
      </w:r>
      <w:r w:rsidR="00631991">
        <w:rPr>
          <w:rFonts w:ascii="Times New Roman" w:hAnsi="Times New Roman"/>
          <w:sz w:val="20"/>
          <w:szCs w:val="20"/>
        </w:rPr>
        <w:t xml:space="preserve">which results in a maximum increase in the suicide rate </w:t>
      </w:r>
      <w:r w:rsidR="00AF2D8E">
        <w:rPr>
          <w:rFonts w:ascii="Times New Roman" w:hAnsi="Times New Roman"/>
          <w:sz w:val="20"/>
          <w:szCs w:val="20"/>
        </w:rPr>
        <w:t xml:space="preserve">per year </w:t>
      </w:r>
      <w:r w:rsidR="00631991">
        <w:rPr>
          <w:rFonts w:ascii="Times New Roman" w:hAnsi="Times New Roman"/>
          <w:sz w:val="20"/>
          <w:szCs w:val="20"/>
        </w:rPr>
        <w:t xml:space="preserve">of </w:t>
      </w:r>
      <w:r w:rsidR="00631991" w:rsidRPr="00631991">
        <w:rPr>
          <w:rFonts w:ascii="Times New Roman" w:hAnsi="Times New Roman"/>
          <w:i/>
          <w:iCs/>
          <w:sz w:val="20"/>
          <w:szCs w:val="20"/>
        </w:rPr>
        <w:t>c</w:t>
      </w:r>
      <w:r w:rsidR="00631991">
        <w:rPr>
          <w:rFonts w:ascii="Times New Roman" w:hAnsi="Times New Roman"/>
          <w:sz w:val="20"/>
          <w:szCs w:val="20"/>
        </w:rPr>
        <w:t xml:space="preserve">. </w:t>
      </w:r>
      <w:r w:rsidR="007A362C">
        <w:rPr>
          <w:rFonts w:ascii="Times New Roman" w:hAnsi="Times New Roman"/>
          <w:sz w:val="20"/>
          <w:szCs w:val="20"/>
        </w:rPr>
        <w:t>37</w:t>
      </w:r>
      <w:r w:rsidR="00631991">
        <w:rPr>
          <w:rFonts w:ascii="Times New Roman" w:hAnsi="Times New Roman"/>
          <w:sz w:val="20"/>
          <w:szCs w:val="20"/>
        </w:rPr>
        <w:t>%, consistent with</w:t>
      </w:r>
      <w:r w:rsidR="00D31BB5">
        <w:rPr>
          <w:rFonts w:ascii="Times New Roman" w:hAnsi="Times New Roman"/>
          <w:sz w:val="20"/>
          <w:szCs w:val="20"/>
        </w:rPr>
        <w:t xml:space="preserve"> </w:t>
      </w:r>
      <w:r w:rsidR="00631991">
        <w:rPr>
          <w:rFonts w:ascii="Times New Roman" w:hAnsi="Times New Roman"/>
          <w:sz w:val="20"/>
          <w:szCs w:val="20"/>
        </w:rPr>
        <w:t xml:space="preserve">estimates of the </w:t>
      </w:r>
      <w:r w:rsidR="00D31BB5">
        <w:rPr>
          <w:rFonts w:ascii="Times New Roman" w:hAnsi="Times New Roman"/>
          <w:sz w:val="20"/>
          <w:szCs w:val="20"/>
        </w:rPr>
        <w:t xml:space="preserve">medium-term </w:t>
      </w:r>
      <w:r w:rsidR="00631991">
        <w:rPr>
          <w:rFonts w:ascii="Times New Roman" w:hAnsi="Times New Roman"/>
          <w:sz w:val="20"/>
          <w:szCs w:val="20"/>
        </w:rPr>
        <w:t>impact of the</w:t>
      </w:r>
      <w:r w:rsidR="004C5137">
        <w:rPr>
          <w:rFonts w:ascii="Times New Roman" w:hAnsi="Times New Roman"/>
          <w:sz w:val="20"/>
          <w:szCs w:val="20"/>
        </w:rPr>
        <w:t xml:space="preserve"> </w:t>
      </w:r>
      <w:r w:rsidR="00E84075">
        <w:rPr>
          <w:rFonts w:ascii="Times New Roman" w:hAnsi="Times New Roman"/>
          <w:sz w:val="20"/>
          <w:szCs w:val="20"/>
        </w:rPr>
        <w:t xml:space="preserve">2007−08 </w:t>
      </w:r>
      <w:r w:rsidR="004C5137">
        <w:rPr>
          <w:rFonts w:ascii="Times New Roman" w:hAnsi="Times New Roman"/>
          <w:sz w:val="20"/>
          <w:szCs w:val="20"/>
        </w:rPr>
        <w:t>global financial crisis on suicide mortality (Corcoran et a</w:t>
      </w:r>
      <w:r w:rsidR="002B077C">
        <w:rPr>
          <w:rFonts w:ascii="Times New Roman" w:hAnsi="Times New Roman"/>
          <w:sz w:val="20"/>
          <w:szCs w:val="20"/>
        </w:rPr>
        <w:t>l</w:t>
      </w:r>
      <w:r w:rsidR="004C5137">
        <w:rPr>
          <w:rFonts w:ascii="Times New Roman" w:hAnsi="Times New Roman"/>
          <w:sz w:val="20"/>
          <w:szCs w:val="20"/>
        </w:rPr>
        <w:t>., 2015).</w:t>
      </w:r>
    </w:p>
    <w:p w14:paraId="47487A34" w14:textId="4284F24F" w:rsidR="004C5137" w:rsidRDefault="004C5137" w:rsidP="00C9211F">
      <w:pPr>
        <w:spacing w:line="480" w:lineRule="auto"/>
        <w:rPr>
          <w:rFonts w:ascii="Times New Roman" w:hAnsi="Times New Roman"/>
          <w:sz w:val="20"/>
          <w:szCs w:val="20"/>
        </w:rPr>
      </w:pPr>
    </w:p>
    <w:p w14:paraId="2540979E" w14:textId="626BE32A" w:rsidR="00C26027" w:rsidRDefault="00273C13" w:rsidP="00C9211F">
      <w:pPr>
        <w:spacing w:line="480" w:lineRule="auto"/>
        <w:rPr>
          <w:rFonts w:ascii="Times New Roman" w:hAnsi="Times New Roman"/>
          <w:sz w:val="20"/>
          <w:szCs w:val="20"/>
        </w:rPr>
      </w:pPr>
      <w:r>
        <w:rPr>
          <w:rFonts w:ascii="Times New Roman" w:hAnsi="Times New Roman"/>
          <w:noProof/>
          <w:sz w:val="20"/>
          <w:szCs w:val="20"/>
        </w:rPr>
        <w:drawing>
          <wp:inline distT="0" distB="0" distL="0" distR="0" wp14:anchorId="1BFBE020" wp14:editId="0F0A6D8F">
            <wp:extent cx="5731510" cy="286575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0"/>
                    <a:stretch>
                      <a:fillRect/>
                    </a:stretch>
                  </pic:blipFill>
                  <pic:spPr>
                    <a:xfrm>
                      <a:off x="0" y="0"/>
                      <a:ext cx="5731510" cy="2865755"/>
                    </a:xfrm>
                    <a:prstGeom prst="rect">
                      <a:avLst/>
                    </a:prstGeom>
                  </pic:spPr>
                </pic:pic>
              </a:graphicData>
            </a:graphic>
          </wp:inline>
        </w:drawing>
      </w:r>
    </w:p>
    <w:p w14:paraId="788E72BF" w14:textId="750FAEF7" w:rsidR="00C26027" w:rsidRDefault="003B244A" w:rsidP="00C9211F">
      <w:pPr>
        <w:spacing w:line="480" w:lineRule="auto"/>
        <w:rPr>
          <w:rFonts w:ascii="Times New Roman" w:hAnsi="Times New Roman"/>
          <w:sz w:val="20"/>
          <w:szCs w:val="20"/>
        </w:rPr>
      </w:pPr>
      <w:r>
        <w:rPr>
          <w:rFonts w:ascii="Times New Roman" w:hAnsi="Times New Roman"/>
          <w:sz w:val="20"/>
          <w:szCs w:val="20"/>
        </w:rPr>
        <w:t>Figure S14.  Modelled impact of the continuing COVID-19 pandemic on psychological distress and suicide</w:t>
      </w:r>
      <w:r w:rsidR="00962A6B">
        <w:rPr>
          <w:rFonts w:ascii="Times New Roman" w:hAnsi="Times New Roman"/>
          <w:sz w:val="20"/>
          <w:szCs w:val="20"/>
        </w:rPr>
        <w:t xml:space="preserve"> mortality</w:t>
      </w:r>
      <w:r>
        <w:rPr>
          <w:rFonts w:ascii="Times New Roman" w:hAnsi="Times New Roman"/>
          <w:sz w:val="20"/>
          <w:szCs w:val="20"/>
        </w:rPr>
        <w:t xml:space="preserve"> across the Hunter New England and Central Coast PHN</w:t>
      </w:r>
      <w:r w:rsidR="00400FD7">
        <w:rPr>
          <w:rFonts w:ascii="Times New Roman" w:hAnsi="Times New Roman"/>
          <w:sz w:val="20"/>
          <w:szCs w:val="20"/>
        </w:rPr>
        <w:t xml:space="preserve"> catchment.</w:t>
      </w:r>
    </w:p>
    <w:p w14:paraId="6112A94A" w14:textId="23F56319" w:rsidR="004C5137" w:rsidRDefault="004C5137" w:rsidP="00C9211F">
      <w:pPr>
        <w:spacing w:line="480" w:lineRule="auto"/>
        <w:rPr>
          <w:rFonts w:ascii="Times New Roman" w:hAnsi="Times New Roman"/>
          <w:sz w:val="20"/>
          <w:szCs w:val="20"/>
        </w:rPr>
      </w:pPr>
    </w:p>
    <w:p w14:paraId="17E784C2" w14:textId="1FC47C85" w:rsidR="004C5137" w:rsidRPr="007F309F" w:rsidRDefault="003F6FAB" w:rsidP="00C9211F">
      <w:pPr>
        <w:spacing w:line="480" w:lineRule="auto"/>
        <w:rPr>
          <w:rFonts w:ascii="Times New Roman" w:hAnsi="Times New Roman"/>
          <w:sz w:val="24"/>
          <w:szCs w:val="24"/>
        </w:rPr>
      </w:pPr>
      <w:r w:rsidRPr="007F309F">
        <w:rPr>
          <w:rFonts w:ascii="Times New Roman" w:hAnsi="Times New Roman"/>
          <w:sz w:val="24"/>
          <w:szCs w:val="24"/>
        </w:rPr>
        <w:t>References</w:t>
      </w:r>
    </w:p>
    <w:p w14:paraId="7F3BCA3F" w14:textId="03A3AD99" w:rsidR="00A2031E" w:rsidRDefault="00A2031E" w:rsidP="00C9211F">
      <w:pPr>
        <w:spacing w:line="480" w:lineRule="auto"/>
        <w:rPr>
          <w:rFonts w:ascii="Times New Roman" w:hAnsi="Times New Roman"/>
          <w:sz w:val="20"/>
          <w:szCs w:val="20"/>
        </w:rPr>
      </w:pPr>
      <w:r>
        <w:rPr>
          <w:rFonts w:ascii="Times New Roman" w:hAnsi="Times New Roman"/>
          <w:sz w:val="20"/>
          <w:szCs w:val="20"/>
        </w:rPr>
        <w:t>Atkinson, J., Song, Y. J. C., Merikangas, K. R., Skinner, A., Prodan, A., Iorfin</w:t>
      </w:r>
      <w:r w:rsidR="00771B6B">
        <w:rPr>
          <w:rFonts w:ascii="Times New Roman" w:hAnsi="Times New Roman"/>
          <w:sz w:val="20"/>
          <w:szCs w:val="20"/>
        </w:rPr>
        <w:t>o</w:t>
      </w:r>
      <w:r>
        <w:rPr>
          <w:rFonts w:ascii="Times New Roman" w:hAnsi="Times New Roman"/>
          <w:sz w:val="20"/>
          <w:szCs w:val="20"/>
        </w:rPr>
        <w:t>, F., Freebairn, L., Rose, D., Ho, N., Crouse, J., Zipunnikov, V., Hickie, I. B., 2020.  The science of complex systems is needed to ameliorate the impacts of COVID-19 on mental health.  Front. Psychiatry 11, 606035.</w:t>
      </w:r>
    </w:p>
    <w:p w14:paraId="05D79947" w14:textId="23DA7A51" w:rsidR="005944BE" w:rsidRDefault="005944BE">
      <w:pPr>
        <w:spacing w:after="160" w:line="259" w:lineRule="auto"/>
        <w:rPr>
          <w:rFonts w:ascii="Times New Roman" w:hAnsi="Times New Roman"/>
          <w:sz w:val="20"/>
          <w:szCs w:val="20"/>
        </w:rPr>
      </w:pPr>
      <w:r>
        <w:rPr>
          <w:rFonts w:ascii="Times New Roman" w:hAnsi="Times New Roman"/>
          <w:sz w:val="20"/>
          <w:szCs w:val="20"/>
        </w:rPr>
        <w:br w:type="page"/>
      </w:r>
    </w:p>
    <w:p w14:paraId="0F933053" w14:textId="56746003" w:rsidR="00A2031E" w:rsidRDefault="005944BE" w:rsidP="00C9211F">
      <w:pPr>
        <w:spacing w:line="480" w:lineRule="auto"/>
        <w:rPr>
          <w:rFonts w:ascii="Times New Roman" w:hAnsi="Times New Roman"/>
          <w:sz w:val="20"/>
          <w:szCs w:val="20"/>
        </w:rPr>
      </w:pPr>
      <w:r>
        <w:rPr>
          <w:rFonts w:ascii="Times New Roman" w:hAnsi="Times New Roman"/>
          <w:sz w:val="20"/>
          <w:szCs w:val="20"/>
        </w:rPr>
        <w:lastRenderedPageBreak/>
        <w:t>Table S3.  Parameters controlling the modelled effect of the COVID-19 pandemic on the incidence of psychological distress.</w:t>
      </w:r>
    </w:p>
    <w:tbl>
      <w:tblPr>
        <w:tblW w:w="8980" w:type="dxa"/>
        <w:tblLook w:val="04A0" w:firstRow="1" w:lastRow="0" w:firstColumn="1" w:lastColumn="0" w:noHBand="0" w:noVBand="1"/>
      </w:tblPr>
      <w:tblGrid>
        <w:gridCol w:w="2120"/>
        <w:gridCol w:w="1000"/>
        <w:gridCol w:w="5860"/>
      </w:tblGrid>
      <w:tr w:rsidR="00363896" w:rsidRPr="00363896" w14:paraId="2C914269" w14:textId="77777777" w:rsidTr="00363896">
        <w:trPr>
          <w:trHeight w:val="312"/>
        </w:trPr>
        <w:tc>
          <w:tcPr>
            <w:tcW w:w="2120" w:type="dxa"/>
            <w:tcBorders>
              <w:top w:val="single" w:sz="4" w:space="0" w:color="auto"/>
              <w:left w:val="nil"/>
              <w:bottom w:val="single" w:sz="4" w:space="0" w:color="auto"/>
              <w:right w:val="nil"/>
            </w:tcBorders>
            <w:shd w:val="clear" w:color="auto" w:fill="auto"/>
            <w:noWrap/>
            <w:vAlign w:val="center"/>
            <w:hideMark/>
          </w:tcPr>
          <w:p w14:paraId="4E7C5D47" w14:textId="77777777" w:rsidR="00363896" w:rsidRPr="00363896" w:rsidRDefault="00363896" w:rsidP="00363896">
            <w:pPr>
              <w:spacing w:line="240" w:lineRule="auto"/>
              <w:rPr>
                <w:rFonts w:ascii="Times New Roman" w:eastAsia="Times New Roman" w:hAnsi="Times New Roman"/>
                <w:color w:val="000000"/>
                <w:sz w:val="17"/>
                <w:szCs w:val="17"/>
                <w:lang w:eastAsia="en-AU"/>
              </w:rPr>
            </w:pPr>
            <w:r w:rsidRPr="00363896">
              <w:rPr>
                <w:rFonts w:ascii="Times New Roman" w:eastAsia="Times New Roman" w:hAnsi="Times New Roman"/>
                <w:color w:val="000000"/>
                <w:sz w:val="17"/>
                <w:szCs w:val="17"/>
                <w:lang w:eastAsia="en-AU"/>
              </w:rPr>
              <w:t>Parameter</w:t>
            </w:r>
          </w:p>
        </w:tc>
        <w:tc>
          <w:tcPr>
            <w:tcW w:w="1000" w:type="dxa"/>
            <w:tcBorders>
              <w:top w:val="single" w:sz="4" w:space="0" w:color="auto"/>
              <w:left w:val="nil"/>
              <w:bottom w:val="single" w:sz="4" w:space="0" w:color="auto"/>
              <w:right w:val="nil"/>
            </w:tcBorders>
            <w:shd w:val="clear" w:color="auto" w:fill="auto"/>
            <w:noWrap/>
            <w:vAlign w:val="center"/>
            <w:hideMark/>
          </w:tcPr>
          <w:p w14:paraId="14135998" w14:textId="77777777" w:rsidR="00363896" w:rsidRPr="00363896" w:rsidRDefault="00363896" w:rsidP="00363896">
            <w:pPr>
              <w:spacing w:line="240" w:lineRule="auto"/>
              <w:rPr>
                <w:rFonts w:ascii="Times New Roman" w:eastAsia="Times New Roman" w:hAnsi="Times New Roman"/>
                <w:color w:val="000000"/>
                <w:sz w:val="17"/>
                <w:szCs w:val="17"/>
                <w:lang w:eastAsia="en-AU"/>
              </w:rPr>
            </w:pPr>
            <w:r w:rsidRPr="00363896">
              <w:rPr>
                <w:rFonts w:ascii="Times New Roman" w:eastAsia="Times New Roman" w:hAnsi="Times New Roman"/>
                <w:color w:val="000000"/>
                <w:sz w:val="17"/>
                <w:szCs w:val="17"/>
                <w:lang w:eastAsia="en-AU"/>
              </w:rPr>
              <w:t>Value</w:t>
            </w:r>
          </w:p>
        </w:tc>
        <w:tc>
          <w:tcPr>
            <w:tcW w:w="5860" w:type="dxa"/>
            <w:tcBorders>
              <w:top w:val="single" w:sz="4" w:space="0" w:color="auto"/>
              <w:left w:val="nil"/>
              <w:bottom w:val="single" w:sz="4" w:space="0" w:color="auto"/>
              <w:right w:val="nil"/>
            </w:tcBorders>
            <w:shd w:val="clear" w:color="auto" w:fill="auto"/>
            <w:noWrap/>
            <w:vAlign w:val="center"/>
            <w:hideMark/>
          </w:tcPr>
          <w:p w14:paraId="4560C5CE" w14:textId="77777777" w:rsidR="00363896" w:rsidRPr="00363896" w:rsidRDefault="00363896" w:rsidP="00363896">
            <w:pPr>
              <w:spacing w:line="240" w:lineRule="auto"/>
              <w:rPr>
                <w:rFonts w:ascii="Times New Roman" w:eastAsia="Times New Roman" w:hAnsi="Times New Roman"/>
                <w:color w:val="000000"/>
                <w:sz w:val="17"/>
                <w:szCs w:val="17"/>
                <w:lang w:eastAsia="en-AU"/>
              </w:rPr>
            </w:pPr>
            <w:r w:rsidRPr="00363896">
              <w:rPr>
                <w:rFonts w:ascii="Times New Roman" w:eastAsia="Times New Roman" w:hAnsi="Times New Roman"/>
                <w:color w:val="000000"/>
                <w:sz w:val="17"/>
                <w:szCs w:val="17"/>
                <w:lang w:eastAsia="en-AU"/>
              </w:rPr>
              <w:t>Notes</w:t>
            </w:r>
          </w:p>
        </w:tc>
      </w:tr>
      <w:tr w:rsidR="00363896" w:rsidRPr="00363896" w14:paraId="38C47525" w14:textId="77777777" w:rsidTr="00363896">
        <w:trPr>
          <w:trHeight w:val="216"/>
        </w:trPr>
        <w:tc>
          <w:tcPr>
            <w:tcW w:w="2120" w:type="dxa"/>
            <w:tcBorders>
              <w:top w:val="nil"/>
              <w:left w:val="nil"/>
              <w:bottom w:val="nil"/>
              <w:right w:val="nil"/>
            </w:tcBorders>
            <w:shd w:val="clear" w:color="auto" w:fill="auto"/>
            <w:noWrap/>
            <w:vAlign w:val="bottom"/>
            <w:hideMark/>
          </w:tcPr>
          <w:p w14:paraId="5BAD7010" w14:textId="77777777" w:rsidR="00363896" w:rsidRPr="00363896" w:rsidRDefault="00363896" w:rsidP="00363896">
            <w:pPr>
              <w:spacing w:line="240" w:lineRule="auto"/>
              <w:rPr>
                <w:rFonts w:ascii="Times New Roman" w:eastAsia="Times New Roman" w:hAnsi="Times New Roman"/>
                <w:color w:val="000000"/>
                <w:sz w:val="17"/>
                <w:szCs w:val="17"/>
                <w:lang w:eastAsia="en-AU"/>
              </w:rPr>
            </w:pPr>
          </w:p>
        </w:tc>
        <w:tc>
          <w:tcPr>
            <w:tcW w:w="1000" w:type="dxa"/>
            <w:tcBorders>
              <w:top w:val="nil"/>
              <w:left w:val="nil"/>
              <w:bottom w:val="nil"/>
              <w:right w:val="nil"/>
            </w:tcBorders>
            <w:shd w:val="clear" w:color="auto" w:fill="auto"/>
            <w:noWrap/>
            <w:vAlign w:val="bottom"/>
            <w:hideMark/>
          </w:tcPr>
          <w:p w14:paraId="27B0FF50" w14:textId="77777777" w:rsidR="00363896" w:rsidRPr="0082227C" w:rsidRDefault="00363896" w:rsidP="00363896">
            <w:pPr>
              <w:spacing w:line="240" w:lineRule="auto"/>
              <w:rPr>
                <w:rFonts w:ascii="Times New Roman" w:eastAsia="Times New Roman" w:hAnsi="Times New Roman"/>
                <w:color w:val="auto"/>
                <w:sz w:val="20"/>
                <w:szCs w:val="20"/>
                <w:lang w:eastAsia="en-AU"/>
              </w:rPr>
            </w:pPr>
          </w:p>
        </w:tc>
        <w:tc>
          <w:tcPr>
            <w:tcW w:w="5860" w:type="dxa"/>
            <w:tcBorders>
              <w:top w:val="nil"/>
              <w:left w:val="nil"/>
              <w:bottom w:val="nil"/>
              <w:right w:val="nil"/>
            </w:tcBorders>
            <w:shd w:val="clear" w:color="auto" w:fill="auto"/>
            <w:noWrap/>
            <w:vAlign w:val="bottom"/>
            <w:hideMark/>
          </w:tcPr>
          <w:p w14:paraId="4C3F704F" w14:textId="77777777" w:rsidR="00363896" w:rsidRPr="0082227C" w:rsidRDefault="00363896" w:rsidP="00363896">
            <w:pPr>
              <w:spacing w:line="240" w:lineRule="auto"/>
              <w:rPr>
                <w:rFonts w:ascii="Times New Roman" w:eastAsia="Times New Roman" w:hAnsi="Times New Roman"/>
                <w:color w:val="auto"/>
                <w:sz w:val="20"/>
                <w:szCs w:val="20"/>
                <w:lang w:eastAsia="en-AU"/>
              </w:rPr>
            </w:pPr>
          </w:p>
        </w:tc>
      </w:tr>
      <w:tr w:rsidR="00363896" w:rsidRPr="00363896" w14:paraId="6085FFD6" w14:textId="77777777" w:rsidTr="00363896">
        <w:trPr>
          <w:trHeight w:val="648"/>
        </w:trPr>
        <w:tc>
          <w:tcPr>
            <w:tcW w:w="2120" w:type="dxa"/>
            <w:tcBorders>
              <w:top w:val="nil"/>
              <w:left w:val="nil"/>
              <w:bottom w:val="nil"/>
              <w:right w:val="nil"/>
            </w:tcBorders>
            <w:shd w:val="clear" w:color="000000" w:fill="F2F2F2"/>
            <w:hideMark/>
          </w:tcPr>
          <w:p w14:paraId="63CEDC3D" w14:textId="77777777" w:rsidR="00363896" w:rsidRPr="00363896" w:rsidRDefault="00363896" w:rsidP="00363896">
            <w:pPr>
              <w:spacing w:line="240" w:lineRule="auto"/>
              <w:rPr>
                <w:rFonts w:ascii="Times New Roman" w:eastAsia="Times New Roman" w:hAnsi="Times New Roman"/>
                <w:color w:val="000000"/>
                <w:sz w:val="17"/>
                <w:szCs w:val="17"/>
                <w:lang w:eastAsia="en-AU"/>
              </w:rPr>
            </w:pPr>
            <w:r w:rsidRPr="00363896">
              <w:rPr>
                <w:rFonts w:ascii="Times New Roman" w:eastAsia="Times New Roman" w:hAnsi="Times New Roman"/>
                <w:color w:val="000000"/>
                <w:sz w:val="17"/>
                <w:szCs w:val="17"/>
                <w:lang w:eastAsia="en-AU"/>
              </w:rPr>
              <w:t>COVID-19 effect decay rate</w:t>
            </w:r>
          </w:p>
        </w:tc>
        <w:tc>
          <w:tcPr>
            <w:tcW w:w="1000" w:type="dxa"/>
            <w:tcBorders>
              <w:top w:val="nil"/>
              <w:left w:val="nil"/>
              <w:bottom w:val="nil"/>
              <w:right w:val="nil"/>
            </w:tcBorders>
            <w:shd w:val="clear" w:color="000000" w:fill="F2F2F2"/>
            <w:noWrap/>
            <w:hideMark/>
          </w:tcPr>
          <w:p w14:paraId="11E3FB29" w14:textId="77777777" w:rsidR="00363896" w:rsidRPr="0082227C" w:rsidRDefault="00363896" w:rsidP="00363896">
            <w:pPr>
              <w:spacing w:line="240" w:lineRule="auto"/>
              <w:rPr>
                <w:rFonts w:ascii="Times New Roman" w:eastAsia="Times New Roman" w:hAnsi="Times New Roman"/>
                <w:color w:val="auto"/>
                <w:sz w:val="17"/>
                <w:szCs w:val="17"/>
                <w:lang w:eastAsia="en-AU"/>
              </w:rPr>
            </w:pPr>
            <w:r w:rsidRPr="0082227C">
              <w:rPr>
                <w:rFonts w:ascii="Times New Roman" w:eastAsia="Times New Roman" w:hAnsi="Times New Roman"/>
                <w:color w:val="auto"/>
                <w:sz w:val="17"/>
                <w:szCs w:val="17"/>
                <w:lang w:eastAsia="en-AU"/>
              </w:rPr>
              <w:t>1</w:t>
            </w:r>
          </w:p>
        </w:tc>
        <w:tc>
          <w:tcPr>
            <w:tcW w:w="5860" w:type="dxa"/>
            <w:tcBorders>
              <w:top w:val="nil"/>
              <w:left w:val="nil"/>
              <w:bottom w:val="nil"/>
              <w:right w:val="nil"/>
            </w:tcBorders>
            <w:shd w:val="clear" w:color="000000" w:fill="F2F2F2"/>
            <w:hideMark/>
          </w:tcPr>
          <w:p w14:paraId="7227160E" w14:textId="23638CAF" w:rsidR="00363896" w:rsidRPr="0082227C" w:rsidRDefault="00363896" w:rsidP="00363896">
            <w:pPr>
              <w:spacing w:line="240" w:lineRule="auto"/>
              <w:rPr>
                <w:rFonts w:ascii="Times New Roman" w:eastAsia="Times New Roman" w:hAnsi="Times New Roman"/>
                <w:color w:val="auto"/>
                <w:sz w:val="17"/>
                <w:szCs w:val="17"/>
                <w:lang w:eastAsia="en-AU"/>
              </w:rPr>
            </w:pPr>
            <w:r w:rsidRPr="0082227C">
              <w:rPr>
                <w:rFonts w:ascii="Times New Roman" w:eastAsia="Times New Roman" w:hAnsi="Times New Roman"/>
                <w:color w:val="auto"/>
                <w:sz w:val="17"/>
                <w:szCs w:val="17"/>
                <w:lang w:eastAsia="en-AU"/>
              </w:rPr>
              <w:t xml:space="preserve">Fractional rate per year at which the effect of COVID-related social dislocation and </w:t>
            </w:r>
            <w:r w:rsidR="00D51E47" w:rsidRPr="0082227C">
              <w:rPr>
                <w:rFonts w:ascii="Times New Roman" w:eastAsia="Times New Roman" w:hAnsi="Times New Roman"/>
                <w:color w:val="auto"/>
                <w:sz w:val="17"/>
                <w:szCs w:val="17"/>
                <w:lang w:eastAsia="en-AU"/>
              </w:rPr>
              <w:t>unemployment</w:t>
            </w:r>
            <w:r w:rsidRPr="0082227C">
              <w:rPr>
                <w:rFonts w:ascii="Times New Roman" w:eastAsia="Times New Roman" w:hAnsi="Times New Roman"/>
                <w:color w:val="auto"/>
                <w:sz w:val="17"/>
                <w:szCs w:val="17"/>
                <w:lang w:eastAsia="en-AU"/>
              </w:rPr>
              <w:t xml:space="preserve"> decays after the pandemic ends</w:t>
            </w:r>
            <w:r w:rsidR="002E229C" w:rsidRPr="0082227C">
              <w:rPr>
                <w:rFonts w:ascii="Times New Roman" w:eastAsia="Times New Roman" w:hAnsi="Times New Roman"/>
                <w:color w:val="auto"/>
                <w:sz w:val="17"/>
                <w:szCs w:val="17"/>
                <w:lang w:eastAsia="en-AU"/>
              </w:rPr>
              <w:t xml:space="preserve"> (</w:t>
            </w:r>
            <w:r w:rsidR="002E229C" w:rsidRPr="0082227C">
              <w:rPr>
                <w:rFonts w:ascii="Times New Roman" w:hAnsi="Times New Roman"/>
                <w:color w:val="auto"/>
                <w:sz w:val="17"/>
                <w:szCs w:val="17"/>
              </w:rPr>
              <w:t>i.e., after the effect starting year plus the effect duration)</w:t>
            </w:r>
          </w:p>
        </w:tc>
      </w:tr>
      <w:tr w:rsidR="00363896" w:rsidRPr="00363896" w14:paraId="4B5D6605" w14:textId="77777777" w:rsidTr="00363896">
        <w:trPr>
          <w:trHeight w:val="648"/>
        </w:trPr>
        <w:tc>
          <w:tcPr>
            <w:tcW w:w="2120" w:type="dxa"/>
            <w:tcBorders>
              <w:top w:val="nil"/>
              <w:left w:val="nil"/>
              <w:bottom w:val="nil"/>
              <w:right w:val="nil"/>
            </w:tcBorders>
            <w:shd w:val="clear" w:color="auto" w:fill="auto"/>
            <w:hideMark/>
          </w:tcPr>
          <w:p w14:paraId="0FB48C30" w14:textId="77777777" w:rsidR="00363896" w:rsidRPr="00363896" w:rsidRDefault="00363896" w:rsidP="00363896">
            <w:pPr>
              <w:spacing w:line="240" w:lineRule="auto"/>
              <w:rPr>
                <w:rFonts w:ascii="Times New Roman" w:eastAsia="Times New Roman" w:hAnsi="Times New Roman"/>
                <w:color w:val="000000"/>
                <w:sz w:val="17"/>
                <w:szCs w:val="17"/>
                <w:lang w:eastAsia="en-AU"/>
              </w:rPr>
            </w:pPr>
            <w:r w:rsidRPr="00363896">
              <w:rPr>
                <w:rFonts w:ascii="Times New Roman" w:eastAsia="Times New Roman" w:hAnsi="Times New Roman"/>
                <w:color w:val="000000"/>
                <w:sz w:val="17"/>
                <w:szCs w:val="17"/>
                <w:lang w:eastAsia="en-AU"/>
              </w:rPr>
              <w:t>COVID-19 effect duration (years)</w:t>
            </w:r>
          </w:p>
        </w:tc>
        <w:tc>
          <w:tcPr>
            <w:tcW w:w="1000" w:type="dxa"/>
            <w:tcBorders>
              <w:top w:val="nil"/>
              <w:left w:val="nil"/>
              <w:bottom w:val="nil"/>
              <w:right w:val="nil"/>
            </w:tcBorders>
            <w:shd w:val="clear" w:color="auto" w:fill="auto"/>
            <w:noWrap/>
            <w:hideMark/>
          </w:tcPr>
          <w:p w14:paraId="1C72BFF1" w14:textId="77777777" w:rsidR="00363896" w:rsidRPr="00363896" w:rsidRDefault="00363896" w:rsidP="00363896">
            <w:pPr>
              <w:spacing w:line="240" w:lineRule="auto"/>
              <w:rPr>
                <w:rFonts w:ascii="Times New Roman" w:eastAsia="Times New Roman" w:hAnsi="Times New Roman"/>
                <w:color w:val="000000"/>
                <w:sz w:val="17"/>
                <w:szCs w:val="17"/>
                <w:lang w:eastAsia="en-AU"/>
              </w:rPr>
            </w:pPr>
            <w:r w:rsidRPr="00363896">
              <w:rPr>
                <w:rFonts w:ascii="Times New Roman" w:eastAsia="Times New Roman" w:hAnsi="Times New Roman"/>
                <w:color w:val="000000"/>
                <w:sz w:val="17"/>
                <w:szCs w:val="17"/>
                <w:lang w:eastAsia="en-AU"/>
              </w:rPr>
              <w:t>1</w:t>
            </w:r>
          </w:p>
        </w:tc>
        <w:tc>
          <w:tcPr>
            <w:tcW w:w="5860" w:type="dxa"/>
            <w:tcBorders>
              <w:top w:val="nil"/>
              <w:left w:val="nil"/>
              <w:bottom w:val="nil"/>
              <w:right w:val="nil"/>
            </w:tcBorders>
            <w:shd w:val="clear" w:color="auto" w:fill="auto"/>
            <w:hideMark/>
          </w:tcPr>
          <w:p w14:paraId="793A445C" w14:textId="77777777" w:rsidR="00363896" w:rsidRPr="00363896" w:rsidRDefault="00363896" w:rsidP="00363896">
            <w:pPr>
              <w:spacing w:line="240" w:lineRule="auto"/>
              <w:rPr>
                <w:rFonts w:ascii="Times New Roman" w:eastAsia="Times New Roman" w:hAnsi="Times New Roman"/>
                <w:color w:val="000000"/>
                <w:sz w:val="17"/>
                <w:szCs w:val="17"/>
                <w:lang w:eastAsia="en-AU"/>
              </w:rPr>
            </w:pPr>
            <w:r w:rsidRPr="00363896">
              <w:rPr>
                <w:rFonts w:ascii="Times New Roman" w:eastAsia="Times New Roman" w:hAnsi="Times New Roman"/>
                <w:color w:val="000000"/>
                <w:sz w:val="17"/>
                <w:szCs w:val="17"/>
                <w:lang w:eastAsia="en-AU"/>
              </w:rPr>
              <w:t>Duration in years of the direct effect of COVID-related social dislocation and job loss on psychological distress incidence.  The default value (1) assumes that the direct effect of the COVID-19 pandemic persists for a period of 1 year.</w:t>
            </w:r>
          </w:p>
        </w:tc>
      </w:tr>
      <w:tr w:rsidR="00363896" w:rsidRPr="00363896" w14:paraId="214A3D17" w14:textId="77777777" w:rsidTr="00363896">
        <w:trPr>
          <w:trHeight w:val="432"/>
        </w:trPr>
        <w:tc>
          <w:tcPr>
            <w:tcW w:w="2120" w:type="dxa"/>
            <w:tcBorders>
              <w:top w:val="nil"/>
              <w:left w:val="nil"/>
              <w:bottom w:val="nil"/>
              <w:right w:val="nil"/>
            </w:tcBorders>
            <w:shd w:val="clear" w:color="000000" w:fill="F2F2F2"/>
            <w:hideMark/>
          </w:tcPr>
          <w:p w14:paraId="591FBD89" w14:textId="77777777" w:rsidR="00363896" w:rsidRPr="00363896" w:rsidRDefault="00363896" w:rsidP="00363896">
            <w:pPr>
              <w:spacing w:line="240" w:lineRule="auto"/>
              <w:rPr>
                <w:rFonts w:ascii="Times New Roman" w:eastAsia="Times New Roman" w:hAnsi="Times New Roman"/>
                <w:color w:val="000000"/>
                <w:sz w:val="17"/>
                <w:szCs w:val="17"/>
                <w:lang w:eastAsia="en-AU"/>
              </w:rPr>
            </w:pPr>
            <w:r w:rsidRPr="00363896">
              <w:rPr>
                <w:rFonts w:ascii="Times New Roman" w:eastAsia="Times New Roman" w:hAnsi="Times New Roman"/>
                <w:color w:val="000000"/>
                <w:sz w:val="17"/>
                <w:szCs w:val="17"/>
                <w:lang w:eastAsia="en-AU"/>
              </w:rPr>
              <w:t>COVID-19 effect starting year</w:t>
            </w:r>
          </w:p>
        </w:tc>
        <w:tc>
          <w:tcPr>
            <w:tcW w:w="1000" w:type="dxa"/>
            <w:tcBorders>
              <w:top w:val="nil"/>
              <w:left w:val="nil"/>
              <w:bottom w:val="nil"/>
              <w:right w:val="nil"/>
            </w:tcBorders>
            <w:shd w:val="clear" w:color="000000" w:fill="F2F2F2"/>
            <w:noWrap/>
            <w:hideMark/>
          </w:tcPr>
          <w:p w14:paraId="31B703F1" w14:textId="77777777" w:rsidR="00363896" w:rsidRPr="00363896" w:rsidRDefault="00363896" w:rsidP="00363896">
            <w:pPr>
              <w:spacing w:line="240" w:lineRule="auto"/>
              <w:rPr>
                <w:rFonts w:ascii="Times New Roman" w:eastAsia="Times New Roman" w:hAnsi="Times New Roman"/>
                <w:color w:val="000000"/>
                <w:sz w:val="17"/>
                <w:szCs w:val="17"/>
                <w:lang w:eastAsia="en-AU"/>
              </w:rPr>
            </w:pPr>
            <w:r w:rsidRPr="00363896">
              <w:rPr>
                <w:rFonts w:ascii="Times New Roman" w:eastAsia="Times New Roman" w:hAnsi="Times New Roman"/>
                <w:color w:val="000000"/>
                <w:sz w:val="17"/>
                <w:szCs w:val="17"/>
                <w:lang w:eastAsia="en-AU"/>
              </w:rPr>
              <w:t>2020.167</w:t>
            </w:r>
          </w:p>
        </w:tc>
        <w:tc>
          <w:tcPr>
            <w:tcW w:w="5860" w:type="dxa"/>
            <w:tcBorders>
              <w:top w:val="nil"/>
              <w:left w:val="nil"/>
              <w:bottom w:val="nil"/>
              <w:right w:val="nil"/>
            </w:tcBorders>
            <w:shd w:val="clear" w:color="000000" w:fill="F2F2F2"/>
            <w:hideMark/>
          </w:tcPr>
          <w:p w14:paraId="551EFFDA" w14:textId="77777777" w:rsidR="00363896" w:rsidRPr="00363896" w:rsidRDefault="00363896" w:rsidP="00363896">
            <w:pPr>
              <w:spacing w:line="240" w:lineRule="auto"/>
              <w:rPr>
                <w:rFonts w:ascii="Times New Roman" w:eastAsia="Times New Roman" w:hAnsi="Times New Roman"/>
                <w:color w:val="000000"/>
                <w:sz w:val="17"/>
                <w:szCs w:val="17"/>
                <w:lang w:eastAsia="en-AU"/>
              </w:rPr>
            </w:pPr>
            <w:r w:rsidRPr="00363896">
              <w:rPr>
                <w:rFonts w:ascii="Times New Roman" w:eastAsia="Times New Roman" w:hAnsi="Times New Roman"/>
                <w:color w:val="000000"/>
                <w:sz w:val="17"/>
                <w:szCs w:val="17"/>
                <w:lang w:eastAsia="en-AU"/>
              </w:rPr>
              <w:t>Default value (2020.167) assumes that significant social dislocation and job loss due to the COVID-19 pandemic commences in March 2020</w:t>
            </w:r>
          </w:p>
        </w:tc>
      </w:tr>
      <w:tr w:rsidR="00363896" w:rsidRPr="00363896" w14:paraId="482703BC" w14:textId="77777777" w:rsidTr="00363896">
        <w:trPr>
          <w:trHeight w:val="648"/>
        </w:trPr>
        <w:tc>
          <w:tcPr>
            <w:tcW w:w="2120" w:type="dxa"/>
            <w:tcBorders>
              <w:top w:val="nil"/>
              <w:left w:val="nil"/>
              <w:bottom w:val="nil"/>
              <w:right w:val="nil"/>
            </w:tcBorders>
            <w:shd w:val="clear" w:color="auto" w:fill="auto"/>
            <w:hideMark/>
          </w:tcPr>
          <w:p w14:paraId="38166E9A" w14:textId="77777777" w:rsidR="00363896" w:rsidRPr="00363896" w:rsidRDefault="00363896" w:rsidP="00363896">
            <w:pPr>
              <w:spacing w:line="240" w:lineRule="auto"/>
              <w:rPr>
                <w:rFonts w:ascii="Times New Roman" w:eastAsia="Times New Roman" w:hAnsi="Times New Roman"/>
                <w:color w:val="000000"/>
                <w:sz w:val="17"/>
                <w:szCs w:val="17"/>
                <w:lang w:eastAsia="en-AU"/>
              </w:rPr>
            </w:pPr>
            <w:r w:rsidRPr="00363896">
              <w:rPr>
                <w:rFonts w:ascii="Times New Roman" w:eastAsia="Times New Roman" w:hAnsi="Times New Roman"/>
                <w:color w:val="000000"/>
                <w:sz w:val="17"/>
                <w:szCs w:val="17"/>
                <w:lang w:eastAsia="en-AU"/>
              </w:rPr>
              <w:t>Maximum COVID-19 effect</w:t>
            </w:r>
          </w:p>
        </w:tc>
        <w:tc>
          <w:tcPr>
            <w:tcW w:w="1000" w:type="dxa"/>
            <w:tcBorders>
              <w:top w:val="nil"/>
              <w:left w:val="nil"/>
              <w:bottom w:val="nil"/>
              <w:right w:val="nil"/>
            </w:tcBorders>
            <w:shd w:val="clear" w:color="auto" w:fill="auto"/>
            <w:noWrap/>
            <w:hideMark/>
          </w:tcPr>
          <w:p w14:paraId="4F9DDC37" w14:textId="77777777" w:rsidR="00363896" w:rsidRPr="00363896" w:rsidRDefault="00363896" w:rsidP="00363896">
            <w:pPr>
              <w:spacing w:line="240" w:lineRule="auto"/>
              <w:rPr>
                <w:rFonts w:ascii="Times New Roman" w:eastAsia="Times New Roman" w:hAnsi="Times New Roman"/>
                <w:color w:val="000000"/>
                <w:sz w:val="17"/>
                <w:szCs w:val="17"/>
                <w:lang w:eastAsia="en-AU"/>
              </w:rPr>
            </w:pPr>
            <w:r w:rsidRPr="00363896">
              <w:rPr>
                <w:rFonts w:ascii="Times New Roman" w:eastAsia="Times New Roman" w:hAnsi="Times New Roman"/>
                <w:color w:val="000000"/>
                <w:sz w:val="17"/>
                <w:szCs w:val="17"/>
                <w:lang w:eastAsia="en-AU"/>
              </w:rPr>
              <w:t>2.262942</w:t>
            </w:r>
          </w:p>
        </w:tc>
        <w:tc>
          <w:tcPr>
            <w:tcW w:w="5860" w:type="dxa"/>
            <w:tcBorders>
              <w:top w:val="nil"/>
              <w:left w:val="nil"/>
              <w:bottom w:val="nil"/>
              <w:right w:val="nil"/>
            </w:tcBorders>
            <w:shd w:val="clear" w:color="auto" w:fill="auto"/>
            <w:hideMark/>
          </w:tcPr>
          <w:p w14:paraId="761614C0" w14:textId="77777777" w:rsidR="00363896" w:rsidRPr="00363896" w:rsidRDefault="00363896" w:rsidP="00363896">
            <w:pPr>
              <w:spacing w:line="240" w:lineRule="auto"/>
              <w:rPr>
                <w:rFonts w:ascii="Times New Roman" w:eastAsia="Times New Roman" w:hAnsi="Times New Roman"/>
                <w:color w:val="000000"/>
                <w:sz w:val="17"/>
                <w:szCs w:val="17"/>
                <w:lang w:eastAsia="en-AU"/>
              </w:rPr>
            </w:pPr>
            <w:r w:rsidRPr="00363896">
              <w:rPr>
                <w:rFonts w:ascii="Times New Roman" w:eastAsia="Times New Roman" w:hAnsi="Times New Roman"/>
                <w:color w:val="000000"/>
                <w:sz w:val="17"/>
                <w:szCs w:val="17"/>
                <w:lang w:eastAsia="en-AU"/>
              </w:rPr>
              <w:t>Maximum effect of COVID-related social dislocation and unemployment on psychological distress incidence.  The default value (2.263) assumes a maximum increase in the per capita rate of psychological distress onset of 126.3%.</w:t>
            </w:r>
          </w:p>
        </w:tc>
      </w:tr>
      <w:tr w:rsidR="00363896" w:rsidRPr="00363896" w14:paraId="2F8EC747" w14:textId="77777777" w:rsidTr="00363896">
        <w:trPr>
          <w:trHeight w:val="648"/>
        </w:trPr>
        <w:tc>
          <w:tcPr>
            <w:tcW w:w="2120" w:type="dxa"/>
            <w:tcBorders>
              <w:top w:val="nil"/>
              <w:left w:val="nil"/>
              <w:bottom w:val="nil"/>
              <w:right w:val="nil"/>
            </w:tcBorders>
            <w:shd w:val="clear" w:color="000000" w:fill="F2F2F2"/>
            <w:hideMark/>
          </w:tcPr>
          <w:p w14:paraId="1BC7120D" w14:textId="77777777" w:rsidR="00363896" w:rsidRPr="00363896" w:rsidRDefault="00363896" w:rsidP="00363896">
            <w:pPr>
              <w:spacing w:line="240" w:lineRule="auto"/>
              <w:rPr>
                <w:rFonts w:ascii="Times New Roman" w:eastAsia="Times New Roman" w:hAnsi="Times New Roman"/>
                <w:color w:val="000000"/>
                <w:sz w:val="17"/>
                <w:szCs w:val="17"/>
                <w:lang w:eastAsia="en-AU"/>
              </w:rPr>
            </w:pPr>
            <w:r w:rsidRPr="00363896">
              <w:rPr>
                <w:rFonts w:ascii="Times New Roman" w:eastAsia="Times New Roman" w:hAnsi="Times New Roman"/>
                <w:color w:val="000000"/>
                <w:sz w:val="17"/>
                <w:szCs w:val="17"/>
                <w:lang w:eastAsia="en-AU"/>
              </w:rPr>
              <w:t>Years to reach maximum effect</w:t>
            </w:r>
          </w:p>
        </w:tc>
        <w:tc>
          <w:tcPr>
            <w:tcW w:w="1000" w:type="dxa"/>
            <w:tcBorders>
              <w:top w:val="nil"/>
              <w:left w:val="nil"/>
              <w:bottom w:val="nil"/>
              <w:right w:val="nil"/>
            </w:tcBorders>
            <w:shd w:val="clear" w:color="000000" w:fill="F2F2F2"/>
            <w:noWrap/>
            <w:hideMark/>
          </w:tcPr>
          <w:p w14:paraId="3F0C2C87" w14:textId="77777777" w:rsidR="00363896" w:rsidRPr="00363896" w:rsidRDefault="00363896" w:rsidP="00363896">
            <w:pPr>
              <w:spacing w:line="240" w:lineRule="auto"/>
              <w:rPr>
                <w:rFonts w:ascii="Times New Roman" w:eastAsia="Times New Roman" w:hAnsi="Times New Roman"/>
                <w:color w:val="000000"/>
                <w:sz w:val="17"/>
                <w:szCs w:val="17"/>
                <w:lang w:eastAsia="en-AU"/>
              </w:rPr>
            </w:pPr>
            <w:r w:rsidRPr="00363896">
              <w:rPr>
                <w:rFonts w:ascii="Times New Roman" w:eastAsia="Times New Roman" w:hAnsi="Times New Roman"/>
                <w:color w:val="000000"/>
                <w:sz w:val="17"/>
                <w:szCs w:val="17"/>
                <w:lang w:eastAsia="en-AU"/>
              </w:rPr>
              <w:t>0.25</w:t>
            </w:r>
          </w:p>
        </w:tc>
        <w:tc>
          <w:tcPr>
            <w:tcW w:w="5860" w:type="dxa"/>
            <w:tcBorders>
              <w:top w:val="nil"/>
              <w:left w:val="nil"/>
              <w:bottom w:val="nil"/>
              <w:right w:val="nil"/>
            </w:tcBorders>
            <w:shd w:val="clear" w:color="000000" w:fill="F2F2F2"/>
            <w:hideMark/>
          </w:tcPr>
          <w:p w14:paraId="51150C89" w14:textId="77777777" w:rsidR="00363896" w:rsidRPr="00363896" w:rsidRDefault="00363896" w:rsidP="00363896">
            <w:pPr>
              <w:spacing w:line="240" w:lineRule="auto"/>
              <w:rPr>
                <w:rFonts w:ascii="Times New Roman" w:eastAsia="Times New Roman" w:hAnsi="Times New Roman"/>
                <w:color w:val="000000"/>
                <w:sz w:val="17"/>
                <w:szCs w:val="17"/>
                <w:lang w:eastAsia="en-AU"/>
              </w:rPr>
            </w:pPr>
            <w:r w:rsidRPr="00363896">
              <w:rPr>
                <w:rFonts w:ascii="Times New Roman" w:eastAsia="Times New Roman" w:hAnsi="Times New Roman"/>
                <w:color w:val="000000"/>
                <w:sz w:val="17"/>
                <w:szCs w:val="17"/>
                <w:lang w:eastAsia="en-AU"/>
              </w:rPr>
              <w:t>Default value (0.25) assumes that the maximum effect of COVID-related social dislocation and unemployment on psychological distress incidence is reached in 3 months</w:t>
            </w:r>
          </w:p>
        </w:tc>
      </w:tr>
      <w:tr w:rsidR="00363896" w:rsidRPr="00363896" w14:paraId="5AB365A8" w14:textId="77777777" w:rsidTr="00363896">
        <w:trPr>
          <w:trHeight w:val="216"/>
        </w:trPr>
        <w:tc>
          <w:tcPr>
            <w:tcW w:w="2120" w:type="dxa"/>
            <w:tcBorders>
              <w:top w:val="nil"/>
              <w:left w:val="nil"/>
              <w:bottom w:val="single" w:sz="4" w:space="0" w:color="auto"/>
              <w:right w:val="nil"/>
            </w:tcBorders>
            <w:shd w:val="clear" w:color="auto" w:fill="auto"/>
            <w:noWrap/>
            <w:vAlign w:val="bottom"/>
            <w:hideMark/>
          </w:tcPr>
          <w:p w14:paraId="137FAAAA" w14:textId="77777777" w:rsidR="00363896" w:rsidRPr="00363896" w:rsidRDefault="00363896" w:rsidP="000417CB">
            <w:pPr>
              <w:spacing w:line="240" w:lineRule="auto"/>
              <w:rPr>
                <w:rFonts w:ascii="Times New Roman" w:eastAsia="Times New Roman" w:hAnsi="Times New Roman"/>
                <w:color w:val="000000"/>
                <w:sz w:val="17"/>
                <w:szCs w:val="17"/>
                <w:lang w:eastAsia="en-AU"/>
              </w:rPr>
            </w:pPr>
            <w:r w:rsidRPr="00363896">
              <w:rPr>
                <w:rFonts w:ascii="Times New Roman" w:eastAsia="Times New Roman" w:hAnsi="Times New Roman"/>
                <w:color w:val="000000"/>
                <w:sz w:val="17"/>
                <w:szCs w:val="17"/>
                <w:lang w:eastAsia="en-AU"/>
              </w:rPr>
              <w:t> </w:t>
            </w:r>
          </w:p>
        </w:tc>
        <w:tc>
          <w:tcPr>
            <w:tcW w:w="1000" w:type="dxa"/>
            <w:tcBorders>
              <w:top w:val="nil"/>
              <w:left w:val="nil"/>
              <w:bottom w:val="single" w:sz="4" w:space="0" w:color="auto"/>
              <w:right w:val="nil"/>
            </w:tcBorders>
            <w:shd w:val="clear" w:color="auto" w:fill="auto"/>
            <w:noWrap/>
            <w:vAlign w:val="bottom"/>
            <w:hideMark/>
          </w:tcPr>
          <w:p w14:paraId="23C2F441" w14:textId="77777777" w:rsidR="00363896" w:rsidRPr="00363896" w:rsidRDefault="00363896" w:rsidP="000417CB">
            <w:pPr>
              <w:spacing w:line="240" w:lineRule="auto"/>
              <w:rPr>
                <w:rFonts w:ascii="Times New Roman" w:eastAsia="Times New Roman" w:hAnsi="Times New Roman"/>
                <w:color w:val="000000"/>
                <w:sz w:val="17"/>
                <w:szCs w:val="17"/>
                <w:lang w:eastAsia="en-AU"/>
              </w:rPr>
            </w:pPr>
            <w:r w:rsidRPr="00363896">
              <w:rPr>
                <w:rFonts w:ascii="Times New Roman" w:eastAsia="Times New Roman" w:hAnsi="Times New Roman"/>
                <w:color w:val="000000"/>
                <w:sz w:val="17"/>
                <w:szCs w:val="17"/>
                <w:lang w:eastAsia="en-AU"/>
              </w:rPr>
              <w:t> </w:t>
            </w:r>
          </w:p>
        </w:tc>
        <w:tc>
          <w:tcPr>
            <w:tcW w:w="5860" w:type="dxa"/>
            <w:tcBorders>
              <w:top w:val="nil"/>
              <w:left w:val="nil"/>
              <w:bottom w:val="single" w:sz="4" w:space="0" w:color="auto"/>
              <w:right w:val="nil"/>
            </w:tcBorders>
            <w:shd w:val="clear" w:color="auto" w:fill="auto"/>
            <w:noWrap/>
            <w:vAlign w:val="bottom"/>
            <w:hideMark/>
          </w:tcPr>
          <w:p w14:paraId="092139CF" w14:textId="77777777" w:rsidR="00363896" w:rsidRPr="00363896" w:rsidRDefault="00363896" w:rsidP="000417CB">
            <w:pPr>
              <w:spacing w:line="240" w:lineRule="auto"/>
              <w:rPr>
                <w:rFonts w:ascii="Times New Roman" w:eastAsia="Times New Roman" w:hAnsi="Times New Roman"/>
                <w:color w:val="000000"/>
                <w:sz w:val="17"/>
                <w:szCs w:val="17"/>
                <w:lang w:eastAsia="en-AU"/>
              </w:rPr>
            </w:pPr>
            <w:r w:rsidRPr="00363896">
              <w:rPr>
                <w:rFonts w:ascii="Times New Roman" w:eastAsia="Times New Roman" w:hAnsi="Times New Roman"/>
                <w:color w:val="000000"/>
                <w:sz w:val="17"/>
                <w:szCs w:val="17"/>
                <w:lang w:eastAsia="en-AU"/>
              </w:rPr>
              <w:t> </w:t>
            </w:r>
          </w:p>
        </w:tc>
      </w:tr>
    </w:tbl>
    <w:p w14:paraId="7D7AAB70" w14:textId="77777777" w:rsidR="005944BE" w:rsidRDefault="005944BE" w:rsidP="000417CB">
      <w:pPr>
        <w:spacing w:line="480" w:lineRule="auto"/>
        <w:rPr>
          <w:rFonts w:ascii="Times New Roman" w:hAnsi="Times New Roman"/>
          <w:sz w:val="20"/>
          <w:szCs w:val="20"/>
        </w:rPr>
      </w:pPr>
    </w:p>
    <w:p w14:paraId="4FE9CA0A" w14:textId="65673B1F" w:rsidR="003F6FAB" w:rsidRDefault="003F6FAB" w:rsidP="000417CB">
      <w:pPr>
        <w:spacing w:line="480" w:lineRule="auto"/>
        <w:rPr>
          <w:rFonts w:ascii="Times New Roman" w:hAnsi="Times New Roman"/>
          <w:sz w:val="20"/>
          <w:szCs w:val="20"/>
        </w:rPr>
      </w:pPr>
      <w:r>
        <w:rPr>
          <w:rFonts w:ascii="Times New Roman" w:hAnsi="Times New Roman"/>
          <w:sz w:val="20"/>
          <w:szCs w:val="20"/>
        </w:rPr>
        <w:t xml:space="preserve">Corcoran, P., Griffin, E., </w:t>
      </w:r>
      <w:proofErr w:type="spellStart"/>
      <w:r>
        <w:rPr>
          <w:rFonts w:ascii="Times New Roman" w:hAnsi="Times New Roman"/>
          <w:sz w:val="20"/>
          <w:szCs w:val="20"/>
        </w:rPr>
        <w:t>Arensman</w:t>
      </w:r>
      <w:proofErr w:type="spellEnd"/>
      <w:r>
        <w:rPr>
          <w:rFonts w:ascii="Times New Roman" w:hAnsi="Times New Roman"/>
          <w:sz w:val="20"/>
          <w:szCs w:val="20"/>
        </w:rPr>
        <w:t>, E., Fitzgerald, A. P., Perry, I. J., 2015.  Impact of the economic recession and subsequent austerity on suicide and self-harm in Ireland: an interrupted time series analysis.  Int. J. Epidemiol. 44, 969</w:t>
      </w:r>
      <w:r w:rsidR="00A2031E">
        <w:rPr>
          <w:rFonts w:ascii="Times New Roman" w:hAnsi="Times New Roman"/>
          <w:sz w:val="20"/>
          <w:szCs w:val="20"/>
        </w:rPr>
        <w:t>−</w:t>
      </w:r>
      <w:r>
        <w:rPr>
          <w:rFonts w:ascii="Times New Roman" w:hAnsi="Times New Roman"/>
          <w:sz w:val="20"/>
          <w:szCs w:val="20"/>
        </w:rPr>
        <w:t>977.</w:t>
      </w:r>
    </w:p>
    <w:p w14:paraId="53DDCAAE" w14:textId="7EB5678C" w:rsidR="00A2031E" w:rsidRDefault="00A2031E" w:rsidP="000417CB">
      <w:pPr>
        <w:spacing w:line="480" w:lineRule="auto"/>
        <w:rPr>
          <w:rFonts w:ascii="Times New Roman" w:hAnsi="Times New Roman"/>
          <w:sz w:val="20"/>
          <w:szCs w:val="20"/>
        </w:rPr>
      </w:pPr>
    </w:p>
    <w:p w14:paraId="45307967" w14:textId="216566F2" w:rsidR="00A2031E" w:rsidRDefault="00A2031E" w:rsidP="000417CB">
      <w:pPr>
        <w:spacing w:line="480" w:lineRule="auto"/>
        <w:rPr>
          <w:rFonts w:ascii="Times New Roman" w:hAnsi="Times New Roman"/>
          <w:sz w:val="20"/>
          <w:szCs w:val="20"/>
        </w:rPr>
      </w:pPr>
      <w:r>
        <w:rPr>
          <w:rFonts w:ascii="Times New Roman" w:hAnsi="Times New Roman"/>
          <w:sz w:val="20"/>
          <w:szCs w:val="20"/>
        </w:rPr>
        <w:t xml:space="preserve">Moreno, C., Wykes, T., </w:t>
      </w:r>
      <w:proofErr w:type="spellStart"/>
      <w:r>
        <w:rPr>
          <w:rFonts w:ascii="Times New Roman" w:hAnsi="Times New Roman"/>
          <w:sz w:val="20"/>
          <w:szCs w:val="20"/>
        </w:rPr>
        <w:t>Galderisi</w:t>
      </w:r>
      <w:proofErr w:type="spellEnd"/>
      <w:r>
        <w:rPr>
          <w:rFonts w:ascii="Times New Roman" w:hAnsi="Times New Roman"/>
          <w:sz w:val="20"/>
          <w:szCs w:val="20"/>
        </w:rPr>
        <w:t xml:space="preserve">, S., </w:t>
      </w:r>
      <w:proofErr w:type="spellStart"/>
      <w:r>
        <w:rPr>
          <w:rFonts w:ascii="Times New Roman" w:hAnsi="Times New Roman"/>
          <w:sz w:val="20"/>
          <w:szCs w:val="20"/>
        </w:rPr>
        <w:t>Nordentoft</w:t>
      </w:r>
      <w:proofErr w:type="spellEnd"/>
      <w:r>
        <w:rPr>
          <w:rFonts w:ascii="Times New Roman" w:hAnsi="Times New Roman"/>
          <w:sz w:val="20"/>
          <w:szCs w:val="20"/>
        </w:rPr>
        <w:t xml:space="preserve">, M., Crossley, N., Jones, N., Cannon, M., </w:t>
      </w:r>
      <w:proofErr w:type="spellStart"/>
      <w:r>
        <w:rPr>
          <w:rFonts w:ascii="Times New Roman" w:hAnsi="Times New Roman"/>
          <w:sz w:val="20"/>
          <w:szCs w:val="20"/>
        </w:rPr>
        <w:t>Correll</w:t>
      </w:r>
      <w:proofErr w:type="spellEnd"/>
      <w:r>
        <w:rPr>
          <w:rFonts w:ascii="Times New Roman" w:hAnsi="Times New Roman"/>
          <w:sz w:val="20"/>
          <w:szCs w:val="20"/>
        </w:rPr>
        <w:t xml:space="preserve">, C. U., Byrne, L., </w:t>
      </w:r>
      <w:proofErr w:type="spellStart"/>
      <w:r>
        <w:rPr>
          <w:rFonts w:ascii="Times New Roman" w:hAnsi="Times New Roman"/>
          <w:sz w:val="20"/>
          <w:szCs w:val="20"/>
        </w:rPr>
        <w:t>Carr</w:t>
      </w:r>
      <w:proofErr w:type="spellEnd"/>
      <w:r>
        <w:rPr>
          <w:rFonts w:ascii="Times New Roman" w:hAnsi="Times New Roman"/>
          <w:sz w:val="20"/>
          <w:szCs w:val="20"/>
        </w:rPr>
        <w:t xml:space="preserve">, S., Chen, E. Y. H., </w:t>
      </w:r>
      <w:proofErr w:type="spellStart"/>
      <w:r>
        <w:rPr>
          <w:rFonts w:ascii="Times New Roman" w:hAnsi="Times New Roman"/>
          <w:sz w:val="20"/>
          <w:szCs w:val="20"/>
        </w:rPr>
        <w:t>Gorwood</w:t>
      </w:r>
      <w:proofErr w:type="spellEnd"/>
      <w:r>
        <w:rPr>
          <w:rFonts w:ascii="Times New Roman" w:hAnsi="Times New Roman"/>
          <w:sz w:val="20"/>
          <w:szCs w:val="20"/>
        </w:rPr>
        <w:t xml:space="preserve">, P., Johnson, S., </w:t>
      </w:r>
      <w:proofErr w:type="spellStart"/>
      <w:r>
        <w:rPr>
          <w:rFonts w:ascii="Times New Roman" w:hAnsi="Times New Roman"/>
          <w:sz w:val="20"/>
          <w:szCs w:val="20"/>
        </w:rPr>
        <w:t>Kärkkäinen</w:t>
      </w:r>
      <w:proofErr w:type="spellEnd"/>
      <w:r>
        <w:rPr>
          <w:rFonts w:ascii="Times New Roman" w:hAnsi="Times New Roman"/>
          <w:sz w:val="20"/>
          <w:szCs w:val="20"/>
        </w:rPr>
        <w:t xml:space="preserve">, H., Krystal, J. H., Lee, J., Lieberman, J., López-Jaramillo, C., </w:t>
      </w:r>
      <w:proofErr w:type="spellStart"/>
      <w:r>
        <w:rPr>
          <w:rFonts w:ascii="Times New Roman" w:hAnsi="Times New Roman"/>
          <w:sz w:val="20"/>
          <w:szCs w:val="20"/>
        </w:rPr>
        <w:t>Männikkö</w:t>
      </w:r>
      <w:proofErr w:type="spellEnd"/>
      <w:r>
        <w:rPr>
          <w:rFonts w:ascii="Times New Roman" w:hAnsi="Times New Roman"/>
          <w:sz w:val="20"/>
          <w:szCs w:val="20"/>
        </w:rPr>
        <w:t>, M., Phillips, M. R., Uchida, H., Vieta, E., Vita, A., Arango, C., 2020.  How mental health care should change as a consequence of the COVID-19 pandemic.  Lancet Psychiatry 7, 813−824.</w:t>
      </w:r>
    </w:p>
    <w:p w14:paraId="4A2B204A" w14:textId="73829092" w:rsidR="00963621" w:rsidRDefault="00963621" w:rsidP="000417CB">
      <w:pPr>
        <w:spacing w:after="160" w:line="259" w:lineRule="auto"/>
        <w:rPr>
          <w:rFonts w:ascii="Times New Roman" w:hAnsi="Times New Roman"/>
          <w:sz w:val="20"/>
          <w:szCs w:val="20"/>
        </w:rPr>
      </w:pPr>
      <w:r>
        <w:rPr>
          <w:rFonts w:ascii="Times New Roman" w:hAnsi="Times New Roman"/>
          <w:sz w:val="20"/>
          <w:szCs w:val="20"/>
        </w:rPr>
        <w:br w:type="page"/>
      </w:r>
    </w:p>
    <w:p w14:paraId="72F11B22" w14:textId="48743377" w:rsidR="00963621" w:rsidRPr="00963621" w:rsidRDefault="00963621" w:rsidP="000417CB">
      <w:pPr>
        <w:spacing w:line="480" w:lineRule="auto"/>
        <w:rPr>
          <w:rFonts w:ascii="Times New Roman" w:hAnsi="Times New Roman"/>
          <w:sz w:val="24"/>
          <w:szCs w:val="24"/>
        </w:rPr>
      </w:pPr>
      <w:r w:rsidRPr="00963621">
        <w:rPr>
          <w:rFonts w:ascii="Times New Roman" w:hAnsi="Times New Roman"/>
          <w:sz w:val="24"/>
          <w:szCs w:val="24"/>
        </w:rPr>
        <w:lastRenderedPageBreak/>
        <w:t>5.  Participatory model development</w:t>
      </w:r>
    </w:p>
    <w:p w14:paraId="3288CDD5" w14:textId="5CB81696" w:rsidR="00963621" w:rsidRDefault="00BC0F8B" w:rsidP="000417CB">
      <w:pPr>
        <w:spacing w:line="480" w:lineRule="auto"/>
        <w:rPr>
          <w:rFonts w:ascii="Times New Roman" w:hAnsi="Times New Roman"/>
          <w:sz w:val="20"/>
          <w:szCs w:val="20"/>
        </w:rPr>
      </w:pPr>
      <w:r>
        <w:rPr>
          <w:rFonts w:ascii="Times New Roman" w:hAnsi="Times New Roman"/>
          <w:sz w:val="20"/>
          <w:szCs w:val="20"/>
        </w:rPr>
        <w:t>Model development was undertaken</w:t>
      </w:r>
      <w:r w:rsidR="00963621" w:rsidRPr="00963621">
        <w:rPr>
          <w:rFonts w:ascii="Times New Roman" w:hAnsi="Times New Roman"/>
          <w:sz w:val="20"/>
          <w:szCs w:val="20"/>
        </w:rPr>
        <w:t xml:space="preserve"> using a participatory modelling approach that involved a range of local and state-level stakeholders, including representatives from state governments, health and social policy agencies, local councils, non-government organisations, the education sector, emergency services, research institutions, community groups, primary care providers, and people with lived experience of suicide (the suicide prevention dynamic modelling consortium). Significant consideration was also given to ensuring there was substantial representation from particular populations that experience health-related vulnerabilities, such as Aboriginal and Torres Strait Islander peoples, LGBTI, people living in rural and remote areas and culturally and linguistically diverse populations.</w:t>
      </w:r>
    </w:p>
    <w:p w14:paraId="3472CF34" w14:textId="77777777" w:rsidR="00963621" w:rsidRPr="00963621" w:rsidRDefault="00963621" w:rsidP="000417CB">
      <w:pPr>
        <w:spacing w:line="480" w:lineRule="auto"/>
        <w:rPr>
          <w:rFonts w:ascii="Times New Roman" w:hAnsi="Times New Roman"/>
          <w:sz w:val="20"/>
          <w:szCs w:val="20"/>
        </w:rPr>
      </w:pPr>
    </w:p>
    <w:p w14:paraId="5553EA65" w14:textId="0E2D24A1" w:rsidR="00963621" w:rsidRDefault="00963621" w:rsidP="000417CB">
      <w:pPr>
        <w:spacing w:line="480" w:lineRule="auto"/>
        <w:rPr>
          <w:rFonts w:ascii="Times New Roman" w:hAnsi="Times New Roman"/>
          <w:sz w:val="20"/>
          <w:szCs w:val="20"/>
        </w:rPr>
      </w:pPr>
      <w:r w:rsidRPr="00963621">
        <w:rPr>
          <w:rFonts w:ascii="Times New Roman" w:hAnsi="Times New Roman"/>
          <w:sz w:val="20"/>
          <w:szCs w:val="20"/>
        </w:rPr>
        <w:t xml:space="preserve">Stakeholder input was elicited through a series of workshops, community consultation and individual interviews, held between July and December in 2019, during which participants identified and mapped the primary pathways to mental health care and suicidal behaviour, the dynamics of service interactions and workforce, and the mechanisms by which a set of stakeholder prioritised interventions influence those dynamics. The detailed map generated in these workshops was used to construct an initial computational model that was expanded and refined through an iterative process of stakeholder review and model revision and analysis (see video: </w:t>
      </w:r>
      <w:hyperlink r:id="rId21" w:history="1">
        <w:r w:rsidRPr="00721FE6">
          <w:rPr>
            <w:rStyle w:val="Hyperlink"/>
            <w:rFonts w:ascii="Times New Roman" w:hAnsi="Times New Roman"/>
            <w:sz w:val="20"/>
            <w:szCs w:val="20"/>
          </w:rPr>
          <w:t>https://www.youtube.com/watch?v=VCMr-7vRQqE&amp;feature=youtube</w:t>
        </w:r>
      </w:hyperlink>
      <w:r>
        <w:rPr>
          <w:rFonts w:ascii="Times New Roman" w:hAnsi="Times New Roman"/>
          <w:sz w:val="20"/>
          <w:szCs w:val="20"/>
        </w:rPr>
        <w:t>)</w:t>
      </w:r>
      <w:r w:rsidRPr="00963621">
        <w:rPr>
          <w:rFonts w:ascii="Times New Roman" w:hAnsi="Times New Roman"/>
          <w:sz w:val="20"/>
          <w:szCs w:val="20"/>
        </w:rPr>
        <w:t>. Model parameter estimates and other numerical inputs were derived from published research articles, publicly available data and unpublished data provided by stakeholders (</w:t>
      </w:r>
      <w:r w:rsidR="004337FD">
        <w:rPr>
          <w:rFonts w:ascii="Times New Roman" w:hAnsi="Times New Roman"/>
          <w:sz w:val="20"/>
          <w:szCs w:val="20"/>
        </w:rPr>
        <w:t>f</w:t>
      </w:r>
      <w:r w:rsidRPr="00963621">
        <w:rPr>
          <w:rFonts w:ascii="Times New Roman" w:hAnsi="Times New Roman"/>
          <w:sz w:val="20"/>
          <w:szCs w:val="20"/>
        </w:rPr>
        <w:t>igure S1</w:t>
      </w:r>
      <w:r w:rsidR="004337FD">
        <w:rPr>
          <w:rFonts w:ascii="Times New Roman" w:hAnsi="Times New Roman"/>
          <w:sz w:val="20"/>
          <w:szCs w:val="20"/>
        </w:rPr>
        <w:t>5</w:t>
      </w:r>
      <w:r w:rsidRPr="00963621">
        <w:rPr>
          <w:rFonts w:ascii="Times New Roman" w:hAnsi="Times New Roman"/>
          <w:sz w:val="20"/>
          <w:szCs w:val="20"/>
        </w:rPr>
        <w:t>). Model construction and analysis were performed using Stella Architect V.1.9.4 (www.iseesystems.com). The model was validated by (</w:t>
      </w:r>
      <w:proofErr w:type="spellStart"/>
      <w:r w:rsidRPr="00963621">
        <w:rPr>
          <w:rFonts w:ascii="Times New Roman" w:hAnsi="Times New Roman"/>
          <w:sz w:val="20"/>
          <w:szCs w:val="20"/>
        </w:rPr>
        <w:t>i</w:t>
      </w:r>
      <w:proofErr w:type="spellEnd"/>
      <w:r w:rsidRPr="00963621">
        <w:rPr>
          <w:rFonts w:ascii="Times New Roman" w:hAnsi="Times New Roman"/>
          <w:sz w:val="20"/>
          <w:szCs w:val="20"/>
        </w:rPr>
        <w:t>) testing whether the model could replicate historic data across a range of key indicators (namely; time series of psychological distress, psychiatric hospitalisations, emergency department (ED) presentations, self-harm hospitalisations, and suicide deaths); and (ii) ensuring face validity of the model structure and performance among diverse system actors.</w:t>
      </w:r>
    </w:p>
    <w:p w14:paraId="2646E2D6" w14:textId="77777777" w:rsidR="00963621" w:rsidRDefault="00963621" w:rsidP="000417CB">
      <w:pPr>
        <w:spacing w:line="480" w:lineRule="auto"/>
        <w:rPr>
          <w:rFonts w:ascii="Times New Roman" w:hAnsi="Times New Roman"/>
          <w:sz w:val="20"/>
          <w:szCs w:val="20"/>
        </w:rPr>
      </w:pPr>
    </w:p>
    <w:p w14:paraId="37C82653" w14:textId="5BFA3817" w:rsidR="00963621" w:rsidRDefault="00963621" w:rsidP="000417CB">
      <w:pPr>
        <w:spacing w:line="480" w:lineRule="auto"/>
        <w:rPr>
          <w:rFonts w:ascii="Times New Roman" w:eastAsia="Calibri" w:hAnsi="Times New Roman"/>
          <w:sz w:val="20"/>
          <w:szCs w:val="20"/>
        </w:rPr>
      </w:pPr>
      <w:r w:rsidRPr="008640D2">
        <w:rPr>
          <w:rFonts w:ascii="Times New Roman" w:eastAsia="Calibri" w:hAnsi="Times New Roman"/>
          <w:sz w:val="20"/>
          <w:szCs w:val="20"/>
        </w:rPr>
        <w:t>An interactive interface was developed (</w:t>
      </w:r>
      <w:r w:rsidR="004337FD">
        <w:rPr>
          <w:rFonts w:ascii="Times New Roman" w:eastAsia="Calibri" w:hAnsi="Times New Roman"/>
          <w:sz w:val="20"/>
          <w:szCs w:val="20"/>
        </w:rPr>
        <w:t>f</w:t>
      </w:r>
      <w:r w:rsidRPr="008640D2">
        <w:rPr>
          <w:rFonts w:ascii="Times New Roman" w:eastAsia="Calibri" w:hAnsi="Times New Roman"/>
          <w:sz w:val="20"/>
          <w:szCs w:val="20"/>
        </w:rPr>
        <w:t xml:space="preserve">igure </w:t>
      </w:r>
      <w:r>
        <w:rPr>
          <w:rFonts w:ascii="Times New Roman" w:eastAsia="Calibri" w:hAnsi="Times New Roman"/>
          <w:sz w:val="20"/>
          <w:szCs w:val="20"/>
        </w:rPr>
        <w:t>S</w:t>
      </w:r>
      <w:r w:rsidR="004337FD">
        <w:rPr>
          <w:rFonts w:ascii="Times New Roman" w:eastAsia="Calibri" w:hAnsi="Times New Roman"/>
          <w:sz w:val="20"/>
          <w:szCs w:val="20"/>
        </w:rPr>
        <w:t>16</w:t>
      </w:r>
      <w:r w:rsidRPr="008640D2">
        <w:rPr>
          <w:rFonts w:ascii="Times New Roman" w:eastAsia="Calibri" w:hAnsi="Times New Roman"/>
          <w:sz w:val="20"/>
          <w:szCs w:val="20"/>
        </w:rPr>
        <w:t xml:space="preserve">) to facilitate direct interaction with the model by allowing the following programs, services and initiatives to be turned on/off, scaled up/down and their implementation parameters to be modified through scenario testing to inform strategic planning: </w:t>
      </w:r>
      <w:bookmarkStart w:id="0" w:name="_Hlk30601573"/>
      <w:r w:rsidRPr="008640D2">
        <w:rPr>
          <w:rFonts w:ascii="Times New Roman" w:eastAsia="Calibri" w:hAnsi="Times New Roman"/>
          <w:sz w:val="20"/>
          <w:szCs w:val="20"/>
        </w:rPr>
        <w:t xml:space="preserve">1) Five specific suicide prevention interventions (post-attempt assertive aftercare, universally applied community support programs (to improve social connectedness), general practitioner training, ED-based safety planning and community-based acute care services); 2) three mental health interventions (community-based mental health education programs, </w:t>
      </w:r>
      <w:r w:rsidRPr="008640D2">
        <w:rPr>
          <w:rFonts w:ascii="Times New Roman" w:eastAsia="Calibri" w:hAnsi="Times New Roman"/>
          <w:sz w:val="20"/>
          <w:szCs w:val="20"/>
        </w:rPr>
        <w:lastRenderedPageBreak/>
        <w:t>family education and support, safe space alternative (i.e. safe haven café); and 3) four services planning interventions (changes to GP mental health services capacity, psychiatrists and allied services capacity, psychiatric hospital care capacity, and CMHC capacity).</w:t>
      </w:r>
      <w:bookmarkEnd w:id="0"/>
      <w:r>
        <w:rPr>
          <w:rFonts w:ascii="Times New Roman" w:eastAsia="Calibri" w:hAnsi="Times New Roman"/>
          <w:sz w:val="20"/>
          <w:szCs w:val="20"/>
        </w:rPr>
        <w:t xml:space="preserve"> </w:t>
      </w:r>
      <w:r w:rsidRPr="00F34DBB">
        <w:rPr>
          <w:rFonts w:ascii="Times New Roman" w:eastAsia="Calibri" w:hAnsi="Times New Roman"/>
          <w:sz w:val="20"/>
          <w:szCs w:val="20"/>
        </w:rPr>
        <w:t>The interface allows stakeholders to compare the impact of scenarios with a baseline (business as usual) scenario, in which existing policies and programs remain in place and current per capita mental health service capacity is maintained until the end of the simulation</w:t>
      </w:r>
      <w:r>
        <w:rPr>
          <w:rFonts w:ascii="Times New Roman" w:eastAsia="Calibri" w:hAnsi="Times New Roman"/>
          <w:sz w:val="20"/>
          <w:szCs w:val="20"/>
        </w:rPr>
        <w:t>.</w:t>
      </w:r>
    </w:p>
    <w:p w14:paraId="2946A253" w14:textId="15CE0712" w:rsidR="004337FD" w:rsidRDefault="004337FD" w:rsidP="000417CB">
      <w:pPr>
        <w:spacing w:line="480" w:lineRule="auto"/>
        <w:rPr>
          <w:rFonts w:ascii="Times New Roman" w:eastAsia="Calibri" w:hAnsi="Times New Roman"/>
          <w:sz w:val="20"/>
          <w:szCs w:val="20"/>
        </w:rPr>
      </w:pPr>
    </w:p>
    <w:p w14:paraId="1BF20ADE" w14:textId="3A3E2B95" w:rsidR="004337FD" w:rsidRDefault="004337FD" w:rsidP="000417CB">
      <w:pPr>
        <w:spacing w:line="480" w:lineRule="auto"/>
        <w:rPr>
          <w:rFonts w:ascii="Times New Roman" w:eastAsia="Calibri" w:hAnsi="Times New Roman"/>
          <w:sz w:val="20"/>
          <w:szCs w:val="20"/>
        </w:rPr>
      </w:pPr>
      <w:r>
        <w:rPr>
          <w:noProof/>
        </w:rPr>
        <w:drawing>
          <wp:inline distT="0" distB="0" distL="0" distR="0" wp14:anchorId="4FDF306E" wp14:editId="32A68B63">
            <wp:extent cx="5731510" cy="3196590"/>
            <wp:effectExtent l="0" t="0" r="254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3196590"/>
                    </a:xfrm>
                    <a:prstGeom prst="rect">
                      <a:avLst/>
                    </a:prstGeom>
                  </pic:spPr>
                </pic:pic>
              </a:graphicData>
            </a:graphic>
          </wp:inline>
        </w:drawing>
      </w:r>
    </w:p>
    <w:p w14:paraId="7E1ACC11" w14:textId="58988BB7" w:rsidR="004337FD" w:rsidRDefault="004337FD" w:rsidP="000417CB">
      <w:pPr>
        <w:spacing w:line="480" w:lineRule="auto"/>
        <w:rPr>
          <w:rFonts w:ascii="Times New Roman" w:eastAsia="Calibri" w:hAnsi="Times New Roman"/>
          <w:sz w:val="20"/>
          <w:szCs w:val="20"/>
        </w:rPr>
      </w:pPr>
      <w:r>
        <w:rPr>
          <w:rFonts w:ascii="Times New Roman" w:eastAsia="Calibri" w:hAnsi="Times New Roman"/>
          <w:sz w:val="20"/>
          <w:szCs w:val="20"/>
        </w:rPr>
        <w:t>Figure S15.  The participatory model building process.</w:t>
      </w:r>
    </w:p>
    <w:p w14:paraId="5ED2A6A2" w14:textId="77777777" w:rsidR="00A52D19" w:rsidRDefault="00A52D19" w:rsidP="000417CB">
      <w:pPr>
        <w:spacing w:line="480" w:lineRule="auto"/>
        <w:rPr>
          <w:rFonts w:ascii="Times New Roman" w:eastAsia="Calibri" w:hAnsi="Times New Roman"/>
          <w:sz w:val="20"/>
          <w:szCs w:val="20"/>
        </w:rPr>
        <w:sectPr w:rsidR="00A52D19" w:rsidSect="005332CC">
          <w:pgSz w:w="11906" w:h="16838" w:code="9"/>
          <w:pgMar w:top="1440" w:right="1440" w:bottom="1440" w:left="1440" w:header="284" w:footer="680" w:gutter="0"/>
          <w:cols w:space="708"/>
          <w:docGrid w:linePitch="360"/>
        </w:sectPr>
      </w:pPr>
    </w:p>
    <w:p w14:paraId="6F34E370" w14:textId="1526A5FC" w:rsidR="004337FD" w:rsidRDefault="00A52D19" w:rsidP="000417CB">
      <w:pPr>
        <w:spacing w:line="480" w:lineRule="auto"/>
        <w:rPr>
          <w:rFonts w:ascii="Times New Roman" w:eastAsia="Calibri" w:hAnsi="Times New Roman"/>
          <w:sz w:val="20"/>
          <w:szCs w:val="20"/>
        </w:rPr>
      </w:pPr>
      <w:r>
        <w:rPr>
          <w:noProof/>
        </w:rPr>
        <w:lastRenderedPageBreak/>
        <w:drawing>
          <wp:inline distT="0" distB="0" distL="0" distR="0" wp14:anchorId="45427E1C" wp14:editId="3D12CBF1">
            <wp:extent cx="8863330" cy="497078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863330" cy="4970780"/>
                    </a:xfrm>
                    <a:prstGeom prst="rect">
                      <a:avLst/>
                    </a:prstGeom>
                  </pic:spPr>
                </pic:pic>
              </a:graphicData>
            </a:graphic>
          </wp:inline>
        </w:drawing>
      </w:r>
    </w:p>
    <w:p w14:paraId="06BA6853" w14:textId="71AA7BA3" w:rsidR="00A52D19" w:rsidRDefault="00A52D19" w:rsidP="000417CB">
      <w:pPr>
        <w:spacing w:line="480" w:lineRule="auto"/>
        <w:rPr>
          <w:rFonts w:ascii="Times New Roman" w:eastAsia="Calibri" w:hAnsi="Times New Roman"/>
          <w:sz w:val="20"/>
          <w:szCs w:val="20"/>
        </w:rPr>
      </w:pPr>
      <w:r>
        <w:rPr>
          <w:rFonts w:ascii="Times New Roman" w:eastAsia="Calibri" w:hAnsi="Times New Roman"/>
          <w:sz w:val="20"/>
          <w:szCs w:val="20"/>
        </w:rPr>
        <w:t>Figure S16.  Interactive model interface.</w:t>
      </w:r>
    </w:p>
    <w:p w14:paraId="3B03F1F0" w14:textId="0FF1ACAE" w:rsidR="00963621" w:rsidRDefault="00963621" w:rsidP="000417CB">
      <w:pPr>
        <w:spacing w:line="480" w:lineRule="auto"/>
        <w:rPr>
          <w:rFonts w:ascii="Times New Roman" w:hAnsi="Times New Roman"/>
          <w:sz w:val="20"/>
          <w:szCs w:val="20"/>
        </w:rPr>
      </w:pPr>
    </w:p>
    <w:p w14:paraId="15DDF654" w14:textId="77777777" w:rsidR="009867EA" w:rsidRDefault="009867EA" w:rsidP="000417CB">
      <w:pPr>
        <w:spacing w:line="480" w:lineRule="auto"/>
        <w:rPr>
          <w:rFonts w:ascii="Times New Roman" w:hAnsi="Times New Roman"/>
          <w:sz w:val="20"/>
          <w:szCs w:val="20"/>
        </w:rPr>
        <w:sectPr w:rsidR="009867EA" w:rsidSect="00A52D19">
          <w:pgSz w:w="16838" w:h="11906" w:orient="landscape" w:code="9"/>
          <w:pgMar w:top="1440" w:right="1440" w:bottom="1440" w:left="1440" w:header="284" w:footer="680" w:gutter="0"/>
          <w:cols w:space="708"/>
          <w:docGrid w:linePitch="360"/>
        </w:sectPr>
      </w:pPr>
    </w:p>
    <w:p w14:paraId="7F3FADC2" w14:textId="6C159DDC" w:rsidR="009867EA" w:rsidRPr="009867EA" w:rsidRDefault="005755FB" w:rsidP="009867EA">
      <w:pPr>
        <w:spacing w:line="480" w:lineRule="auto"/>
        <w:rPr>
          <w:rFonts w:ascii="Times New Roman" w:hAnsi="Times New Roman"/>
          <w:sz w:val="24"/>
          <w:szCs w:val="24"/>
        </w:rPr>
      </w:pPr>
      <w:r>
        <w:rPr>
          <w:rFonts w:ascii="Times New Roman" w:hAnsi="Times New Roman"/>
          <w:sz w:val="24"/>
          <w:szCs w:val="24"/>
        </w:rPr>
        <w:lastRenderedPageBreak/>
        <w:t>6</w:t>
      </w:r>
      <w:r w:rsidR="009867EA" w:rsidRPr="009867EA">
        <w:rPr>
          <w:rFonts w:ascii="Times New Roman" w:hAnsi="Times New Roman"/>
          <w:sz w:val="24"/>
          <w:szCs w:val="24"/>
        </w:rPr>
        <w:t>.  Supplementary results</w:t>
      </w:r>
    </w:p>
    <w:p w14:paraId="20B39486" w14:textId="77777777" w:rsidR="009867EA" w:rsidRDefault="009867EA" w:rsidP="009867EA">
      <w:pPr>
        <w:rPr>
          <w:rFonts w:ascii="Times New Roman" w:hAnsi="Times New Roman"/>
          <w:sz w:val="20"/>
          <w:szCs w:val="20"/>
        </w:rPr>
      </w:pPr>
      <w:r>
        <w:rPr>
          <w:rFonts w:ascii="Times New Roman" w:hAnsi="Times New Roman"/>
          <w:noProof/>
          <w:sz w:val="20"/>
          <w:szCs w:val="20"/>
        </w:rPr>
        <w:drawing>
          <wp:inline distT="0" distB="0" distL="0" distR="0" wp14:anchorId="4F5F5121" wp14:editId="16B82D12">
            <wp:extent cx="8863329" cy="295444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S1-Pareto Front.tif"/>
                    <pic:cNvPicPr/>
                  </pic:nvPicPr>
                  <pic:blipFill>
                    <a:blip r:embed="rId24"/>
                    <a:stretch>
                      <a:fillRect/>
                    </a:stretch>
                  </pic:blipFill>
                  <pic:spPr>
                    <a:xfrm>
                      <a:off x="0" y="0"/>
                      <a:ext cx="8863329" cy="2954443"/>
                    </a:xfrm>
                    <a:prstGeom prst="rect">
                      <a:avLst/>
                    </a:prstGeom>
                  </pic:spPr>
                </pic:pic>
              </a:graphicData>
            </a:graphic>
          </wp:inline>
        </w:drawing>
      </w:r>
    </w:p>
    <w:p w14:paraId="245593CD" w14:textId="77777777" w:rsidR="009867EA" w:rsidRDefault="009867EA" w:rsidP="009867EA">
      <w:pPr>
        <w:rPr>
          <w:rFonts w:ascii="Times New Roman" w:hAnsi="Times New Roman"/>
          <w:sz w:val="20"/>
          <w:szCs w:val="20"/>
        </w:rPr>
      </w:pPr>
    </w:p>
    <w:p w14:paraId="0213DF04" w14:textId="555D914C" w:rsidR="009867EA" w:rsidRDefault="009867EA" w:rsidP="009867EA">
      <w:pPr>
        <w:spacing w:line="480" w:lineRule="auto"/>
        <w:rPr>
          <w:rFonts w:ascii="Times New Roman" w:hAnsi="Times New Roman"/>
          <w:sz w:val="20"/>
          <w:szCs w:val="20"/>
        </w:rPr>
      </w:pPr>
      <w:r>
        <w:rPr>
          <w:rFonts w:ascii="Times New Roman" w:hAnsi="Times New Roman"/>
          <w:sz w:val="20"/>
          <w:szCs w:val="20"/>
        </w:rPr>
        <w:t>Fig. S1</w:t>
      </w:r>
      <w:r w:rsidR="00963621">
        <w:rPr>
          <w:rFonts w:ascii="Times New Roman" w:hAnsi="Times New Roman"/>
          <w:sz w:val="20"/>
          <w:szCs w:val="20"/>
        </w:rPr>
        <w:t>7</w:t>
      </w:r>
      <w:r>
        <w:rPr>
          <w:rFonts w:ascii="Times New Roman" w:hAnsi="Times New Roman"/>
          <w:sz w:val="20"/>
          <w:szCs w:val="20"/>
        </w:rPr>
        <w:t>.  Numbers of suicides, mental health-related emergency department (ED) presentations, and patients disengaging from services for all possible combinations of four interventions selected from the 12 interventions in Table S1.  Results are for the Hunter New England and Central Coast Primary Health Network (HNECC PHN) over the period 2011−2031.  Non-dominated solutions (i.e., combinations of interventions that perform better than all other combinations on at least one outcome) are plotted in red; the solid red points correspond to the optimal solutions for the three outcomes (i.e., the intervention combinations minimising the total numbers of suicides, mental health-related ED presentations, and patients disengaging from services).</w:t>
      </w:r>
    </w:p>
    <w:p w14:paraId="52152585" w14:textId="77777777" w:rsidR="008179A4" w:rsidRDefault="008179A4" w:rsidP="009867EA">
      <w:pPr>
        <w:spacing w:line="480" w:lineRule="auto"/>
        <w:rPr>
          <w:rFonts w:ascii="Times New Roman" w:hAnsi="Times New Roman"/>
          <w:sz w:val="20"/>
          <w:szCs w:val="20"/>
        </w:rPr>
      </w:pPr>
    </w:p>
    <w:p w14:paraId="6DCD571E" w14:textId="77777777" w:rsidR="008179A4" w:rsidRDefault="008179A4" w:rsidP="009867EA">
      <w:pPr>
        <w:spacing w:line="480" w:lineRule="auto"/>
        <w:rPr>
          <w:rFonts w:ascii="Times New Roman" w:hAnsi="Times New Roman"/>
          <w:sz w:val="20"/>
          <w:szCs w:val="20"/>
        </w:rPr>
        <w:sectPr w:rsidR="008179A4" w:rsidSect="009867EA">
          <w:pgSz w:w="16838" w:h="11906" w:orient="landscape" w:code="9"/>
          <w:pgMar w:top="1440" w:right="1440" w:bottom="1440" w:left="1440" w:header="284" w:footer="680" w:gutter="0"/>
          <w:cols w:space="708"/>
          <w:docGrid w:linePitch="360"/>
        </w:sectPr>
      </w:pPr>
    </w:p>
    <w:p w14:paraId="4BEBC341" w14:textId="77777777" w:rsidR="008179A4" w:rsidRDefault="008179A4" w:rsidP="008179A4">
      <w:pPr>
        <w:spacing w:line="480" w:lineRule="auto"/>
        <w:rPr>
          <w:rFonts w:ascii="Times New Roman" w:hAnsi="Times New Roman"/>
          <w:sz w:val="20"/>
          <w:szCs w:val="20"/>
        </w:rPr>
      </w:pPr>
      <w:r>
        <w:rPr>
          <w:rFonts w:ascii="Times New Roman" w:hAnsi="Times New Roman"/>
          <w:noProof/>
          <w:sz w:val="20"/>
          <w:szCs w:val="20"/>
        </w:rPr>
        <w:lastRenderedPageBreak/>
        <w:drawing>
          <wp:inline distT="0" distB="0" distL="0" distR="0" wp14:anchorId="73ED1407" wp14:editId="69263C96">
            <wp:extent cx="5731510" cy="4011930"/>
            <wp:effectExtent l="0" t="0" r="2540" b="762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S2-PHN Solutions (5 int).tif"/>
                    <pic:cNvPicPr/>
                  </pic:nvPicPr>
                  <pic:blipFill>
                    <a:blip r:embed="rId25"/>
                    <a:stretch>
                      <a:fillRect/>
                    </a:stretch>
                  </pic:blipFill>
                  <pic:spPr>
                    <a:xfrm>
                      <a:off x="0" y="0"/>
                      <a:ext cx="5731510" cy="4011930"/>
                    </a:xfrm>
                    <a:prstGeom prst="rect">
                      <a:avLst/>
                    </a:prstGeom>
                  </pic:spPr>
                </pic:pic>
              </a:graphicData>
            </a:graphic>
          </wp:inline>
        </w:drawing>
      </w:r>
    </w:p>
    <w:p w14:paraId="2EAE6889" w14:textId="5569F05A" w:rsidR="008179A4" w:rsidRDefault="008179A4" w:rsidP="008179A4">
      <w:pPr>
        <w:spacing w:line="480" w:lineRule="auto"/>
        <w:rPr>
          <w:rFonts w:ascii="Times New Roman" w:hAnsi="Times New Roman"/>
          <w:sz w:val="20"/>
          <w:szCs w:val="20"/>
        </w:rPr>
      </w:pPr>
      <w:r>
        <w:rPr>
          <w:rFonts w:ascii="Times New Roman" w:hAnsi="Times New Roman"/>
          <w:sz w:val="20"/>
          <w:szCs w:val="20"/>
        </w:rPr>
        <w:t>Fig. S1</w:t>
      </w:r>
      <w:r w:rsidR="00963621">
        <w:rPr>
          <w:rFonts w:ascii="Times New Roman" w:hAnsi="Times New Roman"/>
          <w:sz w:val="20"/>
          <w:szCs w:val="20"/>
        </w:rPr>
        <w:t>8</w:t>
      </w:r>
      <w:r>
        <w:rPr>
          <w:rFonts w:ascii="Times New Roman" w:hAnsi="Times New Roman"/>
          <w:sz w:val="20"/>
          <w:szCs w:val="20"/>
        </w:rPr>
        <w:t>.  Projected reductions (%, relative to the baseline scenario) in total numbers of suicides, mental health-related emergency department (ED) presentations, and patients disengaging from services across the Hunter New England and Central Coast Primary Health Network over the period 2021−2031.  Each intervention scenario (horizontal axis) consists of five interventions selected from the 12 interventions modelled; results are shown for those intervention combinations that perform better than all other combinations on at least one outcome (i.e., non-dominated solutions; see Table S2 for details).  Scenarios are ordered so that the number of suicides prevented decreases from left to right.</w:t>
      </w:r>
    </w:p>
    <w:p w14:paraId="4D2A79D4" w14:textId="515FD76C" w:rsidR="008179A4" w:rsidRDefault="008179A4" w:rsidP="008179A4">
      <w:pPr>
        <w:spacing w:line="480" w:lineRule="auto"/>
        <w:rPr>
          <w:rFonts w:ascii="Times New Roman" w:hAnsi="Times New Roman"/>
          <w:sz w:val="20"/>
          <w:szCs w:val="20"/>
        </w:rPr>
      </w:pPr>
      <w:r>
        <w:rPr>
          <w:rFonts w:ascii="Times New Roman" w:hAnsi="Times New Roman"/>
          <w:sz w:val="20"/>
          <w:szCs w:val="20"/>
        </w:rPr>
        <w:br w:type="page"/>
      </w:r>
    </w:p>
    <w:p w14:paraId="10526D1C" w14:textId="55EF616E" w:rsidR="00A2031E" w:rsidRDefault="008179A4" w:rsidP="00C9211F">
      <w:pPr>
        <w:spacing w:line="480" w:lineRule="auto"/>
        <w:rPr>
          <w:rFonts w:ascii="Times New Roman" w:hAnsi="Times New Roman"/>
          <w:sz w:val="20"/>
          <w:szCs w:val="20"/>
        </w:rPr>
      </w:pPr>
      <w:r>
        <w:rPr>
          <w:rFonts w:ascii="Times New Roman" w:hAnsi="Times New Roman"/>
          <w:sz w:val="20"/>
          <w:szCs w:val="20"/>
        </w:rPr>
        <w:lastRenderedPageBreak/>
        <w:t>Table S4.  Non-dominated solutions for the Hunter New England and Central Coast Primary Health Network (HNECC PHN).  Each solution is a combination of five interventions that performs better than all other combinations on at least one outcome, preventing more suicides, mental health-related emergency department (ED) presentations, and/or disengagement.  Numbers of suicides, mental health-related ED presentations, and patients disengaging across the PHN over the period 2021−2031 are presented for each intervention scenario.</w:t>
      </w:r>
    </w:p>
    <w:tbl>
      <w:tblPr>
        <w:tblW w:w="8820" w:type="dxa"/>
        <w:tblLook w:val="04A0" w:firstRow="1" w:lastRow="0" w:firstColumn="1" w:lastColumn="0" w:noHBand="0" w:noVBand="1"/>
      </w:tblPr>
      <w:tblGrid>
        <w:gridCol w:w="381"/>
        <w:gridCol w:w="4695"/>
        <w:gridCol w:w="380"/>
        <w:gridCol w:w="1160"/>
        <w:gridCol w:w="1160"/>
        <w:gridCol w:w="1212"/>
      </w:tblGrid>
      <w:tr w:rsidR="000B74F9" w:rsidRPr="000B74F9" w14:paraId="1753E165" w14:textId="77777777" w:rsidTr="000B74F9">
        <w:trPr>
          <w:trHeight w:val="396"/>
        </w:trPr>
        <w:tc>
          <w:tcPr>
            <w:tcW w:w="4960" w:type="dxa"/>
            <w:gridSpan w:val="2"/>
            <w:tcBorders>
              <w:top w:val="single" w:sz="4" w:space="0" w:color="auto"/>
              <w:left w:val="nil"/>
              <w:bottom w:val="single" w:sz="4" w:space="0" w:color="auto"/>
              <w:right w:val="nil"/>
            </w:tcBorders>
            <w:shd w:val="clear" w:color="auto" w:fill="auto"/>
            <w:noWrap/>
            <w:vAlign w:val="center"/>
            <w:hideMark/>
          </w:tcPr>
          <w:p w14:paraId="0D6705A8"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Intervention scenario</w:t>
            </w:r>
          </w:p>
        </w:tc>
        <w:tc>
          <w:tcPr>
            <w:tcW w:w="380" w:type="dxa"/>
            <w:tcBorders>
              <w:top w:val="single" w:sz="4" w:space="0" w:color="auto"/>
              <w:left w:val="nil"/>
              <w:bottom w:val="single" w:sz="4" w:space="0" w:color="auto"/>
              <w:right w:val="nil"/>
            </w:tcBorders>
            <w:shd w:val="clear" w:color="auto" w:fill="auto"/>
            <w:noWrap/>
            <w:vAlign w:val="center"/>
            <w:hideMark/>
          </w:tcPr>
          <w:p w14:paraId="4450B33B"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 </w:t>
            </w:r>
          </w:p>
        </w:tc>
        <w:tc>
          <w:tcPr>
            <w:tcW w:w="1160" w:type="dxa"/>
            <w:tcBorders>
              <w:top w:val="single" w:sz="4" w:space="0" w:color="auto"/>
              <w:left w:val="nil"/>
              <w:bottom w:val="single" w:sz="4" w:space="0" w:color="auto"/>
              <w:right w:val="nil"/>
            </w:tcBorders>
            <w:shd w:val="clear" w:color="auto" w:fill="auto"/>
            <w:noWrap/>
            <w:vAlign w:val="center"/>
            <w:hideMark/>
          </w:tcPr>
          <w:p w14:paraId="66F8B6EC"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Suicides</w:t>
            </w:r>
          </w:p>
        </w:tc>
        <w:tc>
          <w:tcPr>
            <w:tcW w:w="1160" w:type="dxa"/>
            <w:tcBorders>
              <w:top w:val="single" w:sz="4" w:space="0" w:color="auto"/>
              <w:left w:val="nil"/>
              <w:bottom w:val="single" w:sz="4" w:space="0" w:color="auto"/>
              <w:right w:val="nil"/>
            </w:tcBorders>
            <w:shd w:val="clear" w:color="auto" w:fill="auto"/>
            <w:noWrap/>
            <w:vAlign w:val="center"/>
            <w:hideMark/>
          </w:tcPr>
          <w:p w14:paraId="6E8E696D"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ED visits</w:t>
            </w:r>
          </w:p>
        </w:tc>
        <w:tc>
          <w:tcPr>
            <w:tcW w:w="1160" w:type="dxa"/>
            <w:tcBorders>
              <w:top w:val="single" w:sz="4" w:space="0" w:color="auto"/>
              <w:left w:val="nil"/>
              <w:bottom w:val="single" w:sz="4" w:space="0" w:color="auto"/>
              <w:right w:val="nil"/>
            </w:tcBorders>
            <w:shd w:val="clear" w:color="auto" w:fill="auto"/>
            <w:noWrap/>
            <w:vAlign w:val="center"/>
            <w:hideMark/>
          </w:tcPr>
          <w:p w14:paraId="686F77CD"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Disengagement</w:t>
            </w:r>
          </w:p>
        </w:tc>
      </w:tr>
      <w:tr w:rsidR="000B74F9" w:rsidRPr="000B74F9" w14:paraId="2C94BC5D" w14:textId="77777777" w:rsidTr="000B74F9">
        <w:trPr>
          <w:trHeight w:val="204"/>
        </w:trPr>
        <w:tc>
          <w:tcPr>
            <w:tcW w:w="265" w:type="dxa"/>
            <w:tcBorders>
              <w:top w:val="nil"/>
              <w:left w:val="nil"/>
              <w:bottom w:val="nil"/>
              <w:right w:val="nil"/>
            </w:tcBorders>
            <w:shd w:val="clear" w:color="auto" w:fill="auto"/>
            <w:noWrap/>
            <w:vAlign w:val="bottom"/>
            <w:hideMark/>
          </w:tcPr>
          <w:p w14:paraId="07FAA514"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p>
        </w:tc>
        <w:tc>
          <w:tcPr>
            <w:tcW w:w="4695" w:type="dxa"/>
            <w:tcBorders>
              <w:top w:val="nil"/>
              <w:left w:val="nil"/>
              <w:bottom w:val="nil"/>
              <w:right w:val="nil"/>
            </w:tcBorders>
            <w:shd w:val="clear" w:color="auto" w:fill="auto"/>
            <w:noWrap/>
            <w:vAlign w:val="bottom"/>
            <w:hideMark/>
          </w:tcPr>
          <w:p w14:paraId="359BAB63" w14:textId="77777777" w:rsidR="000B74F9" w:rsidRPr="000B74F9" w:rsidRDefault="000B74F9" w:rsidP="000B74F9">
            <w:pPr>
              <w:spacing w:line="240" w:lineRule="auto"/>
              <w:rPr>
                <w:rFonts w:ascii="Times New Roman" w:eastAsia="Times New Roman" w:hAnsi="Times New Roman"/>
                <w:color w:val="auto"/>
                <w:sz w:val="20"/>
                <w:szCs w:val="20"/>
                <w:lang w:eastAsia="en-AU"/>
              </w:rPr>
            </w:pPr>
          </w:p>
        </w:tc>
        <w:tc>
          <w:tcPr>
            <w:tcW w:w="380" w:type="dxa"/>
            <w:tcBorders>
              <w:top w:val="nil"/>
              <w:left w:val="nil"/>
              <w:bottom w:val="nil"/>
              <w:right w:val="nil"/>
            </w:tcBorders>
            <w:shd w:val="clear" w:color="auto" w:fill="auto"/>
            <w:noWrap/>
            <w:vAlign w:val="bottom"/>
            <w:hideMark/>
          </w:tcPr>
          <w:p w14:paraId="300AB481" w14:textId="77777777" w:rsidR="000B74F9" w:rsidRPr="000B74F9" w:rsidRDefault="000B74F9" w:rsidP="000B74F9">
            <w:pPr>
              <w:spacing w:line="240" w:lineRule="auto"/>
              <w:rPr>
                <w:rFonts w:ascii="Times New Roman" w:eastAsia="Times New Roman" w:hAnsi="Times New Roman"/>
                <w:color w:val="auto"/>
                <w:sz w:val="20"/>
                <w:szCs w:val="20"/>
                <w:lang w:eastAsia="en-AU"/>
              </w:rPr>
            </w:pPr>
          </w:p>
        </w:tc>
        <w:tc>
          <w:tcPr>
            <w:tcW w:w="1160" w:type="dxa"/>
            <w:tcBorders>
              <w:top w:val="nil"/>
              <w:left w:val="nil"/>
              <w:bottom w:val="nil"/>
              <w:right w:val="nil"/>
            </w:tcBorders>
            <w:shd w:val="clear" w:color="auto" w:fill="auto"/>
            <w:noWrap/>
            <w:vAlign w:val="bottom"/>
            <w:hideMark/>
          </w:tcPr>
          <w:p w14:paraId="25BB93E7" w14:textId="77777777" w:rsidR="000B74F9" w:rsidRPr="000B74F9" w:rsidRDefault="000B74F9" w:rsidP="000B74F9">
            <w:pPr>
              <w:spacing w:line="240" w:lineRule="auto"/>
              <w:rPr>
                <w:rFonts w:ascii="Times New Roman" w:eastAsia="Times New Roman" w:hAnsi="Times New Roman"/>
                <w:color w:val="auto"/>
                <w:sz w:val="20"/>
                <w:szCs w:val="20"/>
                <w:lang w:eastAsia="en-AU"/>
              </w:rPr>
            </w:pPr>
          </w:p>
        </w:tc>
        <w:tc>
          <w:tcPr>
            <w:tcW w:w="1160" w:type="dxa"/>
            <w:tcBorders>
              <w:top w:val="nil"/>
              <w:left w:val="nil"/>
              <w:bottom w:val="nil"/>
              <w:right w:val="nil"/>
            </w:tcBorders>
            <w:shd w:val="clear" w:color="auto" w:fill="auto"/>
            <w:noWrap/>
            <w:vAlign w:val="bottom"/>
            <w:hideMark/>
          </w:tcPr>
          <w:p w14:paraId="2825D2FF" w14:textId="77777777" w:rsidR="000B74F9" w:rsidRPr="000B74F9" w:rsidRDefault="000B74F9" w:rsidP="000B74F9">
            <w:pPr>
              <w:spacing w:line="240" w:lineRule="auto"/>
              <w:rPr>
                <w:rFonts w:ascii="Times New Roman" w:eastAsia="Times New Roman" w:hAnsi="Times New Roman"/>
                <w:color w:val="auto"/>
                <w:sz w:val="20"/>
                <w:szCs w:val="20"/>
                <w:lang w:eastAsia="en-AU"/>
              </w:rPr>
            </w:pPr>
          </w:p>
        </w:tc>
        <w:tc>
          <w:tcPr>
            <w:tcW w:w="1160" w:type="dxa"/>
            <w:tcBorders>
              <w:top w:val="nil"/>
              <w:left w:val="nil"/>
              <w:bottom w:val="nil"/>
              <w:right w:val="nil"/>
            </w:tcBorders>
            <w:shd w:val="clear" w:color="auto" w:fill="auto"/>
            <w:noWrap/>
            <w:vAlign w:val="bottom"/>
            <w:hideMark/>
          </w:tcPr>
          <w:p w14:paraId="4E1C3E74" w14:textId="77777777" w:rsidR="000B74F9" w:rsidRPr="000B74F9" w:rsidRDefault="000B74F9" w:rsidP="000B74F9">
            <w:pPr>
              <w:spacing w:line="240" w:lineRule="auto"/>
              <w:rPr>
                <w:rFonts w:ascii="Times New Roman" w:eastAsia="Times New Roman" w:hAnsi="Times New Roman"/>
                <w:color w:val="auto"/>
                <w:sz w:val="20"/>
                <w:szCs w:val="20"/>
                <w:lang w:eastAsia="en-AU"/>
              </w:rPr>
            </w:pPr>
          </w:p>
        </w:tc>
      </w:tr>
      <w:tr w:rsidR="000B74F9" w:rsidRPr="000B74F9" w14:paraId="203532F8" w14:textId="77777777" w:rsidTr="000B74F9">
        <w:trPr>
          <w:trHeight w:val="204"/>
        </w:trPr>
        <w:tc>
          <w:tcPr>
            <w:tcW w:w="265" w:type="dxa"/>
            <w:tcBorders>
              <w:top w:val="nil"/>
              <w:left w:val="nil"/>
              <w:bottom w:val="nil"/>
              <w:right w:val="nil"/>
            </w:tcBorders>
            <w:shd w:val="clear" w:color="000000" w:fill="F2F2F2"/>
            <w:noWrap/>
            <w:hideMark/>
          </w:tcPr>
          <w:p w14:paraId="610AF58E"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0.</w:t>
            </w:r>
          </w:p>
        </w:tc>
        <w:tc>
          <w:tcPr>
            <w:tcW w:w="4695" w:type="dxa"/>
            <w:tcBorders>
              <w:top w:val="nil"/>
              <w:left w:val="nil"/>
              <w:bottom w:val="nil"/>
              <w:right w:val="nil"/>
            </w:tcBorders>
            <w:shd w:val="clear" w:color="000000" w:fill="F2F2F2"/>
            <w:noWrap/>
            <w:hideMark/>
          </w:tcPr>
          <w:p w14:paraId="7C7B2425"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Business as usual (no interventions)</w:t>
            </w:r>
          </w:p>
        </w:tc>
        <w:tc>
          <w:tcPr>
            <w:tcW w:w="380" w:type="dxa"/>
            <w:tcBorders>
              <w:top w:val="nil"/>
              <w:left w:val="nil"/>
              <w:bottom w:val="nil"/>
              <w:right w:val="nil"/>
            </w:tcBorders>
            <w:shd w:val="clear" w:color="000000" w:fill="F2F2F2"/>
            <w:noWrap/>
            <w:hideMark/>
          </w:tcPr>
          <w:p w14:paraId="1B269E4C"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 </w:t>
            </w:r>
          </w:p>
        </w:tc>
        <w:tc>
          <w:tcPr>
            <w:tcW w:w="1160" w:type="dxa"/>
            <w:tcBorders>
              <w:top w:val="nil"/>
              <w:left w:val="nil"/>
              <w:bottom w:val="nil"/>
              <w:right w:val="nil"/>
            </w:tcBorders>
            <w:shd w:val="clear" w:color="000000" w:fill="F2F2F2"/>
            <w:noWrap/>
            <w:hideMark/>
          </w:tcPr>
          <w:p w14:paraId="33939104"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2041.4</w:t>
            </w:r>
          </w:p>
        </w:tc>
        <w:tc>
          <w:tcPr>
            <w:tcW w:w="1160" w:type="dxa"/>
            <w:tcBorders>
              <w:top w:val="nil"/>
              <w:left w:val="nil"/>
              <w:bottom w:val="nil"/>
              <w:right w:val="nil"/>
            </w:tcBorders>
            <w:shd w:val="clear" w:color="000000" w:fill="F2F2F2"/>
            <w:noWrap/>
            <w:hideMark/>
          </w:tcPr>
          <w:p w14:paraId="3F2F2444"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184900.7</w:t>
            </w:r>
          </w:p>
        </w:tc>
        <w:tc>
          <w:tcPr>
            <w:tcW w:w="1160" w:type="dxa"/>
            <w:tcBorders>
              <w:top w:val="nil"/>
              <w:left w:val="nil"/>
              <w:bottom w:val="nil"/>
              <w:right w:val="nil"/>
            </w:tcBorders>
            <w:shd w:val="clear" w:color="000000" w:fill="F2F2F2"/>
            <w:noWrap/>
            <w:hideMark/>
          </w:tcPr>
          <w:p w14:paraId="0E8F0811"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637016.3</w:t>
            </w:r>
          </w:p>
        </w:tc>
      </w:tr>
      <w:tr w:rsidR="000B74F9" w:rsidRPr="000B74F9" w14:paraId="1AD4CA47" w14:textId="77777777" w:rsidTr="000B74F9">
        <w:trPr>
          <w:trHeight w:val="408"/>
        </w:trPr>
        <w:tc>
          <w:tcPr>
            <w:tcW w:w="265" w:type="dxa"/>
            <w:tcBorders>
              <w:top w:val="nil"/>
              <w:left w:val="nil"/>
              <w:bottom w:val="nil"/>
              <w:right w:val="nil"/>
            </w:tcBorders>
            <w:shd w:val="clear" w:color="auto" w:fill="auto"/>
            <w:noWrap/>
            <w:hideMark/>
          </w:tcPr>
          <w:p w14:paraId="33F10FD0"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a.</w:t>
            </w:r>
          </w:p>
        </w:tc>
        <w:tc>
          <w:tcPr>
            <w:tcW w:w="4695" w:type="dxa"/>
            <w:tcBorders>
              <w:top w:val="nil"/>
              <w:left w:val="nil"/>
              <w:bottom w:val="nil"/>
              <w:right w:val="nil"/>
            </w:tcBorders>
            <w:shd w:val="clear" w:color="auto" w:fill="auto"/>
            <w:hideMark/>
          </w:tcPr>
          <w:p w14:paraId="41F86F7C"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Acute care services, family psychoeducation, post-attempt care, safety planning, social connectedness</w:t>
            </w:r>
          </w:p>
        </w:tc>
        <w:tc>
          <w:tcPr>
            <w:tcW w:w="380" w:type="dxa"/>
            <w:tcBorders>
              <w:top w:val="nil"/>
              <w:left w:val="nil"/>
              <w:bottom w:val="nil"/>
              <w:right w:val="nil"/>
            </w:tcBorders>
            <w:shd w:val="clear" w:color="auto" w:fill="auto"/>
            <w:hideMark/>
          </w:tcPr>
          <w:p w14:paraId="72D9C87A"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p>
        </w:tc>
        <w:tc>
          <w:tcPr>
            <w:tcW w:w="1160" w:type="dxa"/>
            <w:tcBorders>
              <w:top w:val="nil"/>
              <w:left w:val="nil"/>
              <w:bottom w:val="nil"/>
              <w:right w:val="nil"/>
            </w:tcBorders>
            <w:shd w:val="clear" w:color="auto" w:fill="auto"/>
            <w:noWrap/>
            <w:hideMark/>
          </w:tcPr>
          <w:p w14:paraId="27ECE7C2"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1719.9</w:t>
            </w:r>
          </w:p>
        </w:tc>
        <w:tc>
          <w:tcPr>
            <w:tcW w:w="1160" w:type="dxa"/>
            <w:tcBorders>
              <w:top w:val="nil"/>
              <w:left w:val="nil"/>
              <w:bottom w:val="nil"/>
              <w:right w:val="nil"/>
            </w:tcBorders>
            <w:shd w:val="clear" w:color="auto" w:fill="auto"/>
            <w:noWrap/>
            <w:hideMark/>
          </w:tcPr>
          <w:p w14:paraId="4683C5A2"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159650.3</w:t>
            </w:r>
          </w:p>
        </w:tc>
        <w:tc>
          <w:tcPr>
            <w:tcW w:w="1160" w:type="dxa"/>
            <w:tcBorders>
              <w:top w:val="nil"/>
              <w:left w:val="nil"/>
              <w:bottom w:val="nil"/>
              <w:right w:val="nil"/>
            </w:tcBorders>
            <w:shd w:val="clear" w:color="auto" w:fill="auto"/>
            <w:noWrap/>
            <w:hideMark/>
          </w:tcPr>
          <w:p w14:paraId="4841AE9E"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580653.3</w:t>
            </w:r>
          </w:p>
        </w:tc>
      </w:tr>
      <w:tr w:rsidR="000B74F9" w:rsidRPr="000B74F9" w14:paraId="2291E667" w14:textId="77777777" w:rsidTr="000B74F9">
        <w:trPr>
          <w:trHeight w:val="408"/>
        </w:trPr>
        <w:tc>
          <w:tcPr>
            <w:tcW w:w="265" w:type="dxa"/>
            <w:tcBorders>
              <w:top w:val="nil"/>
              <w:left w:val="nil"/>
              <w:bottom w:val="nil"/>
              <w:right w:val="nil"/>
            </w:tcBorders>
            <w:shd w:val="clear" w:color="000000" w:fill="F2F2F2"/>
            <w:noWrap/>
            <w:hideMark/>
          </w:tcPr>
          <w:p w14:paraId="7060C854"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b.</w:t>
            </w:r>
          </w:p>
        </w:tc>
        <w:tc>
          <w:tcPr>
            <w:tcW w:w="4695" w:type="dxa"/>
            <w:tcBorders>
              <w:top w:val="nil"/>
              <w:left w:val="nil"/>
              <w:bottom w:val="nil"/>
              <w:right w:val="nil"/>
            </w:tcBorders>
            <w:shd w:val="clear" w:color="000000" w:fill="F2F2F2"/>
            <w:hideMark/>
          </w:tcPr>
          <w:p w14:paraId="4BF223BE"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Family psychoeducation, post-attempt care, safety planning, safe space services, social connectedness</w:t>
            </w:r>
          </w:p>
        </w:tc>
        <w:tc>
          <w:tcPr>
            <w:tcW w:w="380" w:type="dxa"/>
            <w:tcBorders>
              <w:top w:val="nil"/>
              <w:left w:val="nil"/>
              <w:bottom w:val="nil"/>
              <w:right w:val="nil"/>
            </w:tcBorders>
            <w:shd w:val="clear" w:color="000000" w:fill="F2F2F2"/>
            <w:hideMark/>
          </w:tcPr>
          <w:p w14:paraId="23521926"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 </w:t>
            </w:r>
          </w:p>
        </w:tc>
        <w:tc>
          <w:tcPr>
            <w:tcW w:w="1160" w:type="dxa"/>
            <w:tcBorders>
              <w:top w:val="nil"/>
              <w:left w:val="nil"/>
              <w:bottom w:val="nil"/>
              <w:right w:val="nil"/>
            </w:tcBorders>
            <w:shd w:val="clear" w:color="000000" w:fill="F2F2F2"/>
            <w:noWrap/>
            <w:hideMark/>
          </w:tcPr>
          <w:p w14:paraId="1F9B9A94"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1730.6</w:t>
            </w:r>
          </w:p>
        </w:tc>
        <w:tc>
          <w:tcPr>
            <w:tcW w:w="1160" w:type="dxa"/>
            <w:tcBorders>
              <w:top w:val="nil"/>
              <w:left w:val="nil"/>
              <w:bottom w:val="nil"/>
              <w:right w:val="nil"/>
            </w:tcBorders>
            <w:shd w:val="clear" w:color="000000" w:fill="F2F2F2"/>
            <w:noWrap/>
            <w:hideMark/>
          </w:tcPr>
          <w:p w14:paraId="2F85D617"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163167.8</w:t>
            </w:r>
          </w:p>
        </w:tc>
        <w:tc>
          <w:tcPr>
            <w:tcW w:w="1160" w:type="dxa"/>
            <w:tcBorders>
              <w:top w:val="nil"/>
              <w:left w:val="nil"/>
              <w:bottom w:val="nil"/>
              <w:right w:val="nil"/>
            </w:tcBorders>
            <w:shd w:val="clear" w:color="000000" w:fill="F2F2F2"/>
            <w:noWrap/>
            <w:hideMark/>
          </w:tcPr>
          <w:p w14:paraId="3C72FE48"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580339.3</w:t>
            </w:r>
          </w:p>
        </w:tc>
      </w:tr>
      <w:tr w:rsidR="000B74F9" w:rsidRPr="000B74F9" w14:paraId="7AB363C1" w14:textId="77777777" w:rsidTr="000B74F9">
        <w:trPr>
          <w:trHeight w:val="408"/>
        </w:trPr>
        <w:tc>
          <w:tcPr>
            <w:tcW w:w="265" w:type="dxa"/>
            <w:tcBorders>
              <w:top w:val="nil"/>
              <w:left w:val="nil"/>
              <w:bottom w:val="nil"/>
              <w:right w:val="nil"/>
            </w:tcBorders>
            <w:shd w:val="clear" w:color="auto" w:fill="auto"/>
            <w:noWrap/>
            <w:hideMark/>
          </w:tcPr>
          <w:p w14:paraId="5240B384"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c.</w:t>
            </w:r>
          </w:p>
        </w:tc>
        <w:tc>
          <w:tcPr>
            <w:tcW w:w="4695" w:type="dxa"/>
            <w:tcBorders>
              <w:top w:val="nil"/>
              <w:left w:val="nil"/>
              <w:bottom w:val="nil"/>
              <w:right w:val="nil"/>
            </w:tcBorders>
            <w:shd w:val="clear" w:color="auto" w:fill="auto"/>
            <w:hideMark/>
          </w:tcPr>
          <w:p w14:paraId="1733AE57"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Acute care services, family psychoeducation, post-attempt care, safety planning, CMHC services capacity increase</w:t>
            </w:r>
          </w:p>
        </w:tc>
        <w:tc>
          <w:tcPr>
            <w:tcW w:w="380" w:type="dxa"/>
            <w:tcBorders>
              <w:top w:val="nil"/>
              <w:left w:val="nil"/>
              <w:bottom w:val="nil"/>
              <w:right w:val="nil"/>
            </w:tcBorders>
            <w:shd w:val="clear" w:color="auto" w:fill="auto"/>
            <w:hideMark/>
          </w:tcPr>
          <w:p w14:paraId="34B3FBD9"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p>
        </w:tc>
        <w:tc>
          <w:tcPr>
            <w:tcW w:w="1160" w:type="dxa"/>
            <w:tcBorders>
              <w:top w:val="nil"/>
              <w:left w:val="nil"/>
              <w:bottom w:val="nil"/>
              <w:right w:val="nil"/>
            </w:tcBorders>
            <w:shd w:val="clear" w:color="auto" w:fill="auto"/>
            <w:noWrap/>
            <w:hideMark/>
          </w:tcPr>
          <w:p w14:paraId="77D18F2B"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1730.9</w:t>
            </w:r>
          </w:p>
        </w:tc>
        <w:tc>
          <w:tcPr>
            <w:tcW w:w="1160" w:type="dxa"/>
            <w:tcBorders>
              <w:top w:val="nil"/>
              <w:left w:val="nil"/>
              <w:bottom w:val="nil"/>
              <w:right w:val="nil"/>
            </w:tcBorders>
            <w:shd w:val="clear" w:color="auto" w:fill="auto"/>
            <w:noWrap/>
            <w:hideMark/>
          </w:tcPr>
          <w:p w14:paraId="3D6E4E92"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159249.8</w:t>
            </w:r>
          </w:p>
        </w:tc>
        <w:tc>
          <w:tcPr>
            <w:tcW w:w="1160" w:type="dxa"/>
            <w:tcBorders>
              <w:top w:val="nil"/>
              <w:left w:val="nil"/>
              <w:bottom w:val="nil"/>
              <w:right w:val="nil"/>
            </w:tcBorders>
            <w:shd w:val="clear" w:color="auto" w:fill="auto"/>
            <w:noWrap/>
            <w:hideMark/>
          </w:tcPr>
          <w:p w14:paraId="4BC90AE2"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575148.3</w:t>
            </w:r>
          </w:p>
        </w:tc>
      </w:tr>
      <w:tr w:rsidR="000B74F9" w:rsidRPr="000B74F9" w14:paraId="749A16E5" w14:textId="77777777" w:rsidTr="000B74F9">
        <w:trPr>
          <w:trHeight w:val="408"/>
        </w:trPr>
        <w:tc>
          <w:tcPr>
            <w:tcW w:w="265" w:type="dxa"/>
            <w:tcBorders>
              <w:top w:val="nil"/>
              <w:left w:val="nil"/>
              <w:bottom w:val="nil"/>
              <w:right w:val="nil"/>
            </w:tcBorders>
            <w:shd w:val="clear" w:color="000000" w:fill="F2F2F2"/>
            <w:noWrap/>
            <w:hideMark/>
          </w:tcPr>
          <w:p w14:paraId="4F06D348"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d.</w:t>
            </w:r>
          </w:p>
        </w:tc>
        <w:tc>
          <w:tcPr>
            <w:tcW w:w="4695" w:type="dxa"/>
            <w:tcBorders>
              <w:top w:val="nil"/>
              <w:left w:val="nil"/>
              <w:bottom w:val="nil"/>
              <w:right w:val="nil"/>
            </w:tcBorders>
            <w:shd w:val="clear" w:color="000000" w:fill="F2F2F2"/>
            <w:hideMark/>
          </w:tcPr>
          <w:p w14:paraId="53E447D9"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Family psychoeducation, post-attempt care, safety planning, social connectedness, CMHC services capacity increase</w:t>
            </w:r>
          </w:p>
        </w:tc>
        <w:tc>
          <w:tcPr>
            <w:tcW w:w="380" w:type="dxa"/>
            <w:tcBorders>
              <w:top w:val="nil"/>
              <w:left w:val="nil"/>
              <w:bottom w:val="nil"/>
              <w:right w:val="nil"/>
            </w:tcBorders>
            <w:shd w:val="clear" w:color="000000" w:fill="F2F2F2"/>
            <w:hideMark/>
          </w:tcPr>
          <w:p w14:paraId="77A52FBD"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 </w:t>
            </w:r>
          </w:p>
        </w:tc>
        <w:tc>
          <w:tcPr>
            <w:tcW w:w="1160" w:type="dxa"/>
            <w:tcBorders>
              <w:top w:val="nil"/>
              <w:left w:val="nil"/>
              <w:bottom w:val="nil"/>
              <w:right w:val="nil"/>
            </w:tcBorders>
            <w:shd w:val="clear" w:color="000000" w:fill="F2F2F2"/>
            <w:noWrap/>
            <w:hideMark/>
          </w:tcPr>
          <w:p w14:paraId="172552AF"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1731.3</w:t>
            </w:r>
          </w:p>
        </w:tc>
        <w:tc>
          <w:tcPr>
            <w:tcW w:w="1160" w:type="dxa"/>
            <w:tcBorders>
              <w:top w:val="nil"/>
              <w:left w:val="nil"/>
              <w:bottom w:val="nil"/>
              <w:right w:val="nil"/>
            </w:tcBorders>
            <w:shd w:val="clear" w:color="000000" w:fill="F2F2F2"/>
            <w:noWrap/>
            <w:hideMark/>
          </w:tcPr>
          <w:p w14:paraId="0DE1C225"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164944.1</w:t>
            </w:r>
          </w:p>
        </w:tc>
        <w:tc>
          <w:tcPr>
            <w:tcW w:w="1160" w:type="dxa"/>
            <w:tcBorders>
              <w:top w:val="nil"/>
              <w:left w:val="nil"/>
              <w:bottom w:val="nil"/>
              <w:right w:val="nil"/>
            </w:tcBorders>
            <w:shd w:val="clear" w:color="000000" w:fill="F2F2F2"/>
            <w:noWrap/>
            <w:hideMark/>
          </w:tcPr>
          <w:p w14:paraId="28E1AC42"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570046.3</w:t>
            </w:r>
          </w:p>
        </w:tc>
      </w:tr>
      <w:tr w:rsidR="000B74F9" w:rsidRPr="000B74F9" w14:paraId="4165A462" w14:textId="77777777" w:rsidTr="000B74F9">
        <w:trPr>
          <w:trHeight w:val="408"/>
        </w:trPr>
        <w:tc>
          <w:tcPr>
            <w:tcW w:w="265" w:type="dxa"/>
            <w:tcBorders>
              <w:top w:val="nil"/>
              <w:left w:val="nil"/>
              <w:bottom w:val="nil"/>
              <w:right w:val="nil"/>
            </w:tcBorders>
            <w:shd w:val="clear" w:color="auto" w:fill="auto"/>
            <w:noWrap/>
            <w:hideMark/>
          </w:tcPr>
          <w:p w14:paraId="566D54DD"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e.</w:t>
            </w:r>
          </w:p>
        </w:tc>
        <w:tc>
          <w:tcPr>
            <w:tcW w:w="4695" w:type="dxa"/>
            <w:tcBorders>
              <w:top w:val="nil"/>
              <w:left w:val="nil"/>
              <w:bottom w:val="nil"/>
              <w:right w:val="nil"/>
            </w:tcBorders>
            <w:shd w:val="clear" w:color="auto" w:fill="auto"/>
            <w:hideMark/>
          </w:tcPr>
          <w:p w14:paraId="3B5D7DEC"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Acute care services, family psychoeducation, post-attempt care, safety planning, GP services capacity increase</w:t>
            </w:r>
          </w:p>
        </w:tc>
        <w:tc>
          <w:tcPr>
            <w:tcW w:w="380" w:type="dxa"/>
            <w:tcBorders>
              <w:top w:val="nil"/>
              <w:left w:val="nil"/>
              <w:bottom w:val="nil"/>
              <w:right w:val="nil"/>
            </w:tcBorders>
            <w:shd w:val="clear" w:color="auto" w:fill="auto"/>
            <w:hideMark/>
          </w:tcPr>
          <w:p w14:paraId="0CB4A632"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p>
        </w:tc>
        <w:tc>
          <w:tcPr>
            <w:tcW w:w="1160" w:type="dxa"/>
            <w:tcBorders>
              <w:top w:val="nil"/>
              <w:left w:val="nil"/>
              <w:bottom w:val="nil"/>
              <w:right w:val="nil"/>
            </w:tcBorders>
            <w:shd w:val="clear" w:color="auto" w:fill="auto"/>
            <w:noWrap/>
            <w:hideMark/>
          </w:tcPr>
          <w:p w14:paraId="09588F61"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1731.4</w:t>
            </w:r>
          </w:p>
        </w:tc>
        <w:tc>
          <w:tcPr>
            <w:tcW w:w="1160" w:type="dxa"/>
            <w:tcBorders>
              <w:top w:val="nil"/>
              <w:left w:val="nil"/>
              <w:bottom w:val="nil"/>
              <w:right w:val="nil"/>
            </w:tcBorders>
            <w:shd w:val="clear" w:color="auto" w:fill="auto"/>
            <w:noWrap/>
            <w:hideMark/>
          </w:tcPr>
          <w:p w14:paraId="25812D18"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159068.3</w:t>
            </w:r>
          </w:p>
        </w:tc>
        <w:tc>
          <w:tcPr>
            <w:tcW w:w="1160" w:type="dxa"/>
            <w:tcBorders>
              <w:top w:val="nil"/>
              <w:left w:val="nil"/>
              <w:bottom w:val="nil"/>
              <w:right w:val="nil"/>
            </w:tcBorders>
            <w:shd w:val="clear" w:color="auto" w:fill="auto"/>
            <w:noWrap/>
            <w:hideMark/>
          </w:tcPr>
          <w:p w14:paraId="67ABB5AD"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579988.3</w:t>
            </w:r>
          </w:p>
        </w:tc>
      </w:tr>
      <w:tr w:rsidR="000B74F9" w:rsidRPr="000B74F9" w14:paraId="3D24282C" w14:textId="77777777" w:rsidTr="000B74F9">
        <w:trPr>
          <w:trHeight w:val="408"/>
        </w:trPr>
        <w:tc>
          <w:tcPr>
            <w:tcW w:w="265" w:type="dxa"/>
            <w:tcBorders>
              <w:top w:val="nil"/>
              <w:left w:val="nil"/>
              <w:bottom w:val="nil"/>
              <w:right w:val="nil"/>
            </w:tcBorders>
            <w:shd w:val="clear" w:color="000000" w:fill="F2F2F2"/>
            <w:noWrap/>
            <w:hideMark/>
          </w:tcPr>
          <w:p w14:paraId="73602B13"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f.</w:t>
            </w:r>
          </w:p>
        </w:tc>
        <w:tc>
          <w:tcPr>
            <w:tcW w:w="4695" w:type="dxa"/>
            <w:tcBorders>
              <w:top w:val="nil"/>
              <w:left w:val="nil"/>
              <w:bottom w:val="nil"/>
              <w:right w:val="nil"/>
            </w:tcBorders>
            <w:shd w:val="clear" w:color="000000" w:fill="F2F2F2"/>
            <w:hideMark/>
          </w:tcPr>
          <w:p w14:paraId="4B61722F"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Family psychoeducation, post-attempt care, safety planning, social connectedness, GP services capacity increase</w:t>
            </w:r>
          </w:p>
        </w:tc>
        <w:tc>
          <w:tcPr>
            <w:tcW w:w="380" w:type="dxa"/>
            <w:tcBorders>
              <w:top w:val="nil"/>
              <w:left w:val="nil"/>
              <w:bottom w:val="nil"/>
              <w:right w:val="nil"/>
            </w:tcBorders>
            <w:shd w:val="clear" w:color="000000" w:fill="F2F2F2"/>
            <w:hideMark/>
          </w:tcPr>
          <w:p w14:paraId="74665FB2"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 </w:t>
            </w:r>
          </w:p>
        </w:tc>
        <w:tc>
          <w:tcPr>
            <w:tcW w:w="1160" w:type="dxa"/>
            <w:tcBorders>
              <w:top w:val="nil"/>
              <w:left w:val="nil"/>
              <w:bottom w:val="nil"/>
              <w:right w:val="nil"/>
            </w:tcBorders>
            <w:shd w:val="clear" w:color="000000" w:fill="F2F2F2"/>
            <w:noWrap/>
            <w:hideMark/>
          </w:tcPr>
          <w:p w14:paraId="16721BB7"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1732</w:t>
            </w:r>
          </w:p>
        </w:tc>
        <w:tc>
          <w:tcPr>
            <w:tcW w:w="1160" w:type="dxa"/>
            <w:tcBorders>
              <w:top w:val="nil"/>
              <w:left w:val="nil"/>
              <w:bottom w:val="nil"/>
              <w:right w:val="nil"/>
            </w:tcBorders>
            <w:shd w:val="clear" w:color="000000" w:fill="F2F2F2"/>
            <w:noWrap/>
            <w:hideMark/>
          </w:tcPr>
          <w:p w14:paraId="329DEC43"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164795</w:t>
            </w:r>
          </w:p>
        </w:tc>
        <w:tc>
          <w:tcPr>
            <w:tcW w:w="1160" w:type="dxa"/>
            <w:tcBorders>
              <w:top w:val="nil"/>
              <w:left w:val="nil"/>
              <w:bottom w:val="nil"/>
              <w:right w:val="nil"/>
            </w:tcBorders>
            <w:shd w:val="clear" w:color="000000" w:fill="F2F2F2"/>
            <w:noWrap/>
            <w:hideMark/>
          </w:tcPr>
          <w:p w14:paraId="6F7D8354"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574980.3</w:t>
            </w:r>
          </w:p>
        </w:tc>
      </w:tr>
      <w:tr w:rsidR="000B74F9" w:rsidRPr="000B74F9" w14:paraId="24907959" w14:textId="77777777" w:rsidTr="000B74F9">
        <w:trPr>
          <w:trHeight w:val="408"/>
        </w:trPr>
        <w:tc>
          <w:tcPr>
            <w:tcW w:w="265" w:type="dxa"/>
            <w:tcBorders>
              <w:top w:val="nil"/>
              <w:left w:val="nil"/>
              <w:bottom w:val="nil"/>
              <w:right w:val="nil"/>
            </w:tcBorders>
            <w:shd w:val="clear" w:color="auto" w:fill="auto"/>
            <w:noWrap/>
            <w:hideMark/>
          </w:tcPr>
          <w:p w14:paraId="2F260729"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g.</w:t>
            </w:r>
          </w:p>
        </w:tc>
        <w:tc>
          <w:tcPr>
            <w:tcW w:w="4695" w:type="dxa"/>
            <w:tcBorders>
              <w:top w:val="nil"/>
              <w:left w:val="nil"/>
              <w:bottom w:val="nil"/>
              <w:right w:val="nil"/>
            </w:tcBorders>
            <w:shd w:val="clear" w:color="auto" w:fill="auto"/>
            <w:hideMark/>
          </w:tcPr>
          <w:p w14:paraId="60ED8E4D"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Family psychoeducation, post-attempt care, safety planning, safe space services, CMHC services capacity increase</w:t>
            </w:r>
          </w:p>
        </w:tc>
        <w:tc>
          <w:tcPr>
            <w:tcW w:w="380" w:type="dxa"/>
            <w:tcBorders>
              <w:top w:val="nil"/>
              <w:left w:val="nil"/>
              <w:bottom w:val="nil"/>
              <w:right w:val="nil"/>
            </w:tcBorders>
            <w:shd w:val="clear" w:color="auto" w:fill="auto"/>
            <w:hideMark/>
          </w:tcPr>
          <w:p w14:paraId="14791B15"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p>
        </w:tc>
        <w:tc>
          <w:tcPr>
            <w:tcW w:w="1160" w:type="dxa"/>
            <w:tcBorders>
              <w:top w:val="nil"/>
              <w:left w:val="nil"/>
              <w:bottom w:val="nil"/>
              <w:right w:val="nil"/>
            </w:tcBorders>
            <w:shd w:val="clear" w:color="auto" w:fill="auto"/>
            <w:noWrap/>
            <w:hideMark/>
          </w:tcPr>
          <w:p w14:paraId="0510B8D1"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1741.7</w:t>
            </w:r>
          </w:p>
        </w:tc>
        <w:tc>
          <w:tcPr>
            <w:tcW w:w="1160" w:type="dxa"/>
            <w:tcBorders>
              <w:top w:val="nil"/>
              <w:left w:val="nil"/>
              <w:bottom w:val="nil"/>
              <w:right w:val="nil"/>
            </w:tcBorders>
            <w:shd w:val="clear" w:color="auto" w:fill="auto"/>
            <w:noWrap/>
            <w:hideMark/>
          </w:tcPr>
          <w:p w14:paraId="6D8EE8A3"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162780.4</w:t>
            </w:r>
          </w:p>
        </w:tc>
        <w:tc>
          <w:tcPr>
            <w:tcW w:w="1160" w:type="dxa"/>
            <w:tcBorders>
              <w:top w:val="nil"/>
              <w:left w:val="nil"/>
              <w:bottom w:val="nil"/>
              <w:right w:val="nil"/>
            </w:tcBorders>
            <w:shd w:val="clear" w:color="auto" w:fill="auto"/>
            <w:noWrap/>
            <w:hideMark/>
          </w:tcPr>
          <w:p w14:paraId="1E7FB6B1"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574837.3</w:t>
            </w:r>
          </w:p>
        </w:tc>
      </w:tr>
      <w:tr w:rsidR="000B74F9" w:rsidRPr="000B74F9" w14:paraId="02CC6749" w14:textId="77777777" w:rsidTr="000B74F9">
        <w:trPr>
          <w:trHeight w:val="408"/>
        </w:trPr>
        <w:tc>
          <w:tcPr>
            <w:tcW w:w="265" w:type="dxa"/>
            <w:tcBorders>
              <w:top w:val="nil"/>
              <w:left w:val="nil"/>
              <w:bottom w:val="nil"/>
              <w:right w:val="nil"/>
            </w:tcBorders>
            <w:shd w:val="clear" w:color="000000" w:fill="F2F2F2"/>
            <w:noWrap/>
            <w:hideMark/>
          </w:tcPr>
          <w:p w14:paraId="558C0507"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h.</w:t>
            </w:r>
          </w:p>
        </w:tc>
        <w:tc>
          <w:tcPr>
            <w:tcW w:w="4695" w:type="dxa"/>
            <w:tcBorders>
              <w:top w:val="nil"/>
              <w:left w:val="nil"/>
              <w:bottom w:val="nil"/>
              <w:right w:val="nil"/>
            </w:tcBorders>
            <w:shd w:val="clear" w:color="000000" w:fill="F2F2F2"/>
            <w:hideMark/>
          </w:tcPr>
          <w:p w14:paraId="77A9B222"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Family psychoeducation, post-attempt care, safety planning, GP services capacity increase, CMHC services capacity increase</w:t>
            </w:r>
          </w:p>
        </w:tc>
        <w:tc>
          <w:tcPr>
            <w:tcW w:w="380" w:type="dxa"/>
            <w:tcBorders>
              <w:top w:val="nil"/>
              <w:left w:val="nil"/>
              <w:bottom w:val="nil"/>
              <w:right w:val="nil"/>
            </w:tcBorders>
            <w:shd w:val="clear" w:color="000000" w:fill="F2F2F2"/>
            <w:hideMark/>
          </w:tcPr>
          <w:p w14:paraId="4423C554"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 </w:t>
            </w:r>
          </w:p>
        </w:tc>
        <w:tc>
          <w:tcPr>
            <w:tcW w:w="1160" w:type="dxa"/>
            <w:tcBorders>
              <w:top w:val="nil"/>
              <w:left w:val="nil"/>
              <w:bottom w:val="nil"/>
              <w:right w:val="nil"/>
            </w:tcBorders>
            <w:shd w:val="clear" w:color="000000" w:fill="F2F2F2"/>
            <w:noWrap/>
            <w:hideMark/>
          </w:tcPr>
          <w:p w14:paraId="2B55EE79"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1743.6</w:t>
            </w:r>
          </w:p>
        </w:tc>
        <w:tc>
          <w:tcPr>
            <w:tcW w:w="1160" w:type="dxa"/>
            <w:tcBorders>
              <w:top w:val="nil"/>
              <w:left w:val="nil"/>
              <w:bottom w:val="nil"/>
              <w:right w:val="nil"/>
            </w:tcBorders>
            <w:shd w:val="clear" w:color="000000" w:fill="F2F2F2"/>
            <w:noWrap/>
            <w:hideMark/>
          </w:tcPr>
          <w:p w14:paraId="1AAA7253"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164487.7</w:t>
            </w:r>
          </w:p>
        </w:tc>
        <w:tc>
          <w:tcPr>
            <w:tcW w:w="1160" w:type="dxa"/>
            <w:tcBorders>
              <w:top w:val="nil"/>
              <w:left w:val="nil"/>
              <w:bottom w:val="nil"/>
              <w:right w:val="nil"/>
            </w:tcBorders>
            <w:shd w:val="clear" w:color="000000" w:fill="F2F2F2"/>
            <w:noWrap/>
            <w:hideMark/>
          </w:tcPr>
          <w:p w14:paraId="17F08FE1"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569773.3</w:t>
            </w:r>
          </w:p>
        </w:tc>
      </w:tr>
      <w:tr w:rsidR="000B74F9" w:rsidRPr="000B74F9" w14:paraId="0432BA6B" w14:textId="77777777" w:rsidTr="000B74F9">
        <w:trPr>
          <w:trHeight w:val="408"/>
        </w:trPr>
        <w:tc>
          <w:tcPr>
            <w:tcW w:w="265" w:type="dxa"/>
            <w:tcBorders>
              <w:top w:val="nil"/>
              <w:left w:val="nil"/>
              <w:bottom w:val="nil"/>
              <w:right w:val="nil"/>
            </w:tcBorders>
            <w:shd w:val="clear" w:color="auto" w:fill="auto"/>
            <w:noWrap/>
            <w:hideMark/>
          </w:tcPr>
          <w:p w14:paraId="76A30600"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proofErr w:type="spellStart"/>
            <w:r w:rsidRPr="000B74F9">
              <w:rPr>
                <w:rFonts w:ascii="Times New Roman" w:eastAsia="Times New Roman" w:hAnsi="Times New Roman"/>
                <w:color w:val="000000"/>
                <w:sz w:val="16"/>
                <w:szCs w:val="16"/>
                <w:lang w:eastAsia="en-AU"/>
              </w:rPr>
              <w:t>i</w:t>
            </w:r>
            <w:proofErr w:type="spellEnd"/>
            <w:r w:rsidRPr="000B74F9">
              <w:rPr>
                <w:rFonts w:ascii="Times New Roman" w:eastAsia="Times New Roman" w:hAnsi="Times New Roman"/>
                <w:color w:val="000000"/>
                <w:sz w:val="16"/>
                <w:szCs w:val="16"/>
                <w:lang w:eastAsia="en-AU"/>
              </w:rPr>
              <w:t>.</w:t>
            </w:r>
          </w:p>
        </w:tc>
        <w:tc>
          <w:tcPr>
            <w:tcW w:w="4695" w:type="dxa"/>
            <w:tcBorders>
              <w:top w:val="nil"/>
              <w:left w:val="nil"/>
              <w:bottom w:val="nil"/>
              <w:right w:val="nil"/>
            </w:tcBorders>
            <w:shd w:val="clear" w:color="auto" w:fill="auto"/>
            <w:hideMark/>
          </w:tcPr>
          <w:p w14:paraId="672A2DD4"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Acute care services, family psychoeducation, post-attempt care, social connectedness, CMHC services capacity increase</w:t>
            </w:r>
          </w:p>
        </w:tc>
        <w:tc>
          <w:tcPr>
            <w:tcW w:w="380" w:type="dxa"/>
            <w:tcBorders>
              <w:top w:val="nil"/>
              <w:left w:val="nil"/>
              <w:bottom w:val="nil"/>
              <w:right w:val="nil"/>
            </w:tcBorders>
            <w:shd w:val="clear" w:color="auto" w:fill="auto"/>
            <w:hideMark/>
          </w:tcPr>
          <w:p w14:paraId="582D0A49"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p>
        </w:tc>
        <w:tc>
          <w:tcPr>
            <w:tcW w:w="1160" w:type="dxa"/>
            <w:tcBorders>
              <w:top w:val="nil"/>
              <w:left w:val="nil"/>
              <w:bottom w:val="nil"/>
              <w:right w:val="nil"/>
            </w:tcBorders>
            <w:shd w:val="clear" w:color="auto" w:fill="auto"/>
            <w:noWrap/>
            <w:hideMark/>
          </w:tcPr>
          <w:p w14:paraId="52F07E6A"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1770.7</w:t>
            </w:r>
          </w:p>
        </w:tc>
        <w:tc>
          <w:tcPr>
            <w:tcW w:w="1160" w:type="dxa"/>
            <w:tcBorders>
              <w:top w:val="nil"/>
              <w:left w:val="nil"/>
              <w:bottom w:val="nil"/>
              <w:right w:val="nil"/>
            </w:tcBorders>
            <w:shd w:val="clear" w:color="auto" w:fill="auto"/>
            <w:noWrap/>
            <w:hideMark/>
          </w:tcPr>
          <w:p w14:paraId="6F2E97EC"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159054</w:t>
            </w:r>
          </w:p>
        </w:tc>
        <w:tc>
          <w:tcPr>
            <w:tcW w:w="1160" w:type="dxa"/>
            <w:tcBorders>
              <w:top w:val="nil"/>
              <w:left w:val="nil"/>
              <w:bottom w:val="nil"/>
              <w:right w:val="nil"/>
            </w:tcBorders>
            <w:shd w:val="clear" w:color="auto" w:fill="auto"/>
            <w:noWrap/>
            <w:hideMark/>
          </w:tcPr>
          <w:p w14:paraId="69873CC1"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570449.3</w:t>
            </w:r>
          </w:p>
        </w:tc>
      </w:tr>
      <w:tr w:rsidR="000B74F9" w:rsidRPr="000B74F9" w14:paraId="3036F4A4" w14:textId="77777777" w:rsidTr="000B74F9">
        <w:trPr>
          <w:trHeight w:val="408"/>
        </w:trPr>
        <w:tc>
          <w:tcPr>
            <w:tcW w:w="265" w:type="dxa"/>
            <w:tcBorders>
              <w:top w:val="nil"/>
              <w:left w:val="nil"/>
              <w:bottom w:val="nil"/>
              <w:right w:val="nil"/>
            </w:tcBorders>
            <w:shd w:val="clear" w:color="000000" w:fill="F2F2F2"/>
            <w:noWrap/>
            <w:hideMark/>
          </w:tcPr>
          <w:p w14:paraId="2926497A"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j.</w:t>
            </w:r>
          </w:p>
        </w:tc>
        <w:tc>
          <w:tcPr>
            <w:tcW w:w="4695" w:type="dxa"/>
            <w:tcBorders>
              <w:top w:val="nil"/>
              <w:left w:val="nil"/>
              <w:bottom w:val="nil"/>
              <w:right w:val="nil"/>
            </w:tcBorders>
            <w:shd w:val="clear" w:color="000000" w:fill="F2F2F2"/>
            <w:hideMark/>
          </w:tcPr>
          <w:p w14:paraId="3CDDA669"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Acute care services, family psychoeducation, post-attempt care, social connectedness, GP services capacity increase</w:t>
            </w:r>
          </w:p>
        </w:tc>
        <w:tc>
          <w:tcPr>
            <w:tcW w:w="380" w:type="dxa"/>
            <w:tcBorders>
              <w:top w:val="nil"/>
              <w:left w:val="nil"/>
              <w:bottom w:val="nil"/>
              <w:right w:val="nil"/>
            </w:tcBorders>
            <w:shd w:val="clear" w:color="000000" w:fill="F2F2F2"/>
            <w:hideMark/>
          </w:tcPr>
          <w:p w14:paraId="1E45E2DD"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 </w:t>
            </w:r>
          </w:p>
        </w:tc>
        <w:tc>
          <w:tcPr>
            <w:tcW w:w="1160" w:type="dxa"/>
            <w:tcBorders>
              <w:top w:val="nil"/>
              <w:left w:val="nil"/>
              <w:bottom w:val="nil"/>
              <w:right w:val="nil"/>
            </w:tcBorders>
            <w:shd w:val="clear" w:color="000000" w:fill="F2F2F2"/>
            <w:noWrap/>
            <w:hideMark/>
          </w:tcPr>
          <w:p w14:paraId="7A1CEE28"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1771.2</w:t>
            </w:r>
          </w:p>
        </w:tc>
        <w:tc>
          <w:tcPr>
            <w:tcW w:w="1160" w:type="dxa"/>
            <w:tcBorders>
              <w:top w:val="nil"/>
              <w:left w:val="nil"/>
              <w:bottom w:val="nil"/>
              <w:right w:val="nil"/>
            </w:tcBorders>
            <w:shd w:val="clear" w:color="000000" w:fill="F2F2F2"/>
            <w:noWrap/>
            <w:hideMark/>
          </w:tcPr>
          <w:p w14:paraId="42E96560"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158901.5</w:t>
            </w:r>
          </w:p>
        </w:tc>
        <w:tc>
          <w:tcPr>
            <w:tcW w:w="1160" w:type="dxa"/>
            <w:tcBorders>
              <w:top w:val="nil"/>
              <w:left w:val="nil"/>
              <w:bottom w:val="nil"/>
              <w:right w:val="nil"/>
            </w:tcBorders>
            <w:shd w:val="clear" w:color="000000" w:fill="F2F2F2"/>
            <w:noWrap/>
            <w:hideMark/>
          </w:tcPr>
          <w:p w14:paraId="0EE2DCA2"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575371.3</w:t>
            </w:r>
          </w:p>
        </w:tc>
      </w:tr>
      <w:tr w:rsidR="000B74F9" w:rsidRPr="000B74F9" w14:paraId="618352CF" w14:textId="77777777" w:rsidTr="000B74F9">
        <w:trPr>
          <w:trHeight w:val="408"/>
        </w:trPr>
        <w:tc>
          <w:tcPr>
            <w:tcW w:w="265" w:type="dxa"/>
            <w:tcBorders>
              <w:top w:val="nil"/>
              <w:left w:val="nil"/>
              <w:bottom w:val="nil"/>
              <w:right w:val="nil"/>
            </w:tcBorders>
            <w:shd w:val="clear" w:color="auto" w:fill="auto"/>
            <w:noWrap/>
            <w:hideMark/>
          </w:tcPr>
          <w:p w14:paraId="4753FD7C"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k.</w:t>
            </w:r>
          </w:p>
        </w:tc>
        <w:tc>
          <w:tcPr>
            <w:tcW w:w="4695" w:type="dxa"/>
            <w:tcBorders>
              <w:top w:val="nil"/>
              <w:left w:val="nil"/>
              <w:bottom w:val="nil"/>
              <w:right w:val="nil"/>
            </w:tcBorders>
            <w:shd w:val="clear" w:color="auto" w:fill="auto"/>
            <w:hideMark/>
          </w:tcPr>
          <w:p w14:paraId="7C3069F1"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Acute care services, family psychoeducation, post-attempt care, GP services capacity increase, CMHC services capacity increase</w:t>
            </w:r>
          </w:p>
        </w:tc>
        <w:tc>
          <w:tcPr>
            <w:tcW w:w="380" w:type="dxa"/>
            <w:tcBorders>
              <w:top w:val="nil"/>
              <w:left w:val="nil"/>
              <w:bottom w:val="nil"/>
              <w:right w:val="nil"/>
            </w:tcBorders>
            <w:shd w:val="clear" w:color="auto" w:fill="auto"/>
            <w:hideMark/>
          </w:tcPr>
          <w:p w14:paraId="685D31F8"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p>
        </w:tc>
        <w:tc>
          <w:tcPr>
            <w:tcW w:w="1160" w:type="dxa"/>
            <w:tcBorders>
              <w:top w:val="nil"/>
              <w:left w:val="nil"/>
              <w:bottom w:val="nil"/>
              <w:right w:val="nil"/>
            </w:tcBorders>
            <w:shd w:val="clear" w:color="auto" w:fill="auto"/>
            <w:noWrap/>
            <w:hideMark/>
          </w:tcPr>
          <w:p w14:paraId="5A52D4D4"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1782.8</w:t>
            </w:r>
          </w:p>
        </w:tc>
        <w:tc>
          <w:tcPr>
            <w:tcW w:w="1160" w:type="dxa"/>
            <w:tcBorders>
              <w:top w:val="nil"/>
              <w:left w:val="nil"/>
              <w:bottom w:val="nil"/>
              <w:right w:val="nil"/>
            </w:tcBorders>
            <w:shd w:val="clear" w:color="auto" w:fill="auto"/>
            <w:noWrap/>
            <w:hideMark/>
          </w:tcPr>
          <w:p w14:paraId="36BBABC6"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158608.2</w:t>
            </w:r>
          </w:p>
        </w:tc>
        <w:tc>
          <w:tcPr>
            <w:tcW w:w="1160" w:type="dxa"/>
            <w:tcBorders>
              <w:top w:val="nil"/>
              <w:left w:val="nil"/>
              <w:bottom w:val="nil"/>
              <w:right w:val="nil"/>
            </w:tcBorders>
            <w:shd w:val="clear" w:color="auto" w:fill="auto"/>
            <w:noWrap/>
            <w:hideMark/>
          </w:tcPr>
          <w:p w14:paraId="58B98DD7"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570164.3</w:t>
            </w:r>
          </w:p>
        </w:tc>
      </w:tr>
      <w:tr w:rsidR="000B74F9" w:rsidRPr="000B74F9" w14:paraId="6243EE2E" w14:textId="77777777" w:rsidTr="000B74F9">
        <w:trPr>
          <w:trHeight w:val="408"/>
        </w:trPr>
        <w:tc>
          <w:tcPr>
            <w:tcW w:w="265" w:type="dxa"/>
            <w:tcBorders>
              <w:top w:val="nil"/>
              <w:left w:val="nil"/>
              <w:bottom w:val="nil"/>
              <w:right w:val="nil"/>
            </w:tcBorders>
            <w:shd w:val="clear" w:color="000000" w:fill="F2F2F2"/>
            <w:noWrap/>
            <w:hideMark/>
          </w:tcPr>
          <w:p w14:paraId="060CCA03"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l.</w:t>
            </w:r>
          </w:p>
        </w:tc>
        <w:tc>
          <w:tcPr>
            <w:tcW w:w="4695" w:type="dxa"/>
            <w:tcBorders>
              <w:top w:val="nil"/>
              <w:left w:val="nil"/>
              <w:bottom w:val="nil"/>
              <w:right w:val="nil"/>
            </w:tcBorders>
            <w:shd w:val="clear" w:color="000000" w:fill="F2F2F2"/>
            <w:hideMark/>
          </w:tcPr>
          <w:p w14:paraId="33AE7D67"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Family psychoeducation, post-attempt care, safe space services, social connectedness, CMHC services capacity increase</w:t>
            </w:r>
          </w:p>
        </w:tc>
        <w:tc>
          <w:tcPr>
            <w:tcW w:w="380" w:type="dxa"/>
            <w:tcBorders>
              <w:top w:val="nil"/>
              <w:left w:val="nil"/>
              <w:bottom w:val="nil"/>
              <w:right w:val="nil"/>
            </w:tcBorders>
            <w:shd w:val="clear" w:color="000000" w:fill="F2F2F2"/>
            <w:hideMark/>
          </w:tcPr>
          <w:p w14:paraId="480DA79E"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 </w:t>
            </w:r>
          </w:p>
        </w:tc>
        <w:tc>
          <w:tcPr>
            <w:tcW w:w="1160" w:type="dxa"/>
            <w:tcBorders>
              <w:top w:val="nil"/>
              <w:left w:val="nil"/>
              <w:bottom w:val="nil"/>
              <w:right w:val="nil"/>
            </w:tcBorders>
            <w:shd w:val="clear" w:color="000000" w:fill="F2F2F2"/>
            <w:noWrap/>
            <w:hideMark/>
          </w:tcPr>
          <w:p w14:paraId="4EE43203"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1783.1</w:t>
            </w:r>
          </w:p>
        </w:tc>
        <w:tc>
          <w:tcPr>
            <w:tcW w:w="1160" w:type="dxa"/>
            <w:tcBorders>
              <w:top w:val="nil"/>
              <w:left w:val="nil"/>
              <w:bottom w:val="nil"/>
              <w:right w:val="nil"/>
            </w:tcBorders>
            <w:shd w:val="clear" w:color="000000" w:fill="F2F2F2"/>
            <w:noWrap/>
            <w:hideMark/>
          </w:tcPr>
          <w:p w14:paraId="235F8039"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162644.3</w:t>
            </w:r>
          </w:p>
        </w:tc>
        <w:tc>
          <w:tcPr>
            <w:tcW w:w="1160" w:type="dxa"/>
            <w:tcBorders>
              <w:top w:val="nil"/>
              <w:left w:val="nil"/>
              <w:bottom w:val="nil"/>
              <w:right w:val="nil"/>
            </w:tcBorders>
            <w:shd w:val="clear" w:color="000000" w:fill="F2F2F2"/>
            <w:noWrap/>
            <w:hideMark/>
          </w:tcPr>
          <w:p w14:paraId="21C6CA19"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570150.3</w:t>
            </w:r>
          </w:p>
        </w:tc>
      </w:tr>
      <w:tr w:rsidR="000B74F9" w:rsidRPr="000B74F9" w14:paraId="4D89C1D6" w14:textId="77777777" w:rsidTr="000B74F9">
        <w:trPr>
          <w:trHeight w:val="408"/>
        </w:trPr>
        <w:tc>
          <w:tcPr>
            <w:tcW w:w="265" w:type="dxa"/>
            <w:tcBorders>
              <w:top w:val="nil"/>
              <w:left w:val="nil"/>
              <w:bottom w:val="nil"/>
              <w:right w:val="nil"/>
            </w:tcBorders>
            <w:shd w:val="clear" w:color="auto" w:fill="auto"/>
            <w:noWrap/>
            <w:hideMark/>
          </w:tcPr>
          <w:p w14:paraId="63155764"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m.</w:t>
            </w:r>
          </w:p>
        </w:tc>
        <w:tc>
          <w:tcPr>
            <w:tcW w:w="4695" w:type="dxa"/>
            <w:tcBorders>
              <w:top w:val="nil"/>
              <w:left w:val="nil"/>
              <w:bottom w:val="nil"/>
              <w:right w:val="nil"/>
            </w:tcBorders>
            <w:shd w:val="clear" w:color="auto" w:fill="auto"/>
            <w:hideMark/>
          </w:tcPr>
          <w:p w14:paraId="44C67AC2"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Family psychoeducation, post-attempt care, social connectedness, GP services capacity increase, CMHC services capacity increase</w:t>
            </w:r>
          </w:p>
        </w:tc>
        <w:tc>
          <w:tcPr>
            <w:tcW w:w="380" w:type="dxa"/>
            <w:tcBorders>
              <w:top w:val="nil"/>
              <w:left w:val="nil"/>
              <w:bottom w:val="nil"/>
              <w:right w:val="nil"/>
            </w:tcBorders>
            <w:shd w:val="clear" w:color="auto" w:fill="auto"/>
            <w:hideMark/>
          </w:tcPr>
          <w:p w14:paraId="0D603FBE"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p>
        </w:tc>
        <w:tc>
          <w:tcPr>
            <w:tcW w:w="1160" w:type="dxa"/>
            <w:tcBorders>
              <w:top w:val="nil"/>
              <w:left w:val="nil"/>
              <w:bottom w:val="nil"/>
              <w:right w:val="nil"/>
            </w:tcBorders>
            <w:shd w:val="clear" w:color="auto" w:fill="auto"/>
            <w:noWrap/>
            <w:hideMark/>
          </w:tcPr>
          <w:p w14:paraId="407A18A4"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1785.6</w:t>
            </w:r>
          </w:p>
        </w:tc>
        <w:tc>
          <w:tcPr>
            <w:tcW w:w="1160" w:type="dxa"/>
            <w:tcBorders>
              <w:top w:val="nil"/>
              <w:left w:val="nil"/>
              <w:bottom w:val="nil"/>
              <w:right w:val="nil"/>
            </w:tcBorders>
            <w:shd w:val="clear" w:color="auto" w:fill="auto"/>
            <w:noWrap/>
            <w:hideMark/>
          </w:tcPr>
          <w:p w14:paraId="27102365"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164366.1</w:t>
            </w:r>
          </w:p>
        </w:tc>
        <w:tc>
          <w:tcPr>
            <w:tcW w:w="1160" w:type="dxa"/>
            <w:tcBorders>
              <w:top w:val="nil"/>
              <w:left w:val="nil"/>
              <w:bottom w:val="nil"/>
              <w:right w:val="nil"/>
            </w:tcBorders>
            <w:shd w:val="clear" w:color="auto" w:fill="auto"/>
            <w:noWrap/>
            <w:hideMark/>
          </w:tcPr>
          <w:p w14:paraId="312AAF09"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565170.3</w:t>
            </w:r>
          </w:p>
        </w:tc>
      </w:tr>
      <w:tr w:rsidR="000B74F9" w:rsidRPr="000B74F9" w14:paraId="0DE29117" w14:textId="77777777" w:rsidTr="000B74F9">
        <w:trPr>
          <w:trHeight w:val="408"/>
        </w:trPr>
        <w:tc>
          <w:tcPr>
            <w:tcW w:w="265" w:type="dxa"/>
            <w:tcBorders>
              <w:top w:val="nil"/>
              <w:left w:val="nil"/>
              <w:bottom w:val="nil"/>
              <w:right w:val="nil"/>
            </w:tcBorders>
            <w:shd w:val="clear" w:color="000000" w:fill="F2F2F2"/>
            <w:noWrap/>
            <w:hideMark/>
          </w:tcPr>
          <w:p w14:paraId="38DE1937"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n.</w:t>
            </w:r>
          </w:p>
        </w:tc>
        <w:tc>
          <w:tcPr>
            <w:tcW w:w="4695" w:type="dxa"/>
            <w:tcBorders>
              <w:top w:val="nil"/>
              <w:left w:val="nil"/>
              <w:bottom w:val="nil"/>
              <w:right w:val="nil"/>
            </w:tcBorders>
            <w:shd w:val="clear" w:color="000000" w:fill="F2F2F2"/>
            <w:hideMark/>
          </w:tcPr>
          <w:p w14:paraId="3B7A3117"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Family psychoeducation, post-attempt care, safe space services, GP services capacity increase, CMHC services capacity increase</w:t>
            </w:r>
          </w:p>
        </w:tc>
        <w:tc>
          <w:tcPr>
            <w:tcW w:w="380" w:type="dxa"/>
            <w:tcBorders>
              <w:top w:val="nil"/>
              <w:left w:val="nil"/>
              <w:bottom w:val="nil"/>
              <w:right w:val="nil"/>
            </w:tcBorders>
            <w:shd w:val="clear" w:color="000000" w:fill="F2F2F2"/>
            <w:hideMark/>
          </w:tcPr>
          <w:p w14:paraId="59BA1E97"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 </w:t>
            </w:r>
          </w:p>
        </w:tc>
        <w:tc>
          <w:tcPr>
            <w:tcW w:w="1160" w:type="dxa"/>
            <w:tcBorders>
              <w:top w:val="nil"/>
              <w:left w:val="nil"/>
              <w:bottom w:val="nil"/>
              <w:right w:val="nil"/>
            </w:tcBorders>
            <w:shd w:val="clear" w:color="000000" w:fill="F2F2F2"/>
            <w:noWrap/>
            <w:hideMark/>
          </w:tcPr>
          <w:p w14:paraId="54345B86"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1795</w:t>
            </w:r>
          </w:p>
        </w:tc>
        <w:tc>
          <w:tcPr>
            <w:tcW w:w="1160" w:type="dxa"/>
            <w:tcBorders>
              <w:top w:val="nil"/>
              <w:left w:val="nil"/>
              <w:bottom w:val="nil"/>
              <w:right w:val="nil"/>
            </w:tcBorders>
            <w:shd w:val="clear" w:color="000000" w:fill="F2F2F2"/>
            <w:noWrap/>
            <w:hideMark/>
          </w:tcPr>
          <w:p w14:paraId="77A80742"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162122.3</w:t>
            </w:r>
          </w:p>
        </w:tc>
        <w:tc>
          <w:tcPr>
            <w:tcW w:w="1160" w:type="dxa"/>
            <w:tcBorders>
              <w:top w:val="nil"/>
              <w:left w:val="nil"/>
              <w:bottom w:val="nil"/>
              <w:right w:val="nil"/>
            </w:tcBorders>
            <w:shd w:val="clear" w:color="000000" w:fill="F2F2F2"/>
            <w:noWrap/>
            <w:hideMark/>
          </w:tcPr>
          <w:p w14:paraId="042B582E"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569864.3</w:t>
            </w:r>
          </w:p>
        </w:tc>
      </w:tr>
      <w:tr w:rsidR="000B74F9" w:rsidRPr="000B74F9" w14:paraId="34C0EC6C" w14:textId="77777777" w:rsidTr="000B74F9">
        <w:trPr>
          <w:trHeight w:val="408"/>
        </w:trPr>
        <w:tc>
          <w:tcPr>
            <w:tcW w:w="265" w:type="dxa"/>
            <w:tcBorders>
              <w:top w:val="nil"/>
              <w:left w:val="nil"/>
              <w:bottom w:val="nil"/>
              <w:right w:val="nil"/>
            </w:tcBorders>
            <w:shd w:val="clear" w:color="auto" w:fill="auto"/>
            <w:noWrap/>
            <w:hideMark/>
          </w:tcPr>
          <w:p w14:paraId="47E4D18F"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o.</w:t>
            </w:r>
          </w:p>
        </w:tc>
        <w:tc>
          <w:tcPr>
            <w:tcW w:w="4695" w:type="dxa"/>
            <w:tcBorders>
              <w:top w:val="nil"/>
              <w:left w:val="nil"/>
              <w:bottom w:val="nil"/>
              <w:right w:val="nil"/>
            </w:tcBorders>
            <w:shd w:val="clear" w:color="auto" w:fill="auto"/>
            <w:hideMark/>
          </w:tcPr>
          <w:p w14:paraId="30482940"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Acute care services, family psychoeducation, safety planning, social connectedness, CMHC services capacity increase</w:t>
            </w:r>
          </w:p>
        </w:tc>
        <w:tc>
          <w:tcPr>
            <w:tcW w:w="380" w:type="dxa"/>
            <w:tcBorders>
              <w:top w:val="nil"/>
              <w:left w:val="nil"/>
              <w:bottom w:val="nil"/>
              <w:right w:val="nil"/>
            </w:tcBorders>
            <w:shd w:val="clear" w:color="auto" w:fill="auto"/>
            <w:hideMark/>
          </w:tcPr>
          <w:p w14:paraId="5B634EF8"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p>
        </w:tc>
        <w:tc>
          <w:tcPr>
            <w:tcW w:w="1160" w:type="dxa"/>
            <w:tcBorders>
              <w:top w:val="nil"/>
              <w:left w:val="nil"/>
              <w:bottom w:val="nil"/>
              <w:right w:val="nil"/>
            </w:tcBorders>
            <w:shd w:val="clear" w:color="auto" w:fill="auto"/>
            <w:noWrap/>
            <w:hideMark/>
          </w:tcPr>
          <w:p w14:paraId="0BD96E51"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1829.3</w:t>
            </w:r>
          </w:p>
        </w:tc>
        <w:tc>
          <w:tcPr>
            <w:tcW w:w="1160" w:type="dxa"/>
            <w:tcBorders>
              <w:top w:val="nil"/>
              <w:left w:val="nil"/>
              <w:bottom w:val="nil"/>
              <w:right w:val="nil"/>
            </w:tcBorders>
            <w:shd w:val="clear" w:color="auto" w:fill="auto"/>
            <w:noWrap/>
            <w:hideMark/>
          </w:tcPr>
          <w:p w14:paraId="2F69D452"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158894.9</w:t>
            </w:r>
          </w:p>
        </w:tc>
        <w:tc>
          <w:tcPr>
            <w:tcW w:w="1160" w:type="dxa"/>
            <w:tcBorders>
              <w:top w:val="nil"/>
              <w:left w:val="nil"/>
              <w:bottom w:val="nil"/>
              <w:right w:val="nil"/>
            </w:tcBorders>
            <w:shd w:val="clear" w:color="auto" w:fill="auto"/>
            <w:noWrap/>
            <w:hideMark/>
          </w:tcPr>
          <w:p w14:paraId="0A031ECA"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562341.3</w:t>
            </w:r>
          </w:p>
        </w:tc>
      </w:tr>
      <w:tr w:rsidR="000B74F9" w:rsidRPr="000B74F9" w14:paraId="6E9D9C88" w14:textId="77777777" w:rsidTr="000B74F9">
        <w:trPr>
          <w:trHeight w:val="408"/>
        </w:trPr>
        <w:tc>
          <w:tcPr>
            <w:tcW w:w="265" w:type="dxa"/>
            <w:tcBorders>
              <w:top w:val="nil"/>
              <w:left w:val="nil"/>
              <w:bottom w:val="nil"/>
              <w:right w:val="nil"/>
            </w:tcBorders>
            <w:shd w:val="clear" w:color="000000" w:fill="F2F2F2"/>
            <w:noWrap/>
            <w:hideMark/>
          </w:tcPr>
          <w:p w14:paraId="683AB82F"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p.</w:t>
            </w:r>
          </w:p>
        </w:tc>
        <w:tc>
          <w:tcPr>
            <w:tcW w:w="4695" w:type="dxa"/>
            <w:tcBorders>
              <w:top w:val="nil"/>
              <w:left w:val="nil"/>
              <w:bottom w:val="nil"/>
              <w:right w:val="nil"/>
            </w:tcBorders>
            <w:shd w:val="clear" w:color="000000" w:fill="F2F2F2"/>
            <w:hideMark/>
          </w:tcPr>
          <w:p w14:paraId="2FB8D1D2"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Acute care services, family psychoeducation, safety planning, social connectedness, GP services capacity increase</w:t>
            </w:r>
          </w:p>
        </w:tc>
        <w:tc>
          <w:tcPr>
            <w:tcW w:w="380" w:type="dxa"/>
            <w:tcBorders>
              <w:top w:val="nil"/>
              <w:left w:val="nil"/>
              <w:bottom w:val="nil"/>
              <w:right w:val="nil"/>
            </w:tcBorders>
            <w:shd w:val="clear" w:color="000000" w:fill="F2F2F2"/>
            <w:hideMark/>
          </w:tcPr>
          <w:p w14:paraId="60562A99"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 </w:t>
            </w:r>
          </w:p>
        </w:tc>
        <w:tc>
          <w:tcPr>
            <w:tcW w:w="1160" w:type="dxa"/>
            <w:tcBorders>
              <w:top w:val="nil"/>
              <w:left w:val="nil"/>
              <w:bottom w:val="nil"/>
              <w:right w:val="nil"/>
            </w:tcBorders>
            <w:shd w:val="clear" w:color="000000" w:fill="F2F2F2"/>
            <w:noWrap/>
            <w:hideMark/>
          </w:tcPr>
          <w:p w14:paraId="64AD0A18"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1829.8</w:t>
            </w:r>
          </w:p>
        </w:tc>
        <w:tc>
          <w:tcPr>
            <w:tcW w:w="1160" w:type="dxa"/>
            <w:tcBorders>
              <w:top w:val="nil"/>
              <w:left w:val="nil"/>
              <w:bottom w:val="nil"/>
              <w:right w:val="nil"/>
            </w:tcBorders>
            <w:shd w:val="clear" w:color="000000" w:fill="F2F2F2"/>
            <w:noWrap/>
            <w:hideMark/>
          </w:tcPr>
          <w:p w14:paraId="5D6924BE"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158731.8</w:t>
            </w:r>
          </w:p>
        </w:tc>
        <w:tc>
          <w:tcPr>
            <w:tcW w:w="1160" w:type="dxa"/>
            <w:tcBorders>
              <w:top w:val="nil"/>
              <w:left w:val="nil"/>
              <w:bottom w:val="nil"/>
              <w:right w:val="nil"/>
            </w:tcBorders>
            <w:shd w:val="clear" w:color="000000" w:fill="F2F2F2"/>
            <w:noWrap/>
            <w:hideMark/>
          </w:tcPr>
          <w:p w14:paraId="25B367B0"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567233.3</w:t>
            </w:r>
          </w:p>
        </w:tc>
      </w:tr>
      <w:tr w:rsidR="000B74F9" w:rsidRPr="000B74F9" w14:paraId="147BCD44" w14:textId="77777777" w:rsidTr="000B74F9">
        <w:trPr>
          <w:trHeight w:val="408"/>
        </w:trPr>
        <w:tc>
          <w:tcPr>
            <w:tcW w:w="265" w:type="dxa"/>
            <w:tcBorders>
              <w:top w:val="nil"/>
              <w:left w:val="nil"/>
              <w:bottom w:val="nil"/>
              <w:right w:val="nil"/>
            </w:tcBorders>
            <w:shd w:val="clear" w:color="auto" w:fill="auto"/>
            <w:noWrap/>
            <w:hideMark/>
          </w:tcPr>
          <w:p w14:paraId="2F8B0631"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q.</w:t>
            </w:r>
          </w:p>
        </w:tc>
        <w:tc>
          <w:tcPr>
            <w:tcW w:w="4695" w:type="dxa"/>
            <w:tcBorders>
              <w:top w:val="nil"/>
              <w:left w:val="nil"/>
              <w:bottom w:val="nil"/>
              <w:right w:val="nil"/>
            </w:tcBorders>
            <w:shd w:val="clear" w:color="auto" w:fill="auto"/>
            <w:hideMark/>
          </w:tcPr>
          <w:p w14:paraId="03795827"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Family psychoeducation, safety planning, safe space services, social connectedness, CMHC services capacity increase</w:t>
            </w:r>
          </w:p>
        </w:tc>
        <w:tc>
          <w:tcPr>
            <w:tcW w:w="380" w:type="dxa"/>
            <w:tcBorders>
              <w:top w:val="nil"/>
              <w:left w:val="nil"/>
              <w:bottom w:val="nil"/>
              <w:right w:val="nil"/>
            </w:tcBorders>
            <w:shd w:val="clear" w:color="auto" w:fill="auto"/>
            <w:hideMark/>
          </w:tcPr>
          <w:p w14:paraId="6137752E"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p>
        </w:tc>
        <w:tc>
          <w:tcPr>
            <w:tcW w:w="1160" w:type="dxa"/>
            <w:tcBorders>
              <w:top w:val="nil"/>
              <w:left w:val="nil"/>
              <w:bottom w:val="nil"/>
              <w:right w:val="nil"/>
            </w:tcBorders>
            <w:shd w:val="clear" w:color="auto" w:fill="auto"/>
            <w:noWrap/>
            <w:hideMark/>
          </w:tcPr>
          <w:p w14:paraId="27975B93"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1841</w:t>
            </w:r>
          </w:p>
        </w:tc>
        <w:tc>
          <w:tcPr>
            <w:tcW w:w="1160" w:type="dxa"/>
            <w:tcBorders>
              <w:top w:val="nil"/>
              <w:left w:val="nil"/>
              <w:bottom w:val="nil"/>
              <w:right w:val="nil"/>
            </w:tcBorders>
            <w:shd w:val="clear" w:color="auto" w:fill="auto"/>
            <w:noWrap/>
            <w:hideMark/>
          </w:tcPr>
          <w:p w14:paraId="74A0E586"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162448.6</w:t>
            </w:r>
          </w:p>
        </w:tc>
        <w:tc>
          <w:tcPr>
            <w:tcW w:w="1160" w:type="dxa"/>
            <w:tcBorders>
              <w:top w:val="nil"/>
              <w:left w:val="nil"/>
              <w:bottom w:val="nil"/>
              <w:right w:val="nil"/>
            </w:tcBorders>
            <w:shd w:val="clear" w:color="auto" w:fill="auto"/>
            <w:noWrap/>
            <w:hideMark/>
          </w:tcPr>
          <w:p w14:paraId="5B923EB0"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561978.3</w:t>
            </w:r>
          </w:p>
        </w:tc>
      </w:tr>
      <w:tr w:rsidR="000B74F9" w:rsidRPr="000B74F9" w14:paraId="486BBF68" w14:textId="77777777" w:rsidTr="000B74F9">
        <w:trPr>
          <w:trHeight w:val="408"/>
        </w:trPr>
        <w:tc>
          <w:tcPr>
            <w:tcW w:w="265" w:type="dxa"/>
            <w:tcBorders>
              <w:top w:val="nil"/>
              <w:left w:val="nil"/>
              <w:bottom w:val="nil"/>
              <w:right w:val="nil"/>
            </w:tcBorders>
            <w:shd w:val="clear" w:color="000000" w:fill="F2F2F2"/>
            <w:noWrap/>
            <w:hideMark/>
          </w:tcPr>
          <w:p w14:paraId="6C7E6FAF"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r.</w:t>
            </w:r>
          </w:p>
        </w:tc>
        <w:tc>
          <w:tcPr>
            <w:tcW w:w="4695" w:type="dxa"/>
            <w:tcBorders>
              <w:top w:val="nil"/>
              <w:left w:val="nil"/>
              <w:bottom w:val="nil"/>
              <w:right w:val="nil"/>
            </w:tcBorders>
            <w:shd w:val="clear" w:color="000000" w:fill="F2F2F2"/>
            <w:hideMark/>
          </w:tcPr>
          <w:p w14:paraId="498F7F70"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Acute care services, family psychoeducation, safety planning, GP services capacity increase, CMHC services capacity increase</w:t>
            </w:r>
          </w:p>
        </w:tc>
        <w:tc>
          <w:tcPr>
            <w:tcW w:w="380" w:type="dxa"/>
            <w:tcBorders>
              <w:top w:val="nil"/>
              <w:left w:val="nil"/>
              <w:bottom w:val="nil"/>
              <w:right w:val="nil"/>
            </w:tcBorders>
            <w:shd w:val="clear" w:color="000000" w:fill="F2F2F2"/>
            <w:hideMark/>
          </w:tcPr>
          <w:p w14:paraId="2118D710"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 </w:t>
            </w:r>
          </w:p>
        </w:tc>
        <w:tc>
          <w:tcPr>
            <w:tcW w:w="1160" w:type="dxa"/>
            <w:tcBorders>
              <w:top w:val="nil"/>
              <w:left w:val="nil"/>
              <w:bottom w:val="nil"/>
              <w:right w:val="nil"/>
            </w:tcBorders>
            <w:shd w:val="clear" w:color="000000" w:fill="F2F2F2"/>
            <w:noWrap/>
            <w:hideMark/>
          </w:tcPr>
          <w:p w14:paraId="50FF3F74"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1842.1</w:t>
            </w:r>
          </w:p>
        </w:tc>
        <w:tc>
          <w:tcPr>
            <w:tcW w:w="1160" w:type="dxa"/>
            <w:tcBorders>
              <w:top w:val="nil"/>
              <w:left w:val="nil"/>
              <w:bottom w:val="nil"/>
              <w:right w:val="nil"/>
            </w:tcBorders>
            <w:shd w:val="clear" w:color="000000" w:fill="F2F2F2"/>
            <w:noWrap/>
            <w:hideMark/>
          </w:tcPr>
          <w:p w14:paraId="6B321948"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158444.7</w:t>
            </w:r>
          </w:p>
        </w:tc>
        <w:tc>
          <w:tcPr>
            <w:tcW w:w="1160" w:type="dxa"/>
            <w:tcBorders>
              <w:top w:val="nil"/>
              <w:left w:val="nil"/>
              <w:bottom w:val="nil"/>
              <w:right w:val="nil"/>
            </w:tcBorders>
            <w:shd w:val="clear" w:color="000000" w:fill="F2F2F2"/>
            <w:noWrap/>
            <w:hideMark/>
          </w:tcPr>
          <w:p w14:paraId="7C00DEAE"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561988.3</w:t>
            </w:r>
          </w:p>
        </w:tc>
      </w:tr>
      <w:tr w:rsidR="000B74F9" w:rsidRPr="000B74F9" w14:paraId="27FBC2FA" w14:textId="77777777" w:rsidTr="000B74F9">
        <w:trPr>
          <w:trHeight w:val="408"/>
        </w:trPr>
        <w:tc>
          <w:tcPr>
            <w:tcW w:w="265" w:type="dxa"/>
            <w:tcBorders>
              <w:top w:val="nil"/>
              <w:left w:val="nil"/>
              <w:bottom w:val="nil"/>
              <w:right w:val="nil"/>
            </w:tcBorders>
            <w:shd w:val="clear" w:color="auto" w:fill="auto"/>
            <w:noWrap/>
            <w:hideMark/>
          </w:tcPr>
          <w:p w14:paraId="689ADEE8"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s.</w:t>
            </w:r>
          </w:p>
        </w:tc>
        <w:tc>
          <w:tcPr>
            <w:tcW w:w="4695" w:type="dxa"/>
            <w:tcBorders>
              <w:top w:val="nil"/>
              <w:left w:val="nil"/>
              <w:bottom w:val="nil"/>
              <w:right w:val="nil"/>
            </w:tcBorders>
            <w:shd w:val="clear" w:color="auto" w:fill="auto"/>
            <w:hideMark/>
          </w:tcPr>
          <w:p w14:paraId="18665A3A"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Family psychoeducation, safety planning, social connectedness, GP services capacity increase, CMHC services capacity increase</w:t>
            </w:r>
          </w:p>
        </w:tc>
        <w:tc>
          <w:tcPr>
            <w:tcW w:w="380" w:type="dxa"/>
            <w:tcBorders>
              <w:top w:val="nil"/>
              <w:left w:val="nil"/>
              <w:bottom w:val="nil"/>
              <w:right w:val="nil"/>
            </w:tcBorders>
            <w:shd w:val="clear" w:color="auto" w:fill="auto"/>
            <w:hideMark/>
          </w:tcPr>
          <w:p w14:paraId="29A024C9"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p>
        </w:tc>
        <w:tc>
          <w:tcPr>
            <w:tcW w:w="1160" w:type="dxa"/>
            <w:tcBorders>
              <w:top w:val="nil"/>
              <w:left w:val="nil"/>
              <w:bottom w:val="nil"/>
              <w:right w:val="nil"/>
            </w:tcBorders>
            <w:shd w:val="clear" w:color="auto" w:fill="auto"/>
            <w:noWrap/>
            <w:hideMark/>
          </w:tcPr>
          <w:p w14:paraId="7FAFF1F5"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1842.8</w:t>
            </w:r>
          </w:p>
        </w:tc>
        <w:tc>
          <w:tcPr>
            <w:tcW w:w="1160" w:type="dxa"/>
            <w:tcBorders>
              <w:top w:val="nil"/>
              <w:left w:val="nil"/>
              <w:bottom w:val="nil"/>
              <w:right w:val="nil"/>
            </w:tcBorders>
            <w:shd w:val="clear" w:color="auto" w:fill="auto"/>
            <w:noWrap/>
            <w:hideMark/>
          </w:tcPr>
          <w:p w14:paraId="1BE23406"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164142.7</w:t>
            </w:r>
          </w:p>
        </w:tc>
        <w:tc>
          <w:tcPr>
            <w:tcW w:w="1160" w:type="dxa"/>
            <w:tcBorders>
              <w:top w:val="nil"/>
              <w:left w:val="nil"/>
              <w:bottom w:val="nil"/>
              <w:right w:val="nil"/>
            </w:tcBorders>
            <w:shd w:val="clear" w:color="auto" w:fill="auto"/>
            <w:noWrap/>
            <w:hideMark/>
          </w:tcPr>
          <w:p w14:paraId="4FF292EF"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556951.3</w:t>
            </w:r>
          </w:p>
        </w:tc>
      </w:tr>
      <w:tr w:rsidR="000B74F9" w:rsidRPr="000B74F9" w14:paraId="5D3D0917" w14:textId="77777777" w:rsidTr="000B74F9">
        <w:trPr>
          <w:trHeight w:val="408"/>
        </w:trPr>
        <w:tc>
          <w:tcPr>
            <w:tcW w:w="265" w:type="dxa"/>
            <w:tcBorders>
              <w:top w:val="nil"/>
              <w:left w:val="nil"/>
              <w:bottom w:val="nil"/>
              <w:right w:val="nil"/>
            </w:tcBorders>
            <w:shd w:val="clear" w:color="000000" w:fill="F2F2F2"/>
            <w:noWrap/>
            <w:hideMark/>
          </w:tcPr>
          <w:p w14:paraId="0073B6BC"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t.</w:t>
            </w:r>
          </w:p>
        </w:tc>
        <w:tc>
          <w:tcPr>
            <w:tcW w:w="4695" w:type="dxa"/>
            <w:tcBorders>
              <w:top w:val="nil"/>
              <w:left w:val="nil"/>
              <w:bottom w:val="nil"/>
              <w:right w:val="nil"/>
            </w:tcBorders>
            <w:shd w:val="clear" w:color="000000" w:fill="F2F2F2"/>
            <w:hideMark/>
          </w:tcPr>
          <w:p w14:paraId="7235E977"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Family psychoeducation, safety planning, safe space services, GP services capacity increase, CMHC services capacity increase</w:t>
            </w:r>
          </w:p>
        </w:tc>
        <w:tc>
          <w:tcPr>
            <w:tcW w:w="380" w:type="dxa"/>
            <w:tcBorders>
              <w:top w:val="nil"/>
              <w:left w:val="nil"/>
              <w:bottom w:val="nil"/>
              <w:right w:val="nil"/>
            </w:tcBorders>
            <w:shd w:val="clear" w:color="000000" w:fill="F2F2F2"/>
            <w:hideMark/>
          </w:tcPr>
          <w:p w14:paraId="194A69A7"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 </w:t>
            </w:r>
          </w:p>
        </w:tc>
        <w:tc>
          <w:tcPr>
            <w:tcW w:w="1160" w:type="dxa"/>
            <w:tcBorders>
              <w:top w:val="nil"/>
              <w:left w:val="nil"/>
              <w:bottom w:val="nil"/>
              <w:right w:val="nil"/>
            </w:tcBorders>
            <w:shd w:val="clear" w:color="000000" w:fill="F2F2F2"/>
            <w:noWrap/>
            <w:hideMark/>
          </w:tcPr>
          <w:p w14:paraId="56C3EE94"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1853.6</w:t>
            </w:r>
          </w:p>
        </w:tc>
        <w:tc>
          <w:tcPr>
            <w:tcW w:w="1160" w:type="dxa"/>
            <w:tcBorders>
              <w:top w:val="nil"/>
              <w:left w:val="nil"/>
              <w:bottom w:val="nil"/>
              <w:right w:val="nil"/>
            </w:tcBorders>
            <w:shd w:val="clear" w:color="000000" w:fill="F2F2F2"/>
            <w:noWrap/>
            <w:hideMark/>
          </w:tcPr>
          <w:p w14:paraId="35A48579"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161922.1</w:t>
            </w:r>
          </w:p>
        </w:tc>
        <w:tc>
          <w:tcPr>
            <w:tcW w:w="1160" w:type="dxa"/>
            <w:tcBorders>
              <w:top w:val="nil"/>
              <w:left w:val="nil"/>
              <w:bottom w:val="nil"/>
              <w:right w:val="nil"/>
            </w:tcBorders>
            <w:shd w:val="clear" w:color="000000" w:fill="F2F2F2"/>
            <w:noWrap/>
            <w:hideMark/>
          </w:tcPr>
          <w:p w14:paraId="03A14768"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561626.3</w:t>
            </w:r>
          </w:p>
        </w:tc>
      </w:tr>
      <w:tr w:rsidR="000B74F9" w:rsidRPr="000B74F9" w14:paraId="5C138F47" w14:textId="77777777" w:rsidTr="000B74F9">
        <w:trPr>
          <w:trHeight w:val="408"/>
        </w:trPr>
        <w:tc>
          <w:tcPr>
            <w:tcW w:w="265" w:type="dxa"/>
            <w:tcBorders>
              <w:top w:val="nil"/>
              <w:left w:val="nil"/>
              <w:bottom w:val="nil"/>
              <w:right w:val="nil"/>
            </w:tcBorders>
            <w:shd w:val="clear" w:color="auto" w:fill="auto"/>
            <w:noWrap/>
            <w:hideMark/>
          </w:tcPr>
          <w:p w14:paraId="0992ACEC"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u.</w:t>
            </w:r>
          </w:p>
        </w:tc>
        <w:tc>
          <w:tcPr>
            <w:tcW w:w="4695" w:type="dxa"/>
            <w:tcBorders>
              <w:top w:val="nil"/>
              <w:left w:val="nil"/>
              <w:bottom w:val="nil"/>
              <w:right w:val="nil"/>
            </w:tcBorders>
            <w:shd w:val="clear" w:color="auto" w:fill="auto"/>
            <w:hideMark/>
          </w:tcPr>
          <w:p w14:paraId="5B008CFC"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Acute care services, family psychoeducation, social connectedness, GP services capacity increase, CMHC services capacity increase</w:t>
            </w:r>
          </w:p>
        </w:tc>
        <w:tc>
          <w:tcPr>
            <w:tcW w:w="380" w:type="dxa"/>
            <w:tcBorders>
              <w:top w:val="nil"/>
              <w:left w:val="nil"/>
              <w:bottom w:val="nil"/>
              <w:right w:val="nil"/>
            </w:tcBorders>
            <w:shd w:val="clear" w:color="auto" w:fill="auto"/>
            <w:hideMark/>
          </w:tcPr>
          <w:p w14:paraId="3F2D82AD"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p>
        </w:tc>
        <w:tc>
          <w:tcPr>
            <w:tcW w:w="1160" w:type="dxa"/>
            <w:tcBorders>
              <w:top w:val="nil"/>
              <w:left w:val="nil"/>
              <w:bottom w:val="nil"/>
              <w:right w:val="nil"/>
            </w:tcBorders>
            <w:shd w:val="clear" w:color="auto" w:fill="auto"/>
            <w:noWrap/>
            <w:hideMark/>
          </w:tcPr>
          <w:p w14:paraId="4FFB0C9A"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1885</w:t>
            </w:r>
          </w:p>
        </w:tc>
        <w:tc>
          <w:tcPr>
            <w:tcW w:w="1160" w:type="dxa"/>
            <w:tcBorders>
              <w:top w:val="nil"/>
              <w:left w:val="nil"/>
              <w:bottom w:val="nil"/>
              <w:right w:val="nil"/>
            </w:tcBorders>
            <w:shd w:val="clear" w:color="auto" w:fill="auto"/>
            <w:noWrap/>
            <w:hideMark/>
          </w:tcPr>
          <w:p w14:paraId="6D1F3D0B"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158308.8</w:t>
            </w:r>
          </w:p>
        </w:tc>
        <w:tc>
          <w:tcPr>
            <w:tcW w:w="1160" w:type="dxa"/>
            <w:tcBorders>
              <w:top w:val="nil"/>
              <w:left w:val="nil"/>
              <w:bottom w:val="nil"/>
              <w:right w:val="nil"/>
            </w:tcBorders>
            <w:shd w:val="clear" w:color="auto" w:fill="auto"/>
            <w:noWrap/>
            <w:hideMark/>
          </w:tcPr>
          <w:p w14:paraId="6275CBAD"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557147.3</w:t>
            </w:r>
          </w:p>
        </w:tc>
      </w:tr>
      <w:tr w:rsidR="000B74F9" w:rsidRPr="000B74F9" w14:paraId="0442C260" w14:textId="77777777" w:rsidTr="000B74F9">
        <w:trPr>
          <w:trHeight w:val="408"/>
        </w:trPr>
        <w:tc>
          <w:tcPr>
            <w:tcW w:w="265" w:type="dxa"/>
            <w:tcBorders>
              <w:top w:val="nil"/>
              <w:left w:val="nil"/>
              <w:bottom w:val="nil"/>
              <w:right w:val="nil"/>
            </w:tcBorders>
            <w:shd w:val="clear" w:color="000000" w:fill="F2F2F2"/>
            <w:noWrap/>
            <w:hideMark/>
          </w:tcPr>
          <w:p w14:paraId="756C720D"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v.</w:t>
            </w:r>
          </w:p>
        </w:tc>
        <w:tc>
          <w:tcPr>
            <w:tcW w:w="4695" w:type="dxa"/>
            <w:tcBorders>
              <w:top w:val="nil"/>
              <w:left w:val="nil"/>
              <w:bottom w:val="nil"/>
              <w:right w:val="nil"/>
            </w:tcBorders>
            <w:shd w:val="clear" w:color="000000" w:fill="F2F2F2"/>
            <w:hideMark/>
          </w:tcPr>
          <w:p w14:paraId="5C606611"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Family psychoeducation, safe space services, social connectedness, GP services capacity increase, CMHC services capacity increase</w:t>
            </w:r>
          </w:p>
        </w:tc>
        <w:tc>
          <w:tcPr>
            <w:tcW w:w="380" w:type="dxa"/>
            <w:tcBorders>
              <w:top w:val="nil"/>
              <w:left w:val="nil"/>
              <w:bottom w:val="nil"/>
              <w:right w:val="nil"/>
            </w:tcBorders>
            <w:shd w:val="clear" w:color="000000" w:fill="F2F2F2"/>
            <w:hideMark/>
          </w:tcPr>
          <w:p w14:paraId="79387210"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 </w:t>
            </w:r>
          </w:p>
        </w:tc>
        <w:tc>
          <w:tcPr>
            <w:tcW w:w="1160" w:type="dxa"/>
            <w:tcBorders>
              <w:top w:val="nil"/>
              <w:left w:val="nil"/>
              <w:bottom w:val="nil"/>
              <w:right w:val="nil"/>
            </w:tcBorders>
            <w:shd w:val="clear" w:color="000000" w:fill="F2F2F2"/>
            <w:noWrap/>
            <w:hideMark/>
          </w:tcPr>
          <w:p w14:paraId="057CD27E"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1898.2</w:t>
            </w:r>
          </w:p>
        </w:tc>
        <w:tc>
          <w:tcPr>
            <w:tcW w:w="1160" w:type="dxa"/>
            <w:tcBorders>
              <w:top w:val="nil"/>
              <w:left w:val="nil"/>
              <w:bottom w:val="nil"/>
              <w:right w:val="nil"/>
            </w:tcBorders>
            <w:shd w:val="clear" w:color="000000" w:fill="F2F2F2"/>
            <w:noWrap/>
            <w:hideMark/>
          </w:tcPr>
          <w:p w14:paraId="20A3D6DC"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161850.4</w:t>
            </w:r>
          </w:p>
        </w:tc>
        <w:tc>
          <w:tcPr>
            <w:tcW w:w="1160" w:type="dxa"/>
            <w:tcBorders>
              <w:top w:val="nil"/>
              <w:left w:val="nil"/>
              <w:bottom w:val="nil"/>
              <w:right w:val="nil"/>
            </w:tcBorders>
            <w:shd w:val="clear" w:color="000000" w:fill="F2F2F2"/>
            <w:noWrap/>
            <w:hideMark/>
          </w:tcPr>
          <w:p w14:paraId="48767A68"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556789.3</w:t>
            </w:r>
          </w:p>
        </w:tc>
      </w:tr>
      <w:tr w:rsidR="000B74F9" w:rsidRPr="000B74F9" w14:paraId="0246E1AF" w14:textId="77777777" w:rsidTr="000B74F9">
        <w:trPr>
          <w:trHeight w:val="612"/>
        </w:trPr>
        <w:tc>
          <w:tcPr>
            <w:tcW w:w="265" w:type="dxa"/>
            <w:tcBorders>
              <w:top w:val="nil"/>
              <w:left w:val="nil"/>
              <w:bottom w:val="nil"/>
              <w:right w:val="nil"/>
            </w:tcBorders>
            <w:shd w:val="clear" w:color="auto" w:fill="auto"/>
            <w:noWrap/>
            <w:hideMark/>
          </w:tcPr>
          <w:p w14:paraId="10278125"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w.</w:t>
            </w:r>
          </w:p>
        </w:tc>
        <w:tc>
          <w:tcPr>
            <w:tcW w:w="4695" w:type="dxa"/>
            <w:tcBorders>
              <w:top w:val="nil"/>
              <w:left w:val="nil"/>
              <w:bottom w:val="nil"/>
              <w:right w:val="nil"/>
            </w:tcBorders>
            <w:shd w:val="clear" w:color="auto" w:fill="auto"/>
            <w:hideMark/>
          </w:tcPr>
          <w:p w14:paraId="5692189F"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Family psychoeducation, social connectedness, GP services capacity increase, psychiatric hospital capacity increase, CMHC services capacity increase</w:t>
            </w:r>
          </w:p>
        </w:tc>
        <w:tc>
          <w:tcPr>
            <w:tcW w:w="380" w:type="dxa"/>
            <w:tcBorders>
              <w:top w:val="nil"/>
              <w:left w:val="nil"/>
              <w:bottom w:val="nil"/>
              <w:right w:val="nil"/>
            </w:tcBorders>
            <w:shd w:val="clear" w:color="auto" w:fill="auto"/>
            <w:hideMark/>
          </w:tcPr>
          <w:p w14:paraId="3DC75DBC"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p>
        </w:tc>
        <w:tc>
          <w:tcPr>
            <w:tcW w:w="1160" w:type="dxa"/>
            <w:tcBorders>
              <w:top w:val="nil"/>
              <w:left w:val="nil"/>
              <w:bottom w:val="nil"/>
              <w:right w:val="nil"/>
            </w:tcBorders>
            <w:shd w:val="clear" w:color="auto" w:fill="auto"/>
            <w:noWrap/>
            <w:hideMark/>
          </w:tcPr>
          <w:p w14:paraId="2463C433"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1911</w:t>
            </w:r>
          </w:p>
        </w:tc>
        <w:tc>
          <w:tcPr>
            <w:tcW w:w="1160" w:type="dxa"/>
            <w:tcBorders>
              <w:top w:val="nil"/>
              <w:left w:val="nil"/>
              <w:bottom w:val="nil"/>
              <w:right w:val="nil"/>
            </w:tcBorders>
            <w:shd w:val="clear" w:color="auto" w:fill="auto"/>
            <w:noWrap/>
            <w:hideMark/>
          </w:tcPr>
          <w:p w14:paraId="226A9645"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165413.4</w:t>
            </w:r>
          </w:p>
        </w:tc>
        <w:tc>
          <w:tcPr>
            <w:tcW w:w="1160" w:type="dxa"/>
            <w:tcBorders>
              <w:top w:val="nil"/>
              <w:left w:val="nil"/>
              <w:bottom w:val="nil"/>
              <w:right w:val="nil"/>
            </w:tcBorders>
            <w:shd w:val="clear" w:color="auto" w:fill="auto"/>
            <w:noWrap/>
            <w:hideMark/>
          </w:tcPr>
          <w:p w14:paraId="6E13A251"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556539.3</w:t>
            </w:r>
          </w:p>
        </w:tc>
      </w:tr>
      <w:tr w:rsidR="000B74F9" w:rsidRPr="000B74F9" w14:paraId="1D5D5442" w14:textId="77777777" w:rsidTr="000B74F9">
        <w:trPr>
          <w:trHeight w:val="204"/>
        </w:trPr>
        <w:tc>
          <w:tcPr>
            <w:tcW w:w="265" w:type="dxa"/>
            <w:tcBorders>
              <w:top w:val="nil"/>
              <w:left w:val="nil"/>
              <w:bottom w:val="single" w:sz="4" w:space="0" w:color="auto"/>
              <w:right w:val="nil"/>
            </w:tcBorders>
            <w:shd w:val="clear" w:color="auto" w:fill="auto"/>
            <w:noWrap/>
            <w:vAlign w:val="bottom"/>
            <w:hideMark/>
          </w:tcPr>
          <w:p w14:paraId="744CAB8C"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 </w:t>
            </w:r>
          </w:p>
        </w:tc>
        <w:tc>
          <w:tcPr>
            <w:tcW w:w="4695" w:type="dxa"/>
            <w:tcBorders>
              <w:top w:val="nil"/>
              <w:left w:val="nil"/>
              <w:bottom w:val="single" w:sz="4" w:space="0" w:color="auto"/>
              <w:right w:val="nil"/>
            </w:tcBorders>
            <w:shd w:val="clear" w:color="auto" w:fill="auto"/>
            <w:noWrap/>
            <w:vAlign w:val="bottom"/>
            <w:hideMark/>
          </w:tcPr>
          <w:p w14:paraId="3C5E03D0"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 </w:t>
            </w:r>
          </w:p>
        </w:tc>
        <w:tc>
          <w:tcPr>
            <w:tcW w:w="380" w:type="dxa"/>
            <w:tcBorders>
              <w:top w:val="nil"/>
              <w:left w:val="nil"/>
              <w:bottom w:val="single" w:sz="4" w:space="0" w:color="auto"/>
              <w:right w:val="nil"/>
            </w:tcBorders>
            <w:shd w:val="clear" w:color="auto" w:fill="auto"/>
            <w:noWrap/>
            <w:vAlign w:val="bottom"/>
            <w:hideMark/>
          </w:tcPr>
          <w:p w14:paraId="7DC506F8"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 </w:t>
            </w:r>
          </w:p>
        </w:tc>
        <w:tc>
          <w:tcPr>
            <w:tcW w:w="1160" w:type="dxa"/>
            <w:tcBorders>
              <w:top w:val="nil"/>
              <w:left w:val="nil"/>
              <w:bottom w:val="single" w:sz="4" w:space="0" w:color="auto"/>
              <w:right w:val="nil"/>
            </w:tcBorders>
            <w:shd w:val="clear" w:color="auto" w:fill="auto"/>
            <w:noWrap/>
            <w:vAlign w:val="bottom"/>
            <w:hideMark/>
          </w:tcPr>
          <w:p w14:paraId="0AA95215"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 </w:t>
            </w:r>
          </w:p>
        </w:tc>
        <w:tc>
          <w:tcPr>
            <w:tcW w:w="1160" w:type="dxa"/>
            <w:tcBorders>
              <w:top w:val="nil"/>
              <w:left w:val="nil"/>
              <w:bottom w:val="single" w:sz="4" w:space="0" w:color="auto"/>
              <w:right w:val="nil"/>
            </w:tcBorders>
            <w:shd w:val="clear" w:color="auto" w:fill="auto"/>
            <w:noWrap/>
            <w:vAlign w:val="bottom"/>
            <w:hideMark/>
          </w:tcPr>
          <w:p w14:paraId="1CBE9805"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 </w:t>
            </w:r>
          </w:p>
        </w:tc>
        <w:tc>
          <w:tcPr>
            <w:tcW w:w="1160" w:type="dxa"/>
            <w:tcBorders>
              <w:top w:val="nil"/>
              <w:left w:val="nil"/>
              <w:bottom w:val="single" w:sz="4" w:space="0" w:color="auto"/>
              <w:right w:val="nil"/>
            </w:tcBorders>
            <w:shd w:val="clear" w:color="auto" w:fill="auto"/>
            <w:noWrap/>
            <w:vAlign w:val="bottom"/>
            <w:hideMark/>
          </w:tcPr>
          <w:p w14:paraId="56DAA79F" w14:textId="77777777" w:rsidR="000B74F9" w:rsidRPr="000B74F9" w:rsidRDefault="000B74F9" w:rsidP="000B74F9">
            <w:pPr>
              <w:spacing w:line="240" w:lineRule="auto"/>
              <w:rPr>
                <w:rFonts w:ascii="Times New Roman" w:eastAsia="Times New Roman" w:hAnsi="Times New Roman"/>
                <w:color w:val="000000"/>
                <w:sz w:val="16"/>
                <w:szCs w:val="16"/>
                <w:lang w:eastAsia="en-AU"/>
              </w:rPr>
            </w:pPr>
            <w:r w:rsidRPr="000B74F9">
              <w:rPr>
                <w:rFonts w:ascii="Times New Roman" w:eastAsia="Times New Roman" w:hAnsi="Times New Roman"/>
                <w:color w:val="000000"/>
                <w:sz w:val="16"/>
                <w:szCs w:val="16"/>
                <w:lang w:eastAsia="en-AU"/>
              </w:rPr>
              <w:t> </w:t>
            </w:r>
          </w:p>
        </w:tc>
      </w:tr>
    </w:tbl>
    <w:p w14:paraId="5B7997BE" w14:textId="77777777" w:rsidR="00A275F6" w:rsidRDefault="00A275F6" w:rsidP="00C9211F">
      <w:pPr>
        <w:spacing w:line="480" w:lineRule="auto"/>
        <w:rPr>
          <w:rFonts w:ascii="Times New Roman" w:hAnsi="Times New Roman"/>
          <w:sz w:val="20"/>
          <w:szCs w:val="20"/>
        </w:rPr>
      </w:pPr>
    </w:p>
    <w:p w14:paraId="7A12F264" w14:textId="77777777" w:rsidR="00F03FDD" w:rsidRPr="00CB63F5" w:rsidRDefault="00F03FDD" w:rsidP="00C9211F">
      <w:pPr>
        <w:spacing w:line="480" w:lineRule="auto"/>
        <w:rPr>
          <w:rFonts w:ascii="Times New Roman" w:hAnsi="Times New Roman"/>
          <w:sz w:val="20"/>
          <w:szCs w:val="20"/>
        </w:rPr>
      </w:pPr>
    </w:p>
    <w:sectPr w:rsidR="00F03FDD" w:rsidRPr="00CB63F5" w:rsidSect="008179A4">
      <w:pgSz w:w="11906" w:h="16838" w:code="9"/>
      <w:pgMar w:top="1440" w:right="1440" w:bottom="1440" w:left="1440"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E9611F" w14:textId="77777777" w:rsidR="003466DB" w:rsidRDefault="003466DB" w:rsidP="00FD416A">
      <w:pPr>
        <w:spacing w:line="240" w:lineRule="auto"/>
      </w:pPr>
      <w:r>
        <w:separator/>
      </w:r>
    </w:p>
  </w:endnote>
  <w:endnote w:type="continuationSeparator" w:id="0">
    <w:p w14:paraId="4E34793B" w14:textId="77777777" w:rsidR="003466DB" w:rsidRDefault="003466DB" w:rsidP="00FD41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5944013"/>
      <w:docPartObj>
        <w:docPartGallery w:val="Page Numbers (Bottom of Page)"/>
        <w:docPartUnique/>
      </w:docPartObj>
    </w:sdtPr>
    <w:sdtEndPr>
      <w:rPr>
        <w:rFonts w:ascii="Times New Roman" w:hAnsi="Times New Roman"/>
        <w:noProof/>
        <w:sz w:val="20"/>
        <w:szCs w:val="20"/>
      </w:rPr>
    </w:sdtEndPr>
    <w:sdtContent>
      <w:p w14:paraId="6EC3986C" w14:textId="0F0EF5C9" w:rsidR="003B244A" w:rsidRPr="00FD416A" w:rsidRDefault="003B244A">
        <w:pPr>
          <w:pStyle w:val="Footer"/>
          <w:jc w:val="right"/>
          <w:rPr>
            <w:rFonts w:ascii="Times New Roman" w:hAnsi="Times New Roman"/>
            <w:sz w:val="20"/>
            <w:szCs w:val="20"/>
          </w:rPr>
        </w:pPr>
        <w:r w:rsidRPr="00FD416A">
          <w:rPr>
            <w:rFonts w:ascii="Times New Roman" w:hAnsi="Times New Roman"/>
            <w:sz w:val="20"/>
            <w:szCs w:val="20"/>
          </w:rPr>
          <w:fldChar w:fldCharType="begin"/>
        </w:r>
        <w:r w:rsidRPr="00FD416A">
          <w:rPr>
            <w:rFonts w:ascii="Times New Roman" w:hAnsi="Times New Roman"/>
            <w:sz w:val="20"/>
            <w:szCs w:val="20"/>
          </w:rPr>
          <w:instrText xml:space="preserve"> PAGE   \* MERGEFORMAT </w:instrText>
        </w:r>
        <w:r w:rsidRPr="00FD416A">
          <w:rPr>
            <w:rFonts w:ascii="Times New Roman" w:hAnsi="Times New Roman"/>
            <w:sz w:val="20"/>
            <w:szCs w:val="20"/>
          </w:rPr>
          <w:fldChar w:fldCharType="separate"/>
        </w:r>
        <w:r w:rsidRPr="00FD416A">
          <w:rPr>
            <w:rFonts w:ascii="Times New Roman" w:hAnsi="Times New Roman"/>
            <w:noProof/>
            <w:sz w:val="20"/>
            <w:szCs w:val="20"/>
          </w:rPr>
          <w:t>2</w:t>
        </w:r>
        <w:r w:rsidRPr="00FD416A">
          <w:rPr>
            <w:rFonts w:ascii="Times New Roman" w:hAnsi="Times New Roman"/>
            <w:noProof/>
            <w:sz w:val="20"/>
            <w:szCs w:val="20"/>
          </w:rPr>
          <w:fldChar w:fldCharType="end"/>
        </w:r>
      </w:p>
    </w:sdtContent>
  </w:sdt>
  <w:p w14:paraId="610D1D11" w14:textId="77777777" w:rsidR="003B244A" w:rsidRDefault="003B2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A7C9E4" w14:textId="77777777" w:rsidR="003466DB" w:rsidRDefault="003466DB" w:rsidP="00FD416A">
      <w:pPr>
        <w:spacing w:line="240" w:lineRule="auto"/>
      </w:pPr>
      <w:r>
        <w:separator/>
      </w:r>
    </w:p>
  </w:footnote>
  <w:footnote w:type="continuationSeparator" w:id="0">
    <w:p w14:paraId="35AF8E63" w14:textId="77777777" w:rsidR="003466DB" w:rsidRDefault="003466DB" w:rsidP="00FD416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efaultTableStyle w:val="TableGrid"/>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3F5"/>
    <w:rsid w:val="0000018C"/>
    <w:rsid w:val="0000156B"/>
    <w:rsid w:val="00002518"/>
    <w:rsid w:val="0000351E"/>
    <w:rsid w:val="00003B8D"/>
    <w:rsid w:val="000040C9"/>
    <w:rsid w:val="0000546C"/>
    <w:rsid w:val="000056E3"/>
    <w:rsid w:val="00005A78"/>
    <w:rsid w:val="00010EEC"/>
    <w:rsid w:val="000110D8"/>
    <w:rsid w:val="000119A9"/>
    <w:rsid w:val="000146DF"/>
    <w:rsid w:val="00014876"/>
    <w:rsid w:val="000150DC"/>
    <w:rsid w:val="000154BE"/>
    <w:rsid w:val="00015A09"/>
    <w:rsid w:val="00015E79"/>
    <w:rsid w:val="0001754A"/>
    <w:rsid w:val="0001755A"/>
    <w:rsid w:val="00017C79"/>
    <w:rsid w:val="00023731"/>
    <w:rsid w:val="00024748"/>
    <w:rsid w:val="00026C8F"/>
    <w:rsid w:val="00031250"/>
    <w:rsid w:val="000315A6"/>
    <w:rsid w:val="00032401"/>
    <w:rsid w:val="00034DE6"/>
    <w:rsid w:val="0003584D"/>
    <w:rsid w:val="00040228"/>
    <w:rsid w:val="000417CB"/>
    <w:rsid w:val="00042777"/>
    <w:rsid w:val="00043082"/>
    <w:rsid w:val="00044931"/>
    <w:rsid w:val="00044C81"/>
    <w:rsid w:val="00044CBB"/>
    <w:rsid w:val="00046A1C"/>
    <w:rsid w:val="0004729D"/>
    <w:rsid w:val="00050E7F"/>
    <w:rsid w:val="00051880"/>
    <w:rsid w:val="00051E29"/>
    <w:rsid w:val="00053D37"/>
    <w:rsid w:val="00053F09"/>
    <w:rsid w:val="000545FA"/>
    <w:rsid w:val="00055746"/>
    <w:rsid w:val="00055C73"/>
    <w:rsid w:val="00055D81"/>
    <w:rsid w:val="00056448"/>
    <w:rsid w:val="00056C35"/>
    <w:rsid w:val="00061151"/>
    <w:rsid w:val="00062362"/>
    <w:rsid w:val="000623E8"/>
    <w:rsid w:val="00062ADE"/>
    <w:rsid w:val="00062BD9"/>
    <w:rsid w:val="00064B81"/>
    <w:rsid w:val="00066405"/>
    <w:rsid w:val="0006713F"/>
    <w:rsid w:val="000673B8"/>
    <w:rsid w:val="0007100B"/>
    <w:rsid w:val="0007233E"/>
    <w:rsid w:val="0007278C"/>
    <w:rsid w:val="00073578"/>
    <w:rsid w:val="00073C23"/>
    <w:rsid w:val="00074BFE"/>
    <w:rsid w:val="00074D9C"/>
    <w:rsid w:val="0007642A"/>
    <w:rsid w:val="0007695B"/>
    <w:rsid w:val="00076A4A"/>
    <w:rsid w:val="00080444"/>
    <w:rsid w:val="0008065F"/>
    <w:rsid w:val="00082DAD"/>
    <w:rsid w:val="000838AF"/>
    <w:rsid w:val="00084641"/>
    <w:rsid w:val="00086264"/>
    <w:rsid w:val="00086561"/>
    <w:rsid w:val="000869F8"/>
    <w:rsid w:val="00086A6B"/>
    <w:rsid w:val="0008746C"/>
    <w:rsid w:val="0009010E"/>
    <w:rsid w:val="0009099F"/>
    <w:rsid w:val="00091853"/>
    <w:rsid w:val="00091935"/>
    <w:rsid w:val="00092311"/>
    <w:rsid w:val="0009395A"/>
    <w:rsid w:val="00094D21"/>
    <w:rsid w:val="000950ED"/>
    <w:rsid w:val="0009541D"/>
    <w:rsid w:val="0009574F"/>
    <w:rsid w:val="0009644D"/>
    <w:rsid w:val="000967BF"/>
    <w:rsid w:val="00096B58"/>
    <w:rsid w:val="00096CFA"/>
    <w:rsid w:val="00096FEF"/>
    <w:rsid w:val="000A08F6"/>
    <w:rsid w:val="000A0DA9"/>
    <w:rsid w:val="000A1043"/>
    <w:rsid w:val="000A3B2A"/>
    <w:rsid w:val="000A3F90"/>
    <w:rsid w:val="000A4034"/>
    <w:rsid w:val="000A475C"/>
    <w:rsid w:val="000A523E"/>
    <w:rsid w:val="000A5E7C"/>
    <w:rsid w:val="000A65EC"/>
    <w:rsid w:val="000B0AC1"/>
    <w:rsid w:val="000B13B4"/>
    <w:rsid w:val="000B180E"/>
    <w:rsid w:val="000B294E"/>
    <w:rsid w:val="000B3467"/>
    <w:rsid w:val="000B3BBF"/>
    <w:rsid w:val="000B5FD0"/>
    <w:rsid w:val="000B5FD3"/>
    <w:rsid w:val="000B6F35"/>
    <w:rsid w:val="000B74F9"/>
    <w:rsid w:val="000C1A13"/>
    <w:rsid w:val="000C317F"/>
    <w:rsid w:val="000C4901"/>
    <w:rsid w:val="000C4D7F"/>
    <w:rsid w:val="000C51D3"/>
    <w:rsid w:val="000C52A6"/>
    <w:rsid w:val="000C5490"/>
    <w:rsid w:val="000C6BB6"/>
    <w:rsid w:val="000C6FDF"/>
    <w:rsid w:val="000C7AD1"/>
    <w:rsid w:val="000D0DB0"/>
    <w:rsid w:val="000D13CB"/>
    <w:rsid w:val="000D5C6E"/>
    <w:rsid w:val="000E0136"/>
    <w:rsid w:val="000E0BDC"/>
    <w:rsid w:val="000E0FB1"/>
    <w:rsid w:val="000E1689"/>
    <w:rsid w:val="000E2029"/>
    <w:rsid w:val="000E21B6"/>
    <w:rsid w:val="000E2F23"/>
    <w:rsid w:val="000E3146"/>
    <w:rsid w:val="000E3505"/>
    <w:rsid w:val="000E3E70"/>
    <w:rsid w:val="000E4425"/>
    <w:rsid w:val="000E7887"/>
    <w:rsid w:val="000F182B"/>
    <w:rsid w:val="000F2AAE"/>
    <w:rsid w:val="000F415D"/>
    <w:rsid w:val="000F5630"/>
    <w:rsid w:val="00100941"/>
    <w:rsid w:val="0010235A"/>
    <w:rsid w:val="00102B73"/>
    <w:rsid w:val="00102DBA"/>
    <w:rsid w:val="00103BA6"/>
    <w:rsid w:val="00104907"/>
    <w:rsid w:val="00105560"/>
    <w:rsid w:val="00105E71"/>
    <w:rsid w:val="001062FD"/>
    <w:rsid w:val="00106F1C"/>
    <w:rsid w:val="00107D03"/>
    <w:rsid w:val="00110870"/>
    <w:rsid w:val="00111E62"/>
    <w:rsid w:val="001137B2"/>
    <w:rsid w:val="0011421A"/>
    <w:rsid w:val="00114314"/>
    <w:rsid w:val="00117070"/>
    <w:rsid w:val="00117C27"/>
    <w:rsid w:val="00117CE7"/>
    <w:rsid w:val="001239B2"/>
    <w:rsid w:val="00123E66"/>
    <w:rsid w:val="00124972"/>
    <w:rsid w:val="00125078"/>
    <w:rsid w:val="00125C49"/>
    <w:rsid w:val="001263A6"/>
    <w:rsid w:val="00126E58"/>
    <w:rsid w:val="00130963"/>
    <w:rsid w:val="0013115A"/>
    <w:rsid w:val="00132B33"/>
    <w:rsid w:val="00132ED4"/>
    <w:rsid w:val="00133777"/>
    <w:rsid w:val="00134B5B"/>
    <w:rsid w:val="00135C49"/>
    <w:rsid w:val="001368A3"/>
    <w:rsid w:val="001411DC"/>
    <w:rsid w:val="0014161D"/>
    <w:rsid w:val="001426A4"/>
    <w:rsid w:val="00143164"/>
    <w:rsid w:val="00146A63"/>
    <w:rsid w:val="00147168"/>
    <w:rsid w:val="00147AB9"/>
    <w:rsid w:val="0015198F"/>
    <w:rsid w:val="001522EC"/>
    <w:rsid w:val="00152642"/>
    <w:rsid w:val="00152B5C"/>
    <w:rsid w:val="00152B92"/>
    <w:rsid w:val="001539B0"/>
    <w:rsid w:val="00154F1F"/>
    <w:rsid w:val="001557DC"/>
    <w:rsid w:val="00155C55"/>
    <w:rsid w:val="00155D83"/>
    <w:rsid w:val="001560D0"/>
    <w:rsid w:val="001608D6"/>
    <w:rsid w:val="00160956"/>
    <w:rsid w:val="00160CCE"/>
    <w:rsid w:val="00161BAF"/>
    <w:rsid w:val="0016251A"/>
    <w:rsid w:val="00162787"/>
    <w:rsid w:val="00163AA2"/>
    <w:rsid w:val="0016441E"/>
    <w:rsid w:val="00165620"/>
    <w:rsid w:val="00165E28"/>
    <w:rsid w:val="0016675C"/>
    <w:rsid w:val="0016683C"/>
    <w:rsid w:val="00167D1A"/>
    <w:rsid w:val="00170714"/>
    <w:rsid w:val="00171166"/>
    <w:rsid w:val="00171427"/>
    <w:rsid w:val="001719BF"/>
    <w:rsid w:val="0017282A"/>
    <w:rsid w:val="0017327C"/>
    <w:rsid w:val="001747D5"/>
    <w:rsid w:val="00174DC4"/>
    <w:rsid w:val="00175D51"/>
    <w:rsid w:val="00177827"/>
    <w:rsid w:val="00177B1C"/>
    <w:rsid w:val="001801D4"/>
    <w:rsid w:val="00181569"/>
    <w:rsid w:val="00182FA8"/>
    <w:rsid w:val="00183A7A"/>
    <w:rsid w:val="00184939"/>
    <w:rsid w:val="00185BC9"/>
    <w:rsid w:val="00185DA1"/>
    <w:rsid w:val="00185E02"/>
    <w:rsid w:val="00187181"/>
    <w:rsid w:val="00187DAE"/>
    <w:rsid w:val="0019197F"/>
    <w:rsid w:val="00191A3F"/>
    <w:rsid w:val="0019268A"/>
    <w:rsid w:val="001931C9"/>
    <w:rsid w:val="0019445B"/>
    <w:rsid w:val="00194A15"/>
    <w:rsid w:val="001957B5"/>
    <w:rsid w:val="00196334"/>
    <w:rsid w:val="00197274"/>
    <w:rsid w:val="00197698"/>
    <w:rsid w:val="001A0076"/>
    <w:rsid w:val="001A0336"/>
    <w:rsid w:val="001A08D5"/>
    <w:rsid w:val="001A16FB"/>
    <w:rsid w:val="001A26B3"/>
    <w:rsid w:val="001A2D9C"/>
    <w:rsid w:val="001A3C09"/>
    <w:rsid w:val="001A605B"/>
    <w:rsid w:val="001A79A9"/>
    <w:rsid w:val="001B1093"/>
    <w:rsid w:val="001B43D2"/>
    <w:rsid w:val="001B4D95"/>
    <w:rsid w:val="001B4DFC"/>
    <w:rsid w:val="001B528F"/>
    <w:rsid w:val="001B54AC"/>
    <w:rsid w:val="001B56D8"/>
    <w:rsid w:val="001B736D"/>
    <w:rsid w:val="001C14B0"/>
    <w:rsid w:val="001C1997"/>
    <w:rsid w:val="001C1AC0"/>
    <w:rsid w:val="001C210A"/>
    <w:rsid w:val="001C4505"/>
    <w:rsid w:val="001C54CA"/>
    <w:rsid w:val="001C5D47"/>
    <w:rsid w:val="001C5E13"/>
    <w:rsid w:val="001C7613"/>
    <w:rsid w:val="001D115F"/>
    <w:rsid w:val="001D138B"/>
    <w:rsid w:val="001D242B"/>
    <w:rsid w:val="001D2C71"/>
    <w:rsid w:val="001D3B36"/>
    <w:rsid w:val="001D40CF"/>
    <w:rsid w:val="001D4EA3"/>
    <w:rsid w:val="001D678C"/>
    <w:rsid w:val="001E07DF"/>
    <w:rsid w:val="001E0D6D"/>
    <w:rsid w:val="001E12E3"/>
    <w:rsid w:val="001E15AB"/>
    <w:rsid w:val="001E1629"/>
    <w:rsid w:val="001E2C73"/>
    <w:rsid w:val="001E36E0"/>
    <w:rsid w:val="001E47AB"/>
    <w:rsid w:val="001E4BA9"/>
    <w:rsid w:val="001E5821"/>
    <w:rsid w:val="001E59DF"/>
    <w:rsid w:val="001E5B0F"/>
    <w:rsid w:val="001E695A"/>
    <w:rsid w:val="001E6FEA"/>
    <w:rsid w:val="001F050E"/>
    <w:rsid w:val="001F15B9"/>
    <w:rsid w:val="001F1F9B"/>
    <w:rsid w:val="001F2316"/>
    <w:rsid w:val="001F2500"/>
    <w:rsid w:val="001F2774"/>
    <w:rsid w:val="001F3C08"/>
    <w:rsid w:val="001F3F19"/>
    <w:rsid w:val="001F41E3"/>
    <w:rsid w:val="001F46A7"/>
    <w:rsid w:val="001F4809"/>
    <w:rsid w:val="001F502B"/>
    <w:rsid w:val="002021B5"/>
    <w:rsid w:val="00202B12"/>
    <w:rsid w:val="0020307A"/>
    <w:rsid w:val="00203E6E"/>
    <w:rsid w:val="002047AE"/>
    <w:rsid w:val="0020576D"/>
    <w:rsid w:val="00206A70"/>
    <w:rsid w:val="00206C4C"/>
    <w:rsid w:val="00210883"/>
    <w:rsid w:val="0021280A"/>
    <w:rsid w:val="00214846"/>
    <w:rsid w:val="00215A7B"/>
    <w:rsid w:val="00215A7E"/>
    <w:rsid w:val="002165C2"/>
    <w:rsid w:val="00220182"/>
    <w:rsid w:val="0022184A"/>
    <w:rsid w:val="00223001"/>
    <w:rsid w:val="002235FD"/>
    <w:rsid w:val="00226827"/>
    <w:rsid w:val="00226E29"/>
    <w:rsid w:val="00227C07"/>
    <w:rsid w:val="0023233A"/>
    <w:rsid w:val="0023254D"/>
    <w:rsid w:val="00232FC2"/>
    <w:rsid w:val="00233CCA"/>
    <w:rsid w:val="002345A4"/>
    <w:rsid w:val="002345DE"/>
    <w:rsid w:val="0023601D"/>
    <w:rsid w:val="00236B4B"/>
    <w:rsid w:val="00236CAD"/>
    <w:rsid w:val="00240B5F"/>
    <w:rsid w:val="0024117B"/>
    <w:rsid w:val="00242A7F"/>
    <w:rsid w:val="00242AA9"/>
    <w:rsid w:val="00244086"/>
    <w:rsid w:val="00244E60"/>
    <w:rsid w:val="00245C1E"/>
    <w:rsid w:val="002461F0"/>
    <w:rsid w:val="002505C2"/>
    <w:rsid w:val="00250B60"/>
    <w:rsid w:val="002529FA"/>
    <w:rsid w:val="00253BB6"/>
    <w:rsid w:val="00253BFE"/>
    <w:rsid w:val="0025719B"/>
    <w:rsid w:val="00260733"/>
    <w:rsid w:val="002641A9"/>
    <w:rsid w:val="0026454A"/>
    <w:rsid w:val="00264CBE"/>
    <w:rsid w:val="00264FFF"/>
    <w:rsid w:val="00265125"/>
    <w:rsid w:val="00265CAA"/>
    <w:rsid w:val="002660AA"/>
    <w:rsid w:val="002670FA"/>
    <w:rsid w:val="00267BE0"/>
    <w:rsid w:val="00270374"/>
    <w:rsid w:val="00270B2D"/>
    <w:rsid w:val="00271811"/>
    <w:rsid w:val="00272D1E"/>
    <w:rsid w:val="0027303D"/>
    <w:rsid w:val="002734E7"/>
    <w:rsid w:val="00273AC5"/>
    <w:rsid w:val="00273BC0"/>
    <w:rsid w:val="00273C13"/>
    <w:rsid w:val="00277FA4"/>
    <w:rsid w:val="0028089D"/>
    <w:rsid w:val="00281CD4"/>
    <w:rsid w:val="00281DE1"/>
    <w:rsid w:val="00282E6E"/>
    <w:rsid w:val="0028462B"/>
    <w:rsid w:val="00284CFD"/>
    <w:rsid w:val="00284E12"/>
    <w:rsid w:val="00284E64"/>
    <w:rsid w:val="0028648A"/>
    <w:rsid w:val="00286AF7"/>
    <w:rsid w:val="00286B78"/>
    <w:rsid w:val="002873F5"/>
    <w:rsid w:val="00287FC6"/>
    <w:rsid w:val="00290A3C"/>
    <w:rsid w:val="00291175"/>
    <w:rsid w:val="00291C26"/>
    <w:rsid w:val="00292586"/>
    <w:rsid w:val="0029680D"/>
    <w:rsid w:val="00296B4A"/>
    <w:rsid w:val="00297ED2"/>
    <w:rsid w:val="002A05D8"/>
    <w:rsid w:val="002A0B3F"/>
    <w:rsid w:val="002A194D"/>
    <w:rsid w:val="002A2038"/>
    <w:rsid w:val="002A2AFB"/>
    <w:rsid w:val="002A39C4"/>
    <w:rsid w:val="002A3CD1"/>
    <w:rsid w:val="002A4087"/>
    <w:rsid w:val="002A57EF"/>
    <w:rsid w:val="002A59DD"/>
    <w:rsid w:val="002A701C"/>
    <w:rsid w:val="002A71AA"/>
    <w:rsid w:val="002A7822"/>
    <w:rsid w:val="002A78F1"/>
    <w:rsid w:val="002B077C"/>
    <w:rsid w:val="002B08F9"/>
    <w:rsid w:val="002B0F8E"/>
    <w:rsid w:val="002B1424"/>
    <w:rsid w:val="002B2C23"/>
    <w:rsid w:val="002B30CE"/>
    <w:rsid w:val="002B3655"/>
    <w:rsid w:val="002B532B"/>
    <w:rsid w:val="002B72CE"/>
    <w:rsid w:val="002C19DA"/>
    <w:rsid w:val="002C20EC"/>
    <w:rsid w:val="002C390B"/>
    <w:rsid w:val="002C5109"/>
    <w:rsid w:val="002C7131"/>
    <w:rsid w:val="002C7800"/>
    <w:rsid w:val="002D0694"/>
    <w:rsid w:val="002D0797"/>
    <w:rsid w:val="002D161D"/>
    <w:rsid w:val="002D1F1F"/>
    <w:rsid w:val="002D205E"/>
    <w:rsid w:val="002D4056"/>
    <w:rsid w:val="002D5FB0"/>
    <w:rsid w:val="002D70FB"/>
    <w:rsid w:val="002D7C2F"/>
    <w:rsid w:val="002E09CE"/>
    <w:rsid w:val="002E0DCF"/>
    <w:rsid w:val="002E0DE4"/>
    <w:rsid w:val="002E207E"/>
    <w:rsid w:val="002E229C"/>
    <w:rsid w:val="002E260A"/>
    <w:rsid w:val="002E4508"/>
    <w:rsid w:val="002E4C28"/>
    <w:rsid w:val="002E5336"/>
    <w:rsid w:val="002E5435"/>
    <w:rsid w:val="002E716C"/>
    <w:rsid w:val="002E71EF"/>
    <w:rsid w:val="002F3986"/>
    <w:rsid w:val="002F3F14"/>
    <w:rsid w:val="002F54B5"/>
    <w:rsid w:val="002F68B6"/>
    <w:rsid w:val="002F798C"/>
    <w:rsid w:val="002F7A7A"/>
    <w:rsid w:val="00300FFC"/>
    <w:rsid w:val="00301D46"/>
    <w:rsid w:val="003031C8"/>
    <w:rsid w:val="00304AC5"/>
    <w:rsid w:val="003051D2"/>
    <w:rsid w:val="00306423"/>
    <w:rsid w:val="0031130F"/>
    <w:rsid w:val="00311512"/>
    <w:rsid w:val="003129A4"/>
    <w:rsid w:val="00313763"/>
    <w:rsid w:val="00313F54"/>
    <w:rsid w:val="003145D7"/>
    <w:rsid w:val="00314C4B"/>
    <w:rsid w:val="003150A5"/>
    <w:rsid w:val="00315F1B"/>
    <w:rsid w:val="003166EB"/>
    <w:rsid w:val="003173BE"/>
    <w:rsid w:val="003206ED"/>
    <w:rsid w:val="00323D96"/>
    <w:rsid w:val="0032422C"/>
    <w:rsid w:val="00327216"/>
    <w:rsid w:val="0033011D"/>
    <w:rsid w:val="003307BC"/>
    <w:rsid w:val="0033170E"/>
    <w:rsid w:val="00331C0B"/>
    <w:rsid w:val="00331D22"/>
    <w:rsid w:val="00332440"/>
    <w:rsid w:val="0033267D"/>
    <w:rsid w:val="003329BB"/>
    <w:rsid w:val="00332AEC"/>
    <w:rsid w:val="003343B8"/>
    <w:rsid w:val="00335DBD"/>
    <w:rsid w:val="00336BF0"/>
    <w:rsid w:val="00336C0D"/>
    <w:rsid w:val="00336D4C"/>
    <w:rsid w:val="00337161"/>
    <w:rsid w:val="003372D1"/>
    <w:rsid w:val="0033773D"/>
    <w:rsid w:val="00340BA5"/>
    <w:rsid w:val="00341503"/>
    <w:rsid w:val="00341B4E"/>
    <w:rsid w:val="003420B5"/>
    <w:rsid w:val="0034270E"/>
    <w:rsid w:val="003433F6"/>
    <w:rsid w:val="00343E01"/>
    <w:rsid w:val="0034458E"/>
    <w:rsid w:val="00344BA7"/>
    <w:rsid w:val="00345AA4"/>
    <w:rsid w:val="00346012"/>
    <w:rsid w:val="003466DB"/>
    <w:rsid w:val="003467E4"/>
    <w:rsid w:val="00346D6F"/>
    <w:rsid w:val="003475E7"/>
    <w:rsid w:val="00347C35"/>
    <w:rsid w:val="0035087F"/>
    <w:rsid w:val="00351FE6"/>
    <w:rsid w:val="00352BBB"/>
    <w:rsid w:val="00352F7A"/>
    <w:rsid w:val="0035425C"/>
    <w:rsid w:val="00355364"/>
    <w:rsid w:val="00355584"/>
    <w:rsid w:val="00362B93"/>
    <w:rsid w:val="00362E0B"/>
    <w:rsid w:val="00363411"/>
    <w:rsid w:val="00363518"/>
    <w:rsid w:val="00363896"/>
    <w:rsid w:val="0036391B"/>
    <w:rsid w:val="00363B9B"/>
    <w:rsid w:val="00364296"/>
    <w:rsid w:val="00364588"/>
    <w:rsid w:val="00364673"/>
    <w:rsid w:val="00366573"/>
    <w:rsid w:val="00366639"/>
    <w:rsid w:val="003668A7"/>
    <w:rsid w:val="00366C37"/>
    <w:rsid w:val="00370643"/>
    <w:rsid w:val="00370811"/>
    <w:rsid w:val="00370F08"/>
    <w:rsid w:val="00371C15"/>
    <w:rsid w:val="00371C76"/>
    <w:rsid w:val="003721A2"/>
    <w:rsid w:val="00372CB6"/>
    <w:rsid w:val="0037302B"/>
    <w:rsid w:val="00373DD1"/>
    <w:rsid w:val="00373EFA"/>
    <w:rsid w:val="0037703B"/>
    <w:rsid w:val="00377725"/>
    <w:rsid w:val="003800B8"/>
    <w:rsid w:val="003801DA"/>
    <w:rsid w:val="003817A4"/>
    <w:rsid w:val="00383BE9"/>
    <w:rsid w:val="00384DBF"/>
    <w:rsid w:val="003853B4"/>
    <w:rsid w:val="003864DB"/>
    <w:rsid w:val="00387593"/>
    <w:rsid w:val="00387618"/>
    <w:rsid w:val="003876EE"/>
    <w:rsid w:val="003878A8"/>
    <w:rsid w:val="00390B8A"/>
    <w:rsid w:val="00391E71"/>
    <w:rsid w:val="00392C21"/>
    <w:rsid w:val="0039420B"/>
    <w:rsid w:val="0039489C"/>
    <w:rsid w:val="00394F16"/>
    <w:rsid w:val="00395B19"/>
    <w:rsid w:val="003963A0"/>
    <w:rsid w:val="00396F79"/>
    <w:rsid w:val="00396FB3"/>
    <w:rsid w:val="00397237"/>
    <w:rsid w:val="003972A0"/>
    <w:rsid w:val="003972EA"/>
    <w:rsid w:val="00397A34"/>
    <w:rsid w:val="00397C2C"/>
    <w:rsid w:val="003A006F"/>
    <w:rsid w:val="003A0383"/>
    <w:rsid w:val="003A0CA7"/>
    <w:rsid w:val="003A11C3"/>
    <w:rsid w:val="003A1865"/>
    <w:rsid w:val="003A2368"/>
    <w:rsid w:val="003A2B76"/>
    <w:rsid w:val="003A2C47"/>
    <w:rsid w:val="003A3CA1"/>
    <w:rsid w:val="003A3D2B"/>
    <w:rsid w:val="003A4E2D"/>
    <w:rsid w:val="003A54A4"/>
    <w:rsid w:val="003A69ED"/>
    <w:rsid w:val="003A6BD1"/>
    <w:rsid w:val="003B0183"/>
    <w:rsid w:val="003B061F"/>
    <w:rsid w:val="003B2019"/>
    <w:rsid w:val="003B244A"/>
    <w:rsid w:val="003B2E7B"/>
    <w:rsid w:val="003B3C21"/>
    <w:rsid w:val="003B5425"/>
    <w:rsid w:val="003B5FA1"/>
    <w:rsid w:val="003B6A78"/>
    <w:rsid w:val="003C01EB"/>
    <w:rsid w:val="003C06B3"/>
    <w:rsid w:val="003C082C"/>
    <w:rsid w:val="003C3116"/>
    <w:rsid w:val="003C3296"/>
    <w:rsid w:val="003C3DCE"/>
    <w:rsid w:val="003C3F59"/>
    <w:rsid w:val="003C4AC2"/>
    <w:rsid w:val="003C4FCD"/>
    <w:rsid w:val="003C5CDB"/>
    <w:rsid w:val="003C60DE"/>
    <w:rsid w:val="003C6CEF"/>
    <w:rsid w:val="003C7432"/>
    <w:rsid w:val="003C7535"/>
    <w:rsid w:val="003D172E"/>
    <w:rsid w:val="003D43E8"/>
    <w:rsid w:val="003D5A23"/>
    <w:rsid w:val="003D7032"/>
    <w:rsid w:val="003E22C5"/>
    <w:rsid w:val="003E26B1"/>
    <w:rsid w:val="003E3CB5"/>
    <w:rsid w:val="003E47E1"/>
    <w:rsid w:val="003E49C1"/>
    <w:rsid w:val="003E5CDA"/>
    <w:rsid w:val="003E656E"/>
    <w:rsid w:val="003E696F"/>
    <w:rsid w:val="003E6B00"/>
    <w:rsid w:val="003E7CDD"/>
    <w:rsid w:val="003F059B"/>
    <w:rsid w:val="003F080B"/>
    <w:rsid w:val="003F0E9F"/>
    <w:rsid w:val="003F1394"/>
    <w:rsid w:val="003F1482"/>
    <w:rsid w:val="003F2F1F"/>
    <w:rsid w:val="003F3D95"/>
    <w:rsid w:val="003F4010"/>
    <w:rsid w:val="003F5480"/>
    <w:rsid w:val="003F6CCD"/>
    <w:rsid w:val="003F6FAB"/>
    <w:rsid w:val="00400D3A"/>
    <w:rsid w:val="00400FD7"/>
    <w:rsid w:val="00401172"/>
    <w:rsid w:val="004013F9"/>
    <w:rsid w:val="00404674"/>
    <w:rsid w:val="004064DE"/>
    <w:rsid w:val="0040756B"/>
    <w:rsid w:val="00407FD6"/>
    <w:rsid w:val="0041033E"/>
    <w:rsid w:val="004103CB"/>
    <w:rsid w:val="0041066D"/>
    <w:rsid w:val="00411115"/>
    <w:rsid w:val="004115E1"/>
    <w:rsid w:val="00411830"/>
    <w:rsid w:val="00413DD3"/>
    <w:rsid w:val="0041427A"/>
    <w:rsid w:val="0041580E"/>
    <w:rsid w:val="00416967"/>
    <w:rsid w:val="004172A5"/>
    <w:rsid w:val="0041766F"/>
    <w:rsid w:val="00417EC4"/>
    <w:rsid w:val="0042006F"/>
    <w:rsid w:val="00420A1A"/>
    <w:rsid w:val="00421000"/>
    <w:rsid w:val="0042111C"/>
    <w:rsid w:val="004229F1"/>
    <w:rsid w:val="00422F59"/>
    <w:rsid w:val="00423D2B"/>
    <w:rsid w:val="004247A1"/>
    <w:rsid w:val="00426B05"/>
    <w:rsid w:val="0042798E"/>
    <w:rsid w:val="00430F0C"/>
    <w:rsid w:val="00432D02"/>
    <w:rsid w:val="004337FD"/>
    <w:rsid w:val="0043533C"/>
    <w:rsid w:val="004378AE"/>
    <w:rsid w:val="00437C34"/>
    <w:rsid w:val="00437E60"/>
    <w:rsid w:val="004407E8"/>
    <w:rsid w:val="00441D75"/>
    <w:rsid w:val="00442F8A"/>
    <w:rsid w:val="00445DAF"/>
    <w:rsid w:val="00447770"/>
    <w:rsid w:val="00452A44"/>
    <w:rsid w:val="00452EAF"/>
    <w:rsid w:val="0045779D"/>
    <w:rsid w:val="00457FDF"/>
    <w:rsid w:val="0046302D"/>
    <w:rsid w:val="00463AEE"/>
    <w:rsid w:val="00464EB7"/>
    <w:rsid w:val="00466034"/>
    <w:rsid w:val="00466163"/>
    <w:rsid w:val="00466951"/>
    <w:rsid w:val="0046723E"/>
    <w:rsid w:val="00470420"/>
    <w:rsid w:val="004719E2"/>
    <w:rsid w:val="0047267C"/>
    <w:rsid w:val="00473A42"/>
    <w:rsid w:val="00473DC6"/>
    <w:rsid w:val="00474D46"/>
    <w:rsid w:val="0047582C"/>
    <w:rsid w:val="00475F62"/>
    <w:rsid w:val="004769AC"/>
    <w:rsid w:val="0047717C"/>
    <w:rsid w:val="00477F0E"/>
    <w:rsid w:val="00480A3C"/>
    <w:rsid w:val="00481730"/>
    <w:rsid w:val="00481C77"/>
    <w:rsid w:val="00482FBB"/>
    <w:rsid w:val="00483857"/>
    <w:rsid w:val="00483BBD"/>
    <w:rsid w:val="00483F5B"/>
    <w:rsid w:val="00484539"/>
    <w:rsid w:val="0048546B"/>
    <w:rsid w:val="00487840"/>
    <w:rsid w:val="004902C3"/>
    <w:rsid w:val="004925BB"/>
    <w:rsid w:val="00492A0E"/>
    <w:rsid w:val="00492E42"/>
    <w:rsid w:val="0049378C"/>
    <w:rsid w:val="0049407C"/>
    <w:rsid w:val="00495494"/>
    <w:rsid w:val="00495750"/>
    <w:rsid w:val="00497EC6"/>
    <w:rsid w:val="004A0483"/>
    <w:rsid w:val="004A0893"/>
    <w:rsid w:val="004A0F42"/>
    <w:rsid w:val="004A127C"/>
    <w:rsid w:val="004A2760"/>
    <w:rsid w:val="004A4A96"/>
    <w:rsid w:val="004A5E5D"/>
    <w:rsid w:val="004A5EE0"/>
    <w:rsid w:val="004A76CA"/>
    <w:rsid w:val="004B0AF7"/>
    <w:rsid w:val="004B2A12"/>
    <w:rsid w:val="004B2A1C"/>
    <w:rsid w:val="004B3297"/>
    <w:rsid w:val="004B3B0A"/>
    <w:rsid w:val="004B481C"/>
    <w:rsid w:val="004B4CA6"/>
    <w:rsid w:val="004B50B0"/>
    <w:rsid w:val="004B60E7"/>
    <w:rsid w:val="004B7576"/>
    <w:rsid w:val="004B795D"/>
    <w:rsid w:val="004B79D2"/>
    <w:rsid w:val="004C1A7B"/>
    <w:rsid w:val="004C1BEA"/>
    <w:rsid w:val="004C379C"/>
    <w:rsid w:val="004C412C"/>
    <w:rsid w:val="004C43F9"/>
    <w:rsid w:val="004C474C"/>
    <w:rsid w:val="004C5121"/>
    <w:rsid w:val="004C5137"/>
    <w:rsid w:val="004C5414"/>
    <w:rsid w:val="004C5540"/>
    <w:rsid w:val="004C725A"/>
    <w:rsid w:val="004D10C8"/>
    <w:rsid w:val="004D1604"/>
    <w:rsid w:val="004D226C"/>
    <w:rsid w:val="004D2B6A"/>
    <w:rsid w:val="004D33B4"/>
    <w:rsid w:val="004D63A1"/>
    <w:rsid w:val="004D7258"/>
    <w:rsid w:val="004D735E"/>
    <w:rsid w:val="004E04E2"/>
    <w:rsid w:val="004E2520"/>
    <w:rsid w:val="004E375D"/>
    <w:rsid w:val="004E49B3"/>
    <w:rsid w:val="004E4FA6"/>
    <w:rsid w:val="004E5A73"/>
    <w:rsid w:val="004E7DE5"/>
    <w:rsid w:val="004F1BEC"/>
    <w:rsid w:val="004F217E"/>
    <w:rsid w:val="004F2C02"/>
    <w:rsid w:val="004F3004"/>
    <w:rsid w:val="004F315E"/>
    <w:rsid w:val="004F394C"/>
    <w:rsid w:val="004F65EB"/>
    <w:rsid w:val="004F68BF"/>
    <w:rsid w:val="004F7F48"/>
    <w:rsid w:val="004F7FC9"/>
    <w:rsid w:val="0050158E"/>
    <w:rsid w:val="00501CE8"/>
    <w:rsid w:val="00501F14"/>
    <w:rsid w:val="00502528"/>
    <w:rsid w:val="00502C2A"/>
    <w:rsid w:val="00503D24"/>
    <w:rsid w:val="005046E8"/>
    <w:rsid w:val="00505B2E"/>
    <w:rsid w:val="00505FA1"/>
    <w:rsid w:val="0050673F"/>
    <w:rsid w:val="00506793"/>
    <w:rsid w:val="00506C2F"/>
    <w:rsid w:val="00507556"/>
    <w:rsid w:val="005104DF"/>
    <w:rsid w:val="00511CA1"/>
    <w:rsid w:val="005132BA"/>
    <w:rsid w:val="00514AA4"/>
    <w:rsid w:val="00514B9B"/>
    <w:rsid w:val="00514C8D"/>
    <w:rsid w:val="005155EA"/>
    <w:rsid w:val="00516F00"/>
    <w:rsid w:val="00517248"/>
    <w:rsid w:val="00520274"/>
    <w:rsid w:val="00521092"/>
    <w:rsid w:val="00522425"/>
    <w:rsid w:val="00522686"/>
    <w:rsid w:val="00525DAD"/>
    <w:rsid w:val="00525ED9"/>
    <w:rsid w:val="00526847"/>
    <w:rsid w:val="0053034F"/>
    <w:rsid w:val="005303E9"/>
    <w:rsid w:val="00530BC6"/>
    <w:rsid w:val="00531037"/>
    <w:rsid w:val="00531454"/>
    <w:rsid w:val="00532D0B"/>
    <w:rsid w:val="00532D1B"/>
    <w:rsid w:val="005332CC"/>
    <w:rsid w:val="00533DE3"/>
    <w:rsid w:val="005340D1"/>
    <w:rsid w:val="005344E4"/>
    <w:rsid w:val="00534A05"/>
    <w:rsid w:val="00535DAA"/>
    <w:rsid w:val="0053676B"/>
    <w:rsid w:val="00536785"/>
    <w:rsid w:val="005400D0"/>
    <w:rsid w:val="00540F35"/>
    <w:rsid w:val="0054340A"/>
    <w:rsid w:val="00543816"/>
    <w:rsid w:val="00545207"/>
    <w:rsid w:val="00545344"/>
    <w:rsid w:val="005465D0"/>
    <w:rsid w:val="00546CC1"/>
    <w:rsid w:val="00546EB6"/>
    <w:rsid w:val="00547344"/>
    <w:rsid w:val="005479EC"/>
    <w:rsid w:val="00547D95"/>
    <w:rsid w:val="00550DF8"/>
    <w:rsid w:val="00551BF9"/>
    <w:rsid w:val="005526F6"/>
    <w:rsid w:val="00553511"/>
    <w:rsid w:val="00555272"/>
    <w:rsid w:val="00556D87"/>
    <w:rsid w:val="005574A4"/>
    <w:rsid w:val="00557E47"/>
    <w:rsid w:val="00557EA1"/>
    <w:rsid w:val="0056087D"/>
    <w:rsid w:val="00560EF8"/>
    <w:rsid w:val="005617BF"/>
    <w:rsid w:val="0056226B"/>
    <w:rsid w:val="0056462B"/>
    <w:rsid w:val="0056527D"/>
    <w:rsid w:val="00565C6F"/>
    <w:rsid w:val="00566844"/>
    <w:rsid w:val="00566E46"/>
    <w:rsid w:val="0056717C"/>
    <w:rsid w:val="0056741E"/>
    <w:rsid w:val="0057123E"/>
    <w:rsid w:val="00571567"/>
    <w:rsid w:val="005755FB"/>
    <w:rsid w:val="005806E8"/>
    <w:rsid w:val="00581205"/>
    <w:rsid w:val="00582A70"/>
    <w:rsid w:val="00582BD4"/>
    <w:rsid w:val="005843AB"/>
    <w:rsid w:val="00584E4C"/>
    <w:rsid w:val="0058766A"/>
    <w:rsid w:val="00590578"/>
    <w:rsid w:val="005919C1"/>
    <w:rsid w:val="00591CE7"/>
    <w:rsid w:val="0059320E"/>
    <w:rsid w:val="005944BE"/>
    <w:rsid w:val="005945FF"/>
    <w:rsid w:val="005951C7"/>
    <w:rsid w:val="00595379"/>
    <w:rsid w:val="005953A4"/>
    <w:rsid w:val="00597073"/>
    <w:rsid w:val="00597B8E"/>
    <w:rsid w:val="005A09D2"/>
    <w:rsid w:val="005A0AE0"/>
    <w:rsid w:val="005A1527"/>
    <w:rsid w:val="005A2DD0"/>
    <w:rsid w:val="005A30B4"/>
    <w:rsid w:val="005A3407"/>
    <w:rsid w:val="005A5C67"/>
    <w:rsid w:val="005A7811"/>
    <w:rsid w:val="005A7F5B"/>
    <w:rsid w:val="005B01B6"/>
    <w:rsid w:val="005B0B79"/>
    <w:rsid w:val="005B0DB7"/>
    <w:rsid w:val="005B13CA"/>
    <w:rsid w:val="005B2B63"/>
    <w:rsid w:val="005B4DC1"/>
    <w:rsid w:val="005B5699"/>
    <w:rsid w:val="005C02F0"/>
    <w:rsid w:val="005C0D80"/>
    <w:rsid w:val="005C0F09"/>
    <w:rsid w:val="005C1008"/>
    <w:rsid w:val="005C2256"/>
    <w:rsid w:val="005C27F9"/>
    <w:rsid w:val="005C2DB9"/>
    <w:rsid w:val="005C3AF6"/>
    <w:rsid w:val="005C4628"/>
    <w:rsid w:val="005C49CD"/>
    <w:rsid w:val="005C4B77"/>
    <w:rsid w:val="005C4E94"/>
    <w:rsid w:val="005C573F"/>
    <w:rsid w:val="005C6409"/>
    <w:rsid w:val="005D0779"/>
    <w:rsid w:val="005D0B8E"/>
    <w:rsid w:val="005D23F8"/>
    <w:rsid w:val="005D28A9"/>
    <w:rsid w:val="005D3742"/>
    <w:rsid w:val="005D55A9"/>
    <w:rsid w:val="005D60CA"/>
    <w:rsid w:val="005D6DD1"/>
    <w:rsid w:val="005D7243"/>
    <w:rsid w:val="005D7484"/>
    <w:rsid w:val="005D7808"/>
    <w:rsid w:val="005E05A5"/>
    <w:rsid w:val="005E1652"/>
    <w:rsid w:val="005E185B"/>
    <w:rsid w:val="005E20BE"/>
    <w:rsid w:val="005E25F2"/>
    <w:rsid w:val="005E2A82"/>
    <w:rsid w:val="005E3ADD"/>
    <w:rsid w:val="005E4E78"/>
    <w:rsid w:val="005E4F6A"/>
    <w:rsid w:val="005E5FE2"/>
    <w:rsid w:val="005E6FB2"/>
    <w:rsid w:val="005E76FB"/>
    <w:rsid w:val="005E7EC5"/>
    <w:rsid w:val="005F0D8C"/>
    <w:rsid w:val="005F1B37"/>
    <w:rsid w:val="005F4328"/>
    <w:rsid w:val="005F4F7C"/>
    <w:rsid w:val="005F5B68"/>
    <w:rsid w:val="005F6A73"/>
    <w:rsid w:val="005F719C"/>
    <w:rsid w:val="00600081"/>
    <w:rsid w:val="00600E34"/>
    <w:rsid w:val="00601A0B"/>
    <w:rsid w:val="006020B1"/>
    <w:rsid w:val="006028E6"/>
    <w:rsid w:val="00603D60"/>
    <w:rsid w:val="006048F7"/>
    <w:rsid w:val="006054FB"/>
    <w:rsid w:val="006055F5"/>
    <w:rsid w:val="00605BC5"/>
    <w:rsid w:val="006066C8"/>
    <w:rsid w:val="00606B3C"/>
    <w:rsid w:val="00610787"/>
    <w:rsid w:val="0061109D"/>
    <w:rsid w:val="0061211C"/>
    <w:rsid w:val="00613DE8"/>
    <w:rsid w:val="00613EAD"/>
    <w:rsid w:val="00614773"/>
    <w:rsid w:val="00615E15"/>
    <w:rsid w:val="0061619E"/>
    <w:rsid w:val="0061633C"/>
    <w:rsid w:val="0061793E"/>
    <w:rsid w:val="00617E71"/>
    <w:rsid w:val="00623A8F"/>
    <w:rsid w:val="006243C0"/>
    <w:rsid w:val="00630C52"/>
    <w:rsid w:val="00631991"/>
    <w:rsid w:val="00631CFF"/>
    <w:rsid w:val="0063260F"/>
    <w:rsid w:val="00632F63"/>
    <w:rsid w:val="00637545"/>
    <w:rsid w:val="0064044F"/>
    <w:rsid w:val="00640AF7"/>
    <w:rsid w:val="00642A3A"/>
    <w:rsid w:val="006431B2"/>
    <w:rsid w:val="006444B9"/>
    <w:rsid w:val="00645BA1"/>
    <w:rsid w:val="00645EAD"/>
    <w:rsid w:val="0064641D"/>
    <w:rsid w:val="00650238"/>
    <w:rsid w:val="00651440"/>
    <w:rsid w:val="006529D4"/>
    <w:rsid w:val="00656C01"/>
    <w:rsid w:val="006603F1"/>
    <w:rsid w:val="006615D9"/>
    <w:rsid w:val="00662111"/>
    <w:rsid w:val="006632A6"/>
    <w:rsid w:val="00665963"/>
    <w:rsid w:val="006671CC"/>
    <w:rsid w:val="006672D4"/>
    <w:rsid w:val="00667674"/>
    <w:rsid w:val="00667A2F"/>
    <w:rsid w:val="006701B3"/>
    <w:rsid w:val="0067131C"/>
    <w:rsid w:val="006746AF"/>
    <w:rsid w:val="00674C75"/>
    <w:rsid w:val="00675DF4"/>
    <w:rsid w:val="00676710"/>
    <w:rsid w:val="00676A42"/>
    <w:rsid w:val="00676B24"/>
    <w:rsid w:val="00676F8C"/>
    <w:rsid w:val="0067721E"/>
    <w:rsid w:val="0068003E"/>
    <w:rsid w:val="00680F9B"/>
    <w:rsid w:val="00681F9A"/>
    <w:rsid w:val="00682FCA"/>
    <w:rsid w:val="006839E4"/>
    <w:rsid w:val="00684632"/>
    <w:rsid w:val="00685658"/>
    <w:rsid w:val="00685862"/>
    <w:rsid w:val="00685E5C"/>
    <w:rsid w:val="00686061"/>
    <w:rsid w:val="00686F2B"/>
    <w:rsid w:val="006902F8"/>
    <w:rsid w:val="00690350"/>
    <w:rsid w:val="00690953"/>
    <w:rsid w:val="00690AA8"/>
    <w:rsid w:val="00691CD2"/>
    <w:rsid w:val="00691CDE"/>
    <w:rsid w:val="00692678"/>
    <w:rsid w:val="006932C1"/>
    <w:rsid w:val="00693934"/>
    <w:rsid w:val="006958D3"/>
    <w:rsid w:val="00695C23"/>
    <w:rsid w:val="00695D4E"/>
    <w:rsid w:val="006962CA"/>
    <w:rsid w:val="006963DD"/>
    <w:rsid w:val="006A08FE"/>
    <w:rsid w:val="006A1BC9"/>
    <w:rsid w:val="006A1EB3"/>
    <w:rsid w:val="006A227C"/>
    <w:rsid w:val="006A22D9"/>
    <w:rsid w:val="006A23D5"/>
    <w:rsid w:val="006A2E6B"/>
    <w:rsid w:val="006A4D9C"/>
    <w:rsid w:val="006A5AC2"/>
    <w:rsid w:val="006A6D38"/>
    <w:rsid w:val="006A77CB"/>
    <w:rsid w:val="006B180A"/>
    <w:rsid w:val="006B18FA"/>
    <w:rsid w:val="006B19EB"/>
    <w:rsid w:val="006B239A"/>
    <w:rsid w:val="006B277E"/>
    <w:rsid w:val="006B52AF"/>
    <w:rsid w:val="006B6CB9"/>
    <w:rsid w:val="006B7E6B"/>
    <w:rsid w:val="006C096D"/>
    <w:rsid w:val="006C1954"/>
    <w:rsid w:val="006C1E5A"/>
    <w:rsid w:val="006C280D"/>
    <w:rsid w:val="006C3E23"/>
    <w:rsid w:val="006C5C42"/>
    <w:rsid w:val="006C5FE1"/>
    <w:rsid w:val="006C6E39"/>
    <w:rsid w:val="006C7761"/>
    <w:rsid w:val="006C7995"/>
    <w:rsid w:val="006D063D"/>
    <w:rsid w:val="006D064F"/>
    <w:rsid w:val="006D217F"/>
    <w:rsid w:val="006D2EB4"/>
    <w:rsid w:val="006D34F4"/>
    <w:rsid w:val="006D6F17"/>
    <w:rsid w:val="006D7FA0"/>
    <w:rsid w:val="006E3149"/>
    <w:rsid w:val="006E3802"/>
    <w:rsid w:val="006E3F3D"/>
    <w:rsid w:val="006E4146"/>
    <w:rsid w:val="006E4286"/>
    <w:rsid w:val="006E60C1"/>
    <w:rsid w:val="006E6F83"/>
    <w:rsid w:val="006F1050"/>
    <w:rsid w:val="006F1416"/>
    <w:rsid w:val="006F35B8"/>
    <w:rsid w:val="006F59B1"/>
    <w:rsid w:val="006F646B"/>
    <w:rsid w:val="006F7AB7"/>
    <w:rsid w:val="00700D7A"/>
    <w:rsid w:val="0070133F"/>
    <w:rsid w:val="00701CAF"/>
    <w:rsid w:val="00701DF4"/>
    <w:rsid w:val="0070270E"/>
    <w:rsid w:val="00702F1B"/>
    <w:rsid w:val="00703156"/>
    <w:rsid w:val="00703300"/>
    <w:rsid w:val="00703F47"/>
    <w:rsid w:val="00704635"/>
    <w:rsid w:val="00704A00"/>
    <w:rsid w:val="00704FE2"/>
    <w:rsid w:val="00706F81"/>
    <w:rsid w:val="00710CF2"/>
    <w:rsid w:val="00711611"/>
    <w:rsid w:val="007119BD"/>
    <w:rsid w:val="00711A81"/>
    <w:rsid w:val="007128D9"/>
    <w:rsid w:val="00713293"/>
    <w:rsid w:val="00713EDB"/>
    <w:rsid w:val="00714523"/>
    <w:rsid w:val="0071489B"/>
    <w:rsid w:val="00715E09"/>
    <w:rsid w:val="00717D32"/>
    <w:rsid w:val="007217DB"/>
    <w:rsid w:val="00723A8C"/>
    <w:rsid w:val="0072660A"/>
    <w:rsid w:val="00726AFB"/>
    <w:rsid w:val="0073010C"/>
    <w:rsid w:val="00732D68"/>
    <w:rsid w:val="007349D6"/>
    <w:rsid w:val="00735BDA"/>
    <w:rsid w:val="00735F5D"/>
    <w:rsid w:val="0073624B"/>
    <w:rsid w:val="007363DA"/>
    <w:rsid w:val="00740073"/>
    <w:rsid w:val="007405FC"/>
    <w:rsid w:val="00741237"/>
    <w:rsid w:val="0074158D"/>
    <w:rsid w:val="00741CD1"/>
    <w:rsid w:val="007420B8"/>
    <w:rsid w:val="00742CE3"/>
    <w:rsid w:val="007431F9"/>
    <w:rsid w:val="00743CE8"/>
    <w:rsid w:val="00745BDC"/>
    <w:rsid w:val="0074668A"/>
    <w:rsid w:val="00747D78"/>
    <w:rsid w:val="00750B33"/>
    <w:rsid w:val="00752204"/>
    <w:rsid w:val="00752F93"/>
    <w:rsid w:val="0075310A"/>
    <w:rsid w:val="00753291"/>
    <w:rsid w:val="007542A3"/>
    <w:rsid w:val="00754D07"/>
    <w:rsid w:val="00757C9C"/>
    <w:rsid w:val="00760756"/>
    <w:rsid w:val="007608D3"/>
    <w:rsid w:val="00761959"/>
    <w:rsid w:val="00762985"/>
    <w:rsid w:val="00762DB3"/>
    <w:rsid w:val="007632F0"/>
    <w:rsid w:val="007665D3"/>
    <w:rsid w:val="00766D44"/>
    <w:rsid w:val="007676AD"/>
    <w:rsid w:val="0076780D"/>
    <w:rsid w:val="00770652"/>
    <w:rsid w:val="00770692"/>
    <w:rsid w:val="00770744"/>
    <w:rsid w:val="007707EA"/>
    <w:rsid w:val="0077103D"/>
    <w:rsid w:val="00771B6B"/>
    <w:rsid w:val="007729BE"/>
    <w:rsid w:val="00773911"/>
    <w:rsid w:val="007740A1"/>
    <w:rsid w:val="00774607"/>
    <w:rsid w:val="00774841"/>
    <w:rsid w:val="00774B70"/>
    <w:rsid w:val="007779B1"/>
    <w:rsid w:val="00781AF4"/>
    <w:rsid w:val="00782591"/>
    <w:rsid w:val="00783099"/>
    <w:rsid w:val="0078449C"/>
    <w:rsid w:val="00784B24"/>
    <w:rsid w:val="007859CE"/>
    <w:rsid w:val="00785ABB"/>
    <w:rsid w:val="00785C99"/>
    <w:rsid w:val="00785F42"/>
    <w:rsid w:val="0079060A"/>
    <w:rsid w:val="00793418"/>
    <w:rsid w:val="0079354D"/>
    <w:rsid w:val="00794554"/>
    <w:rsid w:val="007945D0"/>
    <w:rsid w:val="007962F1"/>
    <w:rsid w:val="007A152F"/>
    <w:rsid w:val="007A251B"/>
    <w:rsid w:val="007A362C"/>
    <w:rsid w:val="007A3A87"/>
    <w:rsid w:val="007A44D5"/>
    <w:rsid w:val="007A49E8"/>
    <w:rsid w:val="007A527F"/>
    <w:rsid w:val="007A558B"/>
    <w:rsid w:val="007A72C3"/>
    <w:rsid w:val="007B1F33"/>
    <w:rsid w:val="007B292F"/>
    <w:rsid w:val="007B2957"/>
    <w:rsid w:val="007B4F26"/>
    <w:rsid w:val="007B50DD"/>
    <w:rsid w:val="007B510B"/>
    <w:rsid w:val="007B5580"/>
    <w:rsid w:val="007B67D8"/>
    <w:rsid w:val="007C059F"/>
    <w:rsid w:val="007C05FD"/>
    <w:rsid w:val="007C2B59"/>
    <w:rsid w:val="007C31FD"/>
    <w:rsid w:val="007C32D1"/>
    <w:rsid w:val="007C4056"/>
    <w:rsid w:val="007C5640"/>
    <w:rsid w:val="007C6AB9"/>
    <w:rsid w:val="007D0B5B"/>
    <w:rsid w:val="007D1257"/>
    <w:rsid w:val="007D200F"/>
    <w:rsid w:val="007D27DA"/>
    <w:rsid w:val="007D34F8"/>
    <w:rsid w:val="007D3892"/>
    <w:rsid w:val="007D46E4"/>
    <w:rsid w:val="007D7009"/>
    <w:rsid w:val="007E0270"/>
    <w:rsid w:val="007E1ECC"/>
    <w:rsid w:val="007E1FA7"/>
    <w:rsid w:val="007E2467"/>
    <w:rsid w:val="007E3A7C"/>
    <w:rsid w:val="007E5C86"/>
    <w:rsid w:val="007E6E7D"/>
    <w:rsid w:val="007F012D"/>
    <w:rsid w:val="007F309F"/>
    <w:rsid w:val="007F33B2"/>
    <w:rsid w:val="007F6184"/>
    <w:rsid w:val="007F7561"/>
    <w:rsid w:val="007F7AB1"/>
    <w:rsid w:val="007F7C0B"/>
    <w:rsid w:val="008006DD"/>
    <w:rsid w:val="00801DAD"/>
    <w:rsid w:val="00801EA8"/>
    <w:rsid w:val="00802A55"/>
    <w:rsid w:val="00803234"/>
    <w:rsid w:val="00803743"/>
    <w:rsid w:val="008038D3"/>
    <w:rsid w:val="00804042"/>
    <w:rsid w:val="008045C7"/>
    <w:rsid w:val="00804848"/>
    <w:rsid w:val="00806278"/>
    <w:rsid w:val="0080758A"/>
    <w:rsid w:val="00807B93"/>
    <w:rsid w:val="00807E77"/>
    <w:rsid w:val="00810E33"/>
    <w:rsid w:val="00811F00"/>
    <w:rsid w:val="00811FB2"/>
    <w:rsid w:val="00814E3B"/>
    <w:rsid w:val="0081563D"/>
    <w:rsid w:val="00815A13"/>
    <w:rsid w:val="00816FD9"/>
    <w:rsid w:val="00817102"/>
    <w:rsid w:val="008179A4"/>
    <w:rsid w:val="00820F5F"/>
    <w:rsid w:val="00821EA6"/>
    <w:rsid w:val="0082227C"/>
    <w:rsid w:val="00822620"/>
    <w:rsid w:val="00822C9F"/>
    <w:rsid w:val="00823134"/>
    <w:rsid w:val="008244EA"/>
    <w:rsid w:val="0082547E"/>
    <w:rsid w:val="00825591"/>
    <w:rsid w:val="008265A2"/>
    <w:rsid w:val="008271F1"/>
    <w:rsid w:val="00827374"/>
    <w:rsid w:val="00827A80"/>
    <w:rsid w:val="00830210"/>
    <w:rsid w:val="00830B6D"/>
    <w:rsid w:val="00831978"/>
    <w:rsid w:val="00832026"/>
    <w:rsid w:val="00834B43"/>
    <w:rsid w:val="00834F1E"/>
    <w:rsid w:val="00835AFB"/>
    <w:rsid w:val="00837A2D"/>
    <w:rsid w:val="00842F77"/>
    <w:rsid w:val="008430B1"/>
    <w:rsid w:val="008433D2"/>
    <w:rsid w:val="008435A1"/>
    <w:rsid w:val="00843757"/>
    <w:rsid w:val="00844B26"/>
    <w:rsid w:val="00845E81"/>
    <w:rsid w:val="00846FF9"/>
    <w:rsid w:val="00847DE5"/>
    <w:rsid w:val="00851CEB"/>
    <w:rsid w:val="00852F47"/>
    <w:rsid w:val="00853DA4"/>
    <w:rsid w:val="0085508E"/>
    <w:rsid w:val="00855571"/>
    <w:rsid w:val="00855FD6"/>
    <w:rsid w:val="008561D3"/>
    <w:rsid w:val="00856296"/>
    <w:rsid w:val="0085677B"/>
    <w:rsid w:val="00856EC1"/>
    <w:rsid w:val="00856EDD"/>
    <w:rsid w:val="00857B27"/>
    <w:rsid w:val="00862002"/>
    <w:rsid w:val="00863A21"/>
    <w:rsid w:val="00864CAF"/>
    <w:rsid w:val="00865993"/>
    <w:rsid w:val="00865D47"/>
    <w:rsid w:val="00865F53"/>
    <w:rsid w:val="00866473"/>
    <w:rsid w:val="00866A98"/>
    <w:rsid w:val="0086708B"/>
    <w:rsid w:val="00867FE5"/>
    <w:rsid w:val="0087002F"/>
    <w:rsid w:val="00871581"/>
    <w:rsid w:val="008716A6"/>
    <w:rsid w:val="0087191A"/>
    <w:rsid w:val="00872159"/>
    <w:rsid w:val="00872E50"/>
    <w:rsid w:val="00872ECE"/>
    <w:rsid w:val="00873706"/>
    <w:rsid w:val="00873B8C"/>
    <w:rsid w:val="00874C5C"/>
    <w:rsid w:val="008757CE"/>
    <w:rsid w:val="0087672E"/>
    <w:rsid w:val="0087743D"/>
    <w:rsid w:val="008801E8"/>
    <w:rsid w:val="0088098C"/>
    <w:rsid w:val="008811C8"/>
    <w:rsid w:val="008818C8"/>
    <w:rsid w:val="00882781"/>
    <w:rsid w:val="00882B62"/>
    <w:rsid w:val="00882C59"/>
    <w:rsid w:val="00885563"/>
    <w:rsid w:val="008855AC"/>
    <w:rsid w:val="008856AA"/>
    <w:rsid w:val="00885B56"/>
    <w:rsid w:val="00886FA5"/>
    <w:rsid w:val="00887B21"/>
    <w:rsid w:val="00887F99"/>
    <w:rsid w:val="00890145"/>
    <w:rsid w:val="008905F1"/>
    <w:rsid w:val="00891472"/>
    <w:rsid w:val="00893AC0"/>
    <w:rsid w:val="00893FEB"/>
    <w:rsid w:val="00893FFE"/>
    <w:rsid w:val="008946DF"/>
    <w:rsid w:val="00894F34"/>
    <w:rsid w:val="00895C42"/>
    <w:rsid w:val="0089610E"/>
    <w:rsid w:val="008977FE"/>
    <w:rsid w:val="008A0EF9"/>
    <w:rsid w:val="008A10AC"/>
    <w:rsid w:val="008A1107"/>
    <w:rsid w:val="008A292D"/>
    <w:rsid w:val="008A58C9"/>
    <w:rsid w:val="008A6240"/>
    <w:rsid w:val="008A655F"/>
    <w:rsid w:val="008B07D1"/>
    <w:rsid w:val="008B0BBE"/>
    <w:rsid w:val="008B29B5"/>
    <w:rsid w:val="008B2C4A"/>
    <w:rsid w:val="008B341B"/>
    <w:rsid w:val="008B35BE"/>
    <w:rsid w:val="008B414C"/>
    <w:rsid w:val="008B4859"/>
    <w:rsid w:val="008B4AC0"/>
    <w:rsid w:val="008B4AE2"/>
    <w:rsid w:val="008B4E67"/>
    <w:rsid w:val="008B5F2E"/>
    <w:rsid w:val="008B5FC6"/>
    <w:rsid w:val="008B6447"/>
    <w:rsid w:val="008B6A4E"/>
    <w:rsid w:val="008B6A7F"/>
    <w:rsid w:val="008B7A3B"/>
    <w:rsid w:val="008B7D8C"/>
    <w:rsid w:val="008C1047"/>
    <w:rsid w:val="008C1979"/>
    <w:rsid w:val="008C31BF"/>
    <w:rsid w:val="008C457D"/>
    <w:rsid w:val="008C4B67"/>
    <w:rsid w:val="008C5200"/>
    <w:rsid w:val="008C5A06"/>
    <w:rsid w:val="008C681D"/>
    <w:rsid w:val="008C745B"/>
    <w:rsid w:val="008D181B"/>
    <w:rsid w:val="008D1BD7"/>
    <w:rsid w:val="008D2CEF"/>
    <w:rsid w:val="008D3356"/>
    <w:rsid w:val="008D3754"/>
    <w:rsid w:val="008D4661"/>
    <w:rsid w:val="008D5367"/>
    <w:rsid w:val="008D548C"/>
    <w:rsid w:val="008D56DF"/>
    <w:rsid w:val="008D64FF"/>
    <w:rsid w:val="008D6FA8"/>
    <w:rsid w:val="008D762F"/>
    <w:rsid w:val="008E0599"/>
    <w:rsid w:val="008E1937"/>
    <w:rsid w:val="008E3551"/>
    <w:rsid w:val="008E3D7A"/>
    <w:rsid w:val="008E3E9E"/>
    <w:rsid w:val="008E56D9"/>
    <w:rsid w:val="008E69B3"/>
    <w:rsid w:val="008E79DE"/>
    <w:rsid w:val="008F199A"/>
    <w:rsid w:val="008F1A4E"/>
    <w:rsid w:val="008F1ACC"/>
    <w:rsid w:val="008F2097"/>
    <w:rsid w:val="008F250A"/>
    <w:rsid w:val="008F3C75"/>
    <w:rsid w:val="008F4D68"/>
    <w:rsid w:val="008F6337"/>
    <w:rsid w:val="008F7FF7"/>
    <w:rsid w:val="009004FC"/>
    <w:rsid w:val="00900A01"/>
    <w:rsid w:val="009040BA"/>
    <w:rsid w:val="00905421"/>
    <w:rsid w:val="00906196"/>
    <w:rsid w:val="00906500"/>
    <w:rsid w:val="00906DCC"/>
    <w:rsid w:val="00906F75"/>
    <w:rsid w:val="00910441"/>
    <w:rsid w:val="009108C2"/>
    <w:rsid w:val="0091418B"/>
    <w:rsid w:val="00916744"/>
    <w:rsid w:val="00916A30"/>
    <w:rsid w:val="0092065B"/>
    <w:rsid w:val="00920CFB"/>
    <w:rsid w:val="00923246"/>
    <w:rsid w:val="009244DF"/>
    <w:rsid w:val="00926369"/>
    <w:rsid w:val="0092654E"/>
    <w:rsid w:val="009266A3"/>
    <w:rsid w:val="0092790C"/>
    <w:rsid w:val="00930D51"/>
    <w:rsid w:val="0093110C"/>
    <w:rsid w:val="00932512"/>
    <w:rsid w:val="009330D3"/>
    <w:rsid w:val="00933AEB"/>
    <w:rsid w:val="00936439"/>
    <w:rsid w:val="009371DE"/>
    <w:rsid w:val="009376B9"/>
    <w:rsid w:val="00940BDD"/>
    <w:rsid w:val="00940F48"/>
    <w:rsid w:val="00942685"/>
    <w:rsid w:val="009432D2"/>
    <w:rsid w:val="00943FB6"/>
    <w:rsid w:val="00944152"/>
    <w:rsid w:val="0094477D"/>
    <w:rsid w:val="009454A3"/>
    <w:rsid w:val="00945758"/>
    <w:rsid w:val="00945ECB"/>
    <w:rsid w:val="009479A4"/>
    <w:rsid w:val="00951184"/>
    <w:rsid w:val="0095262D"/>
    <w:rsid w:val="00953F94"/>
    <w:rsid w:val="009543E1"/>
    <w:rsid w:val="009558E8"/>
    <w:rsid w:val="00955B2B"/>
    <w:rsid w:val="0095773F"/>
    <w:rsid w:val="00960A21"/>
    <w:rsid w:val="00961B83"/>
    <w:rsid w:val="00962A6B"/>
    <w:rsid w:val="009633B3"/>
    <w:rsid w:val="00963621"/>
    <w:rsid w:val="00964015"/>
    <w:rsid w:val="0096418A"/>
    <w:rsid w:val="009675EB"/>
    <w:rsid w:val="009705CB"/>
    <w:rsid w:val="00970E2A"/>
    <w:rsid w:val="00971B7F"/>
    <w:rsid w:val="00971B80"/>
    <w:rsid w:val="00971F1D"/>
    <w:rsid w:val="00973152"/>
    <w:rsid w:val="009747D7"/>
    <w:rsid w:val="0097504A"/>
    <w:rsid w:val="0097683A"/>
    <w:rsid w:val="00983C9F"/>
    <w:rsid w:val="0098448D"/>
    <w:rsid w:val="009844CD"/>
    <w:rsid w:val="009858D1"/>
    <w:rsid w:val="00985BC2"/>
    <w:rsid w:val="009864EB"/>
    <w:rsid w:val="009867EA"/>
    <w:rsid w:val="00986EA3"/>
    <w:rsid w:val="00987EE1"/>
    <w:rsid w:val="0099078D"/>
    <w:rsid w:val="009913F2"/>
    <w:rsid w:val="00991A9D"/>
    <w:rsid w:val="00992BF6"/>
    <w:rsid w:val="00992FAA"/>
    <w:rsid w:val="00993B42"/>
    <w:rsid w:val="00994614"/>
    <w:rsid w:val="00994B1E"/>
    <w:rsid w:val="00995EBE"/>
    <w:rsid w:val="009962D3"/>
    <w:rsid w:val="00996A6E"/>
    <w:rsid w:val="00996B5E"/>
    <w:rsid w:val="009A058B"/>
    <w:rsid w:val="009A21AF"/>
    <w:rsid w:val="009A2C4B"/>
    <w:rsid w:val="009A302E"/>
    <w:rsid w:val="009A66C2"/>
    <w:rsid w:val="009A763A"/>
    <w:rsid w:val="009A7D0C"/>
    <w:rsid w:val="009B0223"/>
    <w:rsid w:val="009B0387"/>
    <w:rsid w:val="009B08D1"/>
    <w:rsid w:val="009B1137"/>
    <w:rsid w:val="009B1238"/>
    <w:rsid w:val="009B219B"/>
    <w:rsid w:val="009B2EE2"/>
    <w:rsid w:val="009B2F0F"/>
    <w:rsid w:val="009B2F17"/>
    <w:rsid w:val="009B3900"/>
    <w:rsid w:val="009B41AF"/>
    <w:rsid w:val="009B4588"/>
    <w:rsid w:val="009B4756"/>
    <w:rsid w:val="009B72AC"/>
    <w:rsid w:val="009C1421"/>
    <w:rsid w:val="009C1915"/>
    <w:rsid w:val="009C1A83"/>
    <w:rsid w:val="009C2132"/>
    <w:rsid w:val="009C2AFF"/>
    <w:rsid w:val="009C4800"/>
    <w:rsid w:val="009C7C38"/>
    <w:rsid w:val="009D0198"/>
    <w:rsid w:val="009D0258"/>
    <w:rsid w:val="009D0849"/>
    <w:rsid w:val="009D1D18"/>
    <w:rsid w:val="009D1E49"/>
    <w:rsid w:val="009D2389"/>
    <w:rsid w:val="009D2627"/>
    <w:rsid w:val="009D3C84"/>
    <w:rsid w:val="009D441E"/>
    <w:rsid w:val="009D583E"/>
    <w:rsid w:val="009D6865"/>
    <w:rsid w:val="009E065D"/>
    <w:rsid w:val="009E0869"/>
    <w:rsid w:val="009E14AC"/>
    <w:rsid w:val="009E2A85"/>
    <w:rsid w:val="009E33D3"/>
    <w:rsid w:val="009E40D7"/>
    <w:rsid w:val="009E61FD"/>
    <w:rsid w:val="009E65B7"/>
    <w:rsid w:val="009E7CF5"/>
    <w:rsid w:val="009F080B"/>
    <w:rsid w:val="009F0C44"/>
    <w:rsid w:val="009F0D75"/>
    <w:rsid w:val="009F1E71"/>
    <w:rsid w:val="009F23D8"/>
    <w:rsid w:val="009F27DC"/>
    <w:rsid w:val="009F2BDC"/>
    <w:rsid w:val="009F2E70"/>
    <w:rsid w:val="009F52E5"/>
    <w:rsid w:val="009F59D3"/>
    <w:rsid w:val="009F5DE2"/>
    <w:rsid w:val="009F616A"/>
    <w:rsid w:val="009F619F"/>
    <w:rsid w:val="009F6538"/>
    <w:rsid w:val="009F69E7"/>
    <w:rsid w:val="009F77E5"/>
    <w:rsid w:val="00A00686"/>
    <w:rsid w:val="00A00B1A"/>
    <w:rsid w:val="00A0121C"/>
    <w:rsid w:val="00A02743"/>
    <w:rsid w:val="00A032D9"/>
    <w:rsid w:val="00A04FE9"/>
    <w:rsid w:val="00A07539"/>
    <w:rsid w:val="00A149FE"/>
    <w:rsid w:val="00A1508C"/>
    <w:rsid w:val="00A152B4"/>
    <w:rsid w:val="00A173D3"/>
    <w:rsid w:val="00A17F67"/>
    <w:rsid w:val="00A2031E"/>
    <w:rsid w:val="00A21153"/>
    <w:rsid w:val="00A23188"/>
    <w:rsid w:val="00A2394B"/>
    <w:rsid w:val="00A241B7"/>
    <w:rsid w:val="00A241E2"/>
    <w:rsid w:val="00A252A1"/>
    <w:rsid w:val="00A2631F"/>
    <w:rsid w:val="00A26652"/>
    <w:rsid w:val="00A26996"/>
    <w:rsid w:val="00A26F7F"/>
    <w:rsid w:val="00A275F6"/>
    <w:rsid w:val="00A32A35"/>
    <w:rsid w:val="00A33D9D"/>
    <w:rsid w:val="00A364F2"/>
    <w:rsid w:val="00A367F9"/>
    <w:rsid w:val="00A402FA"/>
    <w:rsid w:val="00A40765"/>
    <w:rsid w:val="00A42E50"/>
    <w:rsid w:val="00A436CD"/>
    <w:rsid w:val="00A440A8"/>
    <w:rsid w:val="00A4646C"/>
    <w:rsid w:val="00A466B5"/>
    <w:rsid w:val="00A46C08"/>
    <w:rsid w:val="00A47D53"/>
    <w:rsid w:val="00A50948"/>
    <w:rsid w:val="00A511B3"/>
    <w:rsid w:val="00A51C38"/>
    <w:rsid w:val="00A52BF8"/>
    <w:rsid w:val="00A52D19"/>
    <w:rsid w:val="00A53C0F"/>
    <w:rsid w:val="00A547D4"/>
    <w:rsid w:val="00A5533B"/>
    <w:rsid w:val="00A5538A"/>
    <w:rsid w:val="00A55AE8"/>
    <w:rsid w:val="00A56045"/>
    <w:rsid w:val="00A56CD4"/>
    <w:rsid w:val="00A6091E"/>
    <w:rsid w:val="00A63E31"/>
    <w:rsid w:val="00A63E65"/>
    <w:rsid w:val="00A6422A"/>
    <w:rsid w:val="00A647D8"/>
    <w:rsid w:val="00A663F0"/>
    <w:rsid w:val="00A674B0"/>
    <w:rsid w:val="00A70E89"/>
    <w:rsid w:val="00A730A5"/>
    <w:rsid w:val="00A74F2F"/>
    <w:rsid w:val="00A75041"/>
    <w:rsid w:val="00A7654D"/>
    <w:rsid w:val="00A811F0"/>
    <w:rsid w:val="00A820BA"/>
    <w:rsid w:val="00A821DA"/>
    <w:rsid w:val="00A8384F"/>
    <w:rsid w:val="00A83D08"/>
    <w:rsid w:val="00A842E8"/>
    <w:rsid w:val="00A847BE"/>
    <w:rsid w:val="00A84A8E"/>
    <w:rsid w:val="00A85380"/>
    <w:rsid w:val="00A86813"/>
    <w:rsid w:val="00A86CA2"/>
    <w:rsid w:val="00A86D19"/>
    <w:rsid w:val="00A90540"/>
    <w:rsid w:val="00A91B69"/>
    <w:rsid w:val="00A93667"/>
    <w:rsid w:val="00A9538D"/>
    <w:rsid w:val="00A95776"/>
    <w:rsid w:val="00A959F3"/>
    <w:rsid w:val="00A95A88"/>
    <w:rsid w:val="00A95DE8"/>
    <w:rsid w:val="00A96132"/>
    <w:rsid w:val="00AA197A"/>
    <w:rsid w:val="00AA222A"/>
    <w:rsid w:val="00AA2298"/>
    <w:rsid w:val="00AA23BC"/>
    <w:rsid w:val="00AA31EF"/>
    <w:rsid w:val="00AA398E"/>
    <w:rsid w:val="00AA440C"/>
    <w:rsid w:val="00AA545F"/>
    <w:rsid w:val="00AA5E77"/>
    <w:rsid w:val="00AA64E4"/>
    <w:rsid w:val="00AA6CEC"/>
    <w:rsid w:val="00AA72B9"/>
    <w:rsid w:val="00AA7411"/>
    <w:rsid w:val="00AB14FA"/>
    <w:rsid w:val="00AB5091"/>
    <w:rsid w:val="00AB5832"/>
    <w:rsid w:val="00AB5D46"/>
    <w:rsid w:val="00AB6D1D"/>
    <w:rsid w:val="00AB7F16"/>
    <w:rsid w:val="00AC096B"/>
    <w:rsid w:val="00AC09DE"/>
    <w:rsid w:val="00AC14E0"/>
    <w:rsid w:val="00AC1E22"/>
    <w:rsid w:val="00AC2505"/>
    <w:rsid w:val="00AC35CD"/>
    <w:rsid w:val="00AC3BC2"/>
    <w:rsid w:val="00AC48C4"/>
    <w:rsid w:val="00AC6502"/>
    <w:rsid w:val="00AC6D4C"/>
    <w:rsid w:val="00AC79E7"/>
    <w:rsid w:val="00AD0726"/>
    <w:rsid w:val="00AD07B2"/>
    <w:rsid w:val="00AD21A0"/>
    <w:rsid w:val="00AD240F"/>
    <w:rsid w:val="00AD2986"/>
    <w:rsid w:val="00AD3A85"/>
    <w:rsid w:val="00AD4DF7"/>
    <w:rsid w:val="00AD4F23"/>
    <w:rsid w:val="00AD5D2D"/>
    <w:rsid w:val="00AD5D7B"/>
    <w:rsid w:val="00AD639F"/>
    <w:rsid w:val="00AD779C"/>
    <w:rsid w:val="00AE00E1"/>
    <w:rsid w:val="00AE155E"/>
    <w:rsid w:val="00AE208D"/>
    <w:rsid w:val="00AE2AF7"/>
    <w:rsid w:val="00AE332E"/>
    <w:rsid w:val="00AE3FCC"/>
    <w:rsid w:val="00AE491D"/>
    <w:rsid w:val="00AE4B42"/>
    <w:rsid w:val="00AE6295"/>
    <w:rsid w:val="00AE775C"/>
    <w:rsid w:val="00AF00BB"/>
    <w:rsid w:val="00AF01C5"/>
    <w:rsid w:val="00AF1A5E"/>
    <w:rsid w:val="00AF29C6"/>
    <w:rsid w:val="00AF2D85"/>
    <w:rsid w:val="00AF2D8E"/>
    <w:rsid w:val="00AF336C"/>
    <w:rsid w:val="00AF3486"/>
    <w:rsid w:val="00AF4218"/>
    <w:rsid w:val="00AF45CC"/>
    <w:rsid w:val="00AF4981"/>
    <w:rsid w:val="00AF4ACA"/>
    <w:rsid w:val="00AF5666"/>
    <w:rsid w:val="00AF6DF5"/>
    <w:rsid w:val="00B0008D"/>
    <w:rsid w:val="00B010D7"/>
    <w:rsid w:val="00B015BE"/>
    <w:rsid w:val="00B0210F"/>
    <w:rsid w:val="00B02AEB"/>
    <w:rsid w:val="00B03923"/>
    <w:rsid w:val="00B03BFB"/>
    <w:rsid w:val="00B04346"/>
    <w:rsid w:val="00B04862"/>
    <w:rsid w:val="00B06BB9"/>
    <w:rsid w:val="00B06D67"/>
    <w:rsid w:val="00B07891"/>
    <w:rsid w:val="00B113CD"/>
    <w:rsid w:val="00B11FA1"/>
    <w:rsid w:val="00B1384A"/>
    <w:rsid w:val="00B141B1"/>
    <w:rsid w:val="00B15F5F"/>
    <w:rsid w:val="00B16919"/>
    <w:rsid w:val="00B16C80"/>
    <w:rsid w:val="00B1765E"/>
    <w:rsid w:val="00B17EFC"/>
    <w:rsid w:val="00B2270F"/>
    <w:rsid w:val="00B22D11"/>
    <w:rsid w:val="00B23B18"/>
    <w:rsid w:val="00B26589"/>
    <w:rsid w:val="00B2671A"/>
    <w:rsid w:val="00B30085"/>
    <w:rsid w:val="00B3081C"/>
    <w:rsid w:val="00B30AE8"/>
    <w:rsid w:val="00B30D9C"/>
    <w:rsid w:val="00B31641"/>
    <w:rsid w:val="00B31F00"/>
    <w:rsid w:val="00B32C30"/>
    <w:rsid w:val="00B32E97"/>
    <w:rsid w:val="00B337CC"/>
    <w:rsid w:val="00B34001"/>
    <w:rsid w:val="00B3414C"/>
    <w:rsid w:val="00B34E20"/>
    <w:rsid w:val="00B35376"/>
    <w:rsid w:val="00B3551E"/>
    <w:rsid w:val="00B3780B"/>
    <w:rsid w:val="00B425C1"/>
    <w:rsid w:val="00B429B8"/>
    <w:rsid w:val="00B42BF0"/>
    <w:rsid w:val="00B4438A"/>
    <w:rsid w:val="00B44789"/>
    <w:rsid w:val="00B4712D"/>
    <w:rsid w:val="00B52143"/>
    <w:rsid w:val="00B526BB"/>
    <w:rsid w:val="00B53F02"/>
    <w:rsid w:val="00B5621C"/>
    <w:rsid w:val="00B56FCD"/>
    <w:rsid w:val="00B572A8"/>
    <w:rsid w:val="00B57DDF"/>
    <w:rsid w:val="00B6123B"/>
    <w:rsid w:val="00B61618"/>
    <w:rsid w:val="00B628AB"/>
    <w:rsid w:val="00B63059"/>
    <w:rsid w:val="00B63745"/>
    <w:rsid w:val="00B63F13"/>
    <w:rsid w:val="00B6616D"/>
    <w:rsid w:val="00B66B2B"/>
    <w:rsid w:val="00B740D9"/>
    <w:rsid w:val="00B744A9"/>
    <w:rsid w:val="00B74FFC"/>
    <w:rsid w:val="00B7536E"/>
    <w:rsid w:val="00B76C86"/>
    <w:rsid w:val="00B7716D"/>
    <w:rsid w:val="00B83D4B"/>
    <w:rsid w:val="00B84C3B"/>
    <w:rsid w:val="00B86E7C"/>
    <w:rsid w:val="00B878AB"/>
    <w:rsid w:val="00B9048F"/>
    <w:rsid w:val="00B90B5E"/>
    <w:rsid w:val="00B91204"/>
    <w:rsid w:val="00B9173D"/>
    <w:rsid w:val="00B920ED"/>
    <w:rsid w:val="00B93F80"/>
    <w:rsid w:val="00B947BE"/>
    <w:rsid w:val="00B94F64"/>
    <w:rsid w:val="00B952BD"/>
    <w:rsid w:val="00B96104"/>
    <w:rsid w:val="00B969F1"/>
    <w:rsid w:val="00B96B53"/>
    <w:rsid w:val="00B972EF"/>
    <w:rsid w:val="00B974A4"/>
    <w:rsid w:val="00B97B79"/>
    <w:rsid w:val="00BA16F4"/>
    <w:rsid w:val="00BA236A"/>
    <w:rsid w:val="00BA2749"/>
    <w:rsid w:val="00BA56E9"/>
    <w:rsid w:val="00BA5F98"/>
    <w:rsid w:val="00BA69BE"/>
    <w:rsid w:val="00BB1D8E"/>
    <w:rsid w:val="00BB278D"/>
    <w:rsid w:val="00BB303F"/>
    <w:rsid w:val="00BB3520"/>
    <w:rsid w:val="00BB5226"/>
    <w:rsid w:val="00BB52BE"/>
    <w:rsid w:val="00BB5812"/>
    <w:rsid w:val="00BB5F2E"/>
    <w:rsid w:val="00BB6278"/>
    <w:rsid w:val="00BB7626"/>
    <w:rsid w:val="00BB77F3"/>
    <w:rsid w:val="00BB7EAF"/>
    <w:rsid w:val="00BC008C"/>
    <w:rsid w:val="00BC0F8B"/>
    <w:rsid w:val="00BC1839"/>
    <w:rsid w:val="00BC2766"/>
    <w:rsid w:val="00BC404B"/>
    <w:rsid w:val="00BC4931"/>
    <w:rsid w:val="00BC5BDC"/>
    <w:rsid w:val="00BC7455"/>
    <w:rsid w:val="00BD0814"/>
    <w:rsid w:val="00BD105A"/>
    <w:rsid w:val="00BD1164"/>
    <w:rsid w:val="00BD3459"/>
    <w:rsid w:val="00BD3CA7"/>
    <w:rsid w:val="00BD579F"/>
    <w:rsid w:val="00BD5EA4"/>
    <w:rsid w:val="00BD75C2"/>
    <w:rsid w:val="00BE09AB"/>
    <w:rsid w:val="00BE1026"/>
    <w:rsid w:val="00BE1854"/>
    <w:rsid w:val="00BE6404"/>
    <w:rsid w:val="00BE6F54"/>
    <w:rsid w:val="00BE7123"/>
    <w:rsid w:val="00BE784C"/>
    <w:rsid w:val="00BE7C34"/>
    <w:rsid w:val="00BF0DD7"/>
    <w:rsid w:val="00BF21CB"/>
    <w:rsid w:val="00BF4D04"/>
    <w:rsid w:val="00BF518D"/>
    <w:rsid w:val="00BF529A"/>
    <w:rsid w:val="00BF5478"/>
    <w:rsid w:val="00BF54BA"/>
    <w:rsid w:val="00BF66F9"/>
    <w:rsid w:val="00BF68E9"/>
    <w:rsid w:val="00BF7090"/>
    <w:rsid w:val="00BF7604"/>
    <w:rsid w:val="00BF79B1"/>
    <w:rsid w:val="00BF7FB1"/>
    <w:rsid w:val="00C00CFC"/>
    <w:rsid w:val="00C00E75"/>
    <w:rsid w:val="00C01611"/>
    <w:rsid w:val="00C016F9"/>
    <w:rsid w:val="00C02CCA"/>
    <w:rsid w:val="00C03194"/>
    <w:rsid w:val="00C037C9"/>
    <w:rsid w:val="00C0523E"/>
    <w:rsid w:val="00C053E5"/>
    <w:rsid w:val="00C05BA5"/>
    <w:rsid w:val="00C05C3B"/>
    <w:rsid w:val="00C07C70"/>
    <w:rsid w:val="00C10C21"/>
    <w:rsid w:val="00C11CEE"/>
    <w:rsid w:val="00C1262E"/>
    <w:rsid w:val="00C1321C"/>
    <w:rsid w:val="00C13471"/>
    <w:rsid w:val="00C154F3"/>
    <w:rsid w:val="00C1588D"/>
    <w:rsid w:val="00C159EC"/>
    <w:rsid w:val="00C15D9B"/>
    <w:rsid w:val="00C16775"/>
    <w:rsid w:val="00C17E97"/>
    <w:rsid w:val="00C207E3"/>
    <w:rsid w:val="00C20DE5"/>
    <w:rsid w:val="00C21FC8"/>
    <w:rsid w:val="00C23108"/>
    <w:rsid w:val="00C23236"/>
    <w:rsid w:val="00C26027"/>
    <w:rsid w:val="00C262FD"/>
    <w:rsid w:val="00C2649C"/>
    <w:rsid w:val="00C31A90"/>
    <w:rsid w:val="00C31BA0"/>
    <w:rsid w:val="00C3208E"/>
    <w:rsid w:val="00C323C6"/>
    <w:rsid w:val="00C323F7"/>
    <w:rsid w:val="00C325AF"/>
    <w:rsid w:val="00C32A05"/>
    <w:rsid w:val="00C32D96"/>
    <w:rsid w:val="00C335B6"/>
    <w:rsid w:val="00C354D4"/>
    <w:rsid w:val="00C371EC"/>
    <w:rsid w:val="00C37A04"/>
    <w:rsid w:val="00C37ECA"/>
    <w:rsid w:val="00C41372"/>
    <w:rsid w:val="00C4206A"/>
    <w:rsid w:val="00C450E9"/>
    <w:rsid w:val="00C4564B"/>
    <w:rsid w:val="00C463F3"/>
    <w:rsid w:val="00C474DB"/>
    <w:rsid w:val="00C50739"/>
    <w:rsid w:val="00C5091A"/>
    <w:rsid w:val="00C51ED1"/>
    <w:rsid w:val="00C52C43"/>
    <w:rsid w:val="00C52DB7"/>
    <w:rsid w:val="00C5316C"/>
    <w:rsid w:val="00C53A99"/>
    <w:rsid w:val="00C54DD2"/>
    <w:rsid w:val="00C5752A"/>
    <w:rsid w:val="00C57DA6"/>
    <w:rsid w:val="00C57E55"/>
    <w:rsid w:val="00C60FBE"/>
    <w:rsid w:val="00C62CB4"/>
    <w:rsid w:val="00C67846"/>
    <w:rsid w:val="00C67A81"/>
    <w:rsid w:val="00C7252A"/>
    <w:rsid w:val="00C73EAD"/>
    <w:rsid w:val="00C7535C"/>
    <w:rsid w:val="00C7557B"/>
    <w:rsid w:val="00C760B5"/>
    <w:rsid w:val="00C76E88"/>
    <w:rsid w:val="00C8241F"/>
    <w:rsid w:val="00C827D2"/>
    <w:rsid w:val="00C84025"/>
    <w:rsid w:val="00C84646"/>
    <w:rsid w:val="00C86E07"/>
    <w:rsid w:val="00C90612"/>
    <w:rsid w:val="00C906E5"/>
    <w:rsid w:val="00C90865"/>
    <w:rsid w:val="00C91BCF"/>
    <w:rsid w:val="00C9211F"/>
    <w:rsid w:val="00C9273C"/>
    <w:rsid w:val="00C927A4"/>
    <w:rsid w:val="00C92952"/>
    <w:rsid w:val="00C93C95"/>
    <w:rsid w:val="00C96C5C"/>
    <w:rsid w:val="00C96F6E"/>
    <w:rsid w:val="00C97370"/>
    <w:rsid w:val="00CA3783"/>
    <w:rsid w:val="00CA3812"/>
    <w:rsid w:val="00CA5207"/>
    <w:rsid w:val="00CA59A7"/>
    <w:rsid w:val="00CA7045"/>
    <w:rsid w:val="00CA70C5"/>
    <w:rsid w:val="00CB0029"/>
    <w:rsid w:val="00CB033A"/>
    <w:rsid w:val="00CB18B2"/>
    <w:rsid w:val="00CB219B"/>
    <w:rsid w:val="00CB2F8A"/>
    <w:rsid w:val="00CB4B7B"/>
    <w:rsid w:val="00CB5F4A"/>
    <w:rsid w:val="00CB63F5"/>
    <w:rsid w:val="00CB69FB"/>
    <w:rsid w:val="00CC050C"/>
    <w:rsid w:val="00CC0A7F"/>
    <w:rsid w:val="00CC11D2"/>
    <w:rsid w:val="00CC2F1A"/>
    <w:rsid w:val="00CC3D68"/>
    <w:rsid w:val="00CC42AD"/>
    <w:rsid w:val="00CC459C"/>
    <w:rsid w:val="00CC69BC"/>
    <w:rsid w:val="00CC76A9"/>
    <w:rsid w:val="00CD0A61"/>
    <w:rsid w:val="00CD1159"/>
    <w:rsid w:val="00CD388A"/>
    <w:rsid w:val="00CD3C1B"/>
    <w:rsid w:val="00CD451A"/>
    <w:rsid w:val="00CD4641"/>
    <w:rsid w:val="00CD5BC9"/>
    <w:rsid w:val="00CD70AC"/>
    <w:rsid w:val="00CD7E95"/>
    <w:rsid w:val="00CE2981"/>
    <w:rsid w:val="00CE4715"/>
    <w:rsid w:val="00CE499B"/>
    <w:rsid w:val="00CE5576"/>
    <w:rsid w:val="00CE6C17"/>
    <w:rsid w:val="00CF04AE"/>
    <w:rsid w:val="00CF0574"/>
    <w:rsid w:val="00CF0826"/>
    <w:rsid w:val="00CF0A2C"/>
    <w:rsid w:val="00CF0FFD"/>
    <w:rsid w:val="00CF2A40"/>
    <w:rsid w:val="00CF41BD"/>
    <w:rsid w:val="00CF5005"/>
    <w:rsid w:val="00CF534B"/>
    <w:rsid w:val="00CF55F5"/>
    <w:rsid w:val="00CF5D4F"/>
    <w:rsid w:val="00CF6703"/>
    <w:rsid w:val="00CF678A"/>
    <w:rsid w:val="00CF6F8D"/>
    <w:rsid w:val="00D008FC"/>
    <w:rsid w:val="00D01B81"/>
    <w:rsid w:val="00D01C95"/>
    <w:rsid w:val="00D02585"/>
    <w:rsid w:val="00D02F81"/>
    <w:rsid w:val="00D033A8"/>
    <w:rsid w:val="00D039F7"/>
    <w:rsid w:val="00D04EE4"/>
    <w:rsid w:val="00D05F95"/>
    <w:rsid w:val="00D06234"/>
    <w:rsid w:val="00D07AF3"/>
    <w:rsid w:val="00D07B78"/>
    <w:rsid w:val="00D11D0E"/>
    <w:rsid w:val="00D12115"/>
    <w:rsid w:val="00D1342E"/>
    <w:rsid w:val="00D141EF"/>
    <w:rsid w:val="00D14A9B"/>
    <w:rsid w:val="00D1500A"/>
    <w:rsid w:val="00D1662D"/>
    <w:rsid w:val="00D1721D"/>
    <w:rsid w:val="00D17245"/>
    <w:rsid w:val="00D17295"/>
    <w:rsid w:val="00D17C38"/>
    <w:rsid w:val="00D21A99"/>
    <w:rsid w:val="00D22054"/>
    <w:rsid w:val="00D22A64"/>
    <w:rsid w:val="00D22B51"/>
    <w:rsid w:val="00D23698"/>
    <w:rsid w:val="00D24265"/>
    <w:rsid w:val="00D268D0"/>
    <w:rsid w:val="00D27B89"/>
    <w:rsid w:val="00D27DFD"/>
    <w:rsid w:val="00D30039"/>
    <w:rsid w:val="00D30E93"/>
    <w:rsid w:val="00D31BB5"/>
    <w:rsid w:val="00D321E7"/>
    <w:rsid w:val="00D3275C"/>
    <w:rsid w:val="00D33A3F"/>
    <w:rsid w:val="00D34112"/>
    <w:rsid w:val="00D3489C"/>
    <w:rsid w:val="00D352BE"/>
    <w:rsid w:val="00D35EFF"/>
    <w:rsid w:val="00D36F8E"/>
    <w:rsid w:val="00D370AE"/>
    <w:rsid w:val="00D425A2"/>
    <w:rsid w:val="00D44054"/>
    <w:rsid w:val="00D44941"/>
    <w:rsid w:val="00D44B41"/>
    <w:rsid w:val="00D4517A"/>
    <w:rsid w:val="00D45252"/>
    <w:rsid w:val="00D4672A"/>
    <w:rsid w:val="00D46A70"/>
    <w:rsid w:val="00D51065"/>
    <w:rsid w:val="00D51CB1"/>
    <w:rsid w:val="00D51E47"/>
    <w:rsid w:val="00D52245"/>
    <w:rsid w:val="00D52E12"/>
    <w:rsid w:val="00D53147"/>
    <w:rsid w:val="00D5337B"/>
    <w:rsid w:val="00D5590C"/>
    <w:rsid w:val="00D56952"/>
    <w:rsid w:val="00D56C00"/>
    <w:rsid w:val="00D56D26"/>
    <w:rsid w:val="00D61898"/>
    <w:rsid w:val="00D618ED"/>
    <w:rsid w:val="00D62530"/>
    <w:rsid w:val="00D627FA"/>
    <w:rsid w:val="00D62E7A"/>
    <w:rsid w:val="00D63C2B"/>
    <w:rsid w:val="00D660FA"/>
    <w:rsid w:val="00D676FA"/>
    <w:rsid w:val="00D67F9A"/>
    <w:rsid w:val="00D70455"/>
    <w:rsid w:val="00D715B2"/>
    <w:rsid w:val="00D72B44"/>
    <w:rsid w:val="00D72B4C"/>
    <w:rsid w:val="00D7319E"/>
    <w:rsid w:val="00D739B3"/>
    <w:rsid w:val="00D73C26"/>
    <w:rsid w:val="00D75283"/>
    <w:rsid w:val="00D76CBA"/>
    <w:rsid w:val="00D77FAA"/>
    <w:rsid w:val="00D80573"/>
    <w:rsid w:val="00D80ADE"/>
    <w:rsid w:val="00D8422B"/>
    <w:rsid w:val="00D85DBF"/>
    <w:rsid w:val="00D8609D"/>
    <w:rsid w:val="00D8629E"/>
    <w:rsid w:val="00D86542"/>
    <w:rsid w:val="00D877F9"/>
    <w:rsid w:val="00D87E4E"/>
    <w:rsid w:val="00D913B5"/>
    <w:rsid w:val="00D9189C"/>
    <w:rsid w:val="00D9295B"/>
    <w:rsid w:val="00D92DB5"/>
    <w:rsid w:val="00D93F98"/>
    <w:rsid w:val="00DA0076"/>
    <w:rsid w:val="00DA1EC8"/>
    <w:rsid w:val="00DA2564"/>
    <w:rsid w:val="00DA4C2A"/>
    <w:rsid w:val="00DA4E16"/>
    <w:rsid w:val="00DA5539"/>
    <w:rsid w:val="00DA5EC7"/>
    <w:rsid w:val="00DA60DB"/>
    <w:rsid w:val="00DA63AF"/>
    <w:rsid w:val="00DA69C4"/>
    <w:rsid w:val="00DA6D2E"/>
    <w:rsid w:val="00DB064B"/>
    <w:rsid w:val="00DB0B50"/>
    <w:rsid w:val="00DB1A14"/>
    <w:rsid w:val="00DB22BE"/>
    <w:rsid w:val="00DB539E"/>
    <w:rsid w:val="00DB585F"/>
    <w:rsid w:val="00DB5989"/>
    <w:rsid w:val="00DB5B56"/>
    <w:rsid w:val="00DB6705"/>
    <w:rsid w:val="00DC1644"/>
    <w:rsid w:val="00DC4D45"/>
    <w:rsid w:val="00DC6326"/>
    <w:rsid w:val="00DC7BC0"/>
    <w:rsid w:val="00DD0523"/>
    <w:rsid w:val="00DD2933"/>
    <w:rsid w:val="00DD2D28"/>
    <w:rsid w:val="00DD36FC"/>
    <w:rsid w:val="00DD423C"/>
    <w:rsid w:val="00DD55C0"/>
    <w:rsid w:val="00DD5C94"/>
    <w:rsid w:val="00DD69D8"/>
    <w:rsid w:val="00DD6B04"/>
    <w:rsid w:val="00DD77FB"/>
    <w:rsid w:val="00DE1965"/>
    <w:rsid w:val="00DE19BC"/>
    <w:rsid w:val="00DE1D57"/>
    <w:rsid w:val="00DE24A9"/>
    <w:rsid w:val="00DE2998"/>
    <w:rsid w:val="00DE302B"/>
    <w:rsid w:val="00DE58A3"/>
    <w:rsid w:val="00DE5CDE"/>
    <w:rsid w:val="00DE7F1B"/>
    <w:rsid w:val="00DF0463"/>
    <w:rsid w:val="00DF0AC0"/>
    <w:rsid w:val="00DF0DB5"/>
    <w:rsid w:val="00DF1555"/>
    <w:rsid w:val="00DF23B8"/>
    <w:rsid w:val="00DF2606"/>
    <w:rsid w:val="00DF268D"/>
    <w:rsid w:val="00DF4377"/>
    <w:rsid w:val="00DF4B67"/>
    <w:rsid w:val="00DF51F7"/>
    <w:rsid w:val="00DF6E09"/>
    <w:rsid w:val="00DF6F8B"/>
    <w:rsid w:val="00DF74DA"/>
    <w:rsid w:val="00DF7927"/>
    <w:rsid w:val="00E0026E"/>
    <w:rsid w:val="00E00B72"/>
    <w:rsid w:val="00E00F08"/>
    <w:rsid w:val="00E0184D"/>
    <w:rsid w:val="00E0362A"/>
    <w:rsid w:val="00E03829"/>
    <w:rsid w:val="00E04100"/>
    <w:rsid w:val="00E05604"/>
    <w:rsid w:val="00E05A1B"/>
    <w:rsid w:val="00E05FEB"/>
    <w:rsid w:val="00E060D7"/>
    <w:rsid w:val="00E069B7"/>
    <w:rsid w:val="00E07927"/>
    <w:rsid w:val="00E1034F"/>
    <w:rsid w:val="00E106E2"/>
    <w:rsid w:val="00E10805"/>
    <w:rsid w:val="00E11304"/>
    <w:rsid w:val="00E13C0D"/>
    <w:rsid w:val="00E14DE4"/>
    <w:rsid w:val="00E155FB"/>
    <w:rsid w:val="00E15624"/>
    <w:rsid w:val="00E1582A"/>
    <w:rsid w:val="00E1745B"/>
    <w:rsid w:val="00E17AE0"/>
    <w:rsid w:val="00E17EE5"/>
    <w:rsid w:val="00E20D44"/>
    <w:rsid w:val="00E212A6"/>
    <w:rsid w:val="00E231D6"/>
    <w:rsid w:val="00E2392A"/>
    <w:rsid w:val="00E2397D"/>
    <w:rsid w:val="00E23C7E"/>
    <w:rsid w:val="00E23E89"/>
    <w:rsid w:val="00E23F55"/>
    <w:rsid w:val="00E249FA"/>
    <w:rsid w:val="00E25AF3"/>
    <w:rsid w:val="00E25EB5"/>
    <w:rsid w:val="00E26B87"/>
    <w:rsid w:val="00E26F8E"/>
    <w:rsid w:val="00E27715"/>
    <w:rsid w:val="00E277B8"/>
    <w:rsid w:val="00E30336"/>
    <w:rsid w:val="00E30C1D"/>
    <w:rsid w:val="00E317E4"/>
    <w:rsid w:val="00E34171"/>
    <w:rsid w:val="00E3547B"/>
    <w:rsid w:val="00E374BE"/>
    <w:rsid w:val="00E378E8"/>
    <w:rsid w:val="00E37C50"/>
    <w:rsid w:val="00E45728"/>
    <w:rsid w:val="00E45975"/>
    <w:rsid w:val="00E47CC6"/>
    <w:rsid w:val="00E50E61"/>
    <w:rsid w:val="00E5105C"/>
    <w:rsid w:val="00E51436"/>
    <w:rsid w:val="00E51FD5"/>
    <w:rsid w:val="00E532C4"/>
    <w:rsid w:val="00E537BB"/>
    <w:rsid w:val="00E5468D"/>
    <w:rsid w:val="00E56611"/>
    <w:rsid w:val="00E5695E"/>
    <w:rsid w:val="00E57338"/>
    <w:rsid w:val="00E5764E"/>
    <w:rsid w:val="00E60DCA"/>
    <w:rsid w:val="00E6113C"/>
    <w:rsid w:val="00E63546"/>
    <w:rsid w:val="00E64BB4"/>
    <w:rsid w:val="00E65DBB"/>
    <w:rsid w:val="00E66904"/>
    <w:rsid w:val="00E66CEC"/>
    <w:rsid w:val="00E67B3D"/>
    <w:rsid w:val="00E70686"/>
    <w:rsid w:val="00E713DA"/>
    <w:rsid w:val="00E71405"/>
    <w:rsid w:val="00E714C7"/>
    <w:rsid w:val="00E714F8"/>
    <w:rsid w:val="00E729BC"/>
    <w:rsid w:val="00E72F71"/>
    <w:rsid w:val="00E738C8"/>
    <w:rsid w:val="00E73A35"/>
    <w:rsid w:val="00E74D6C"/>
    <w:rsid w:val="00E757DE"/>
    <w:rsid w:val="00E75E51"/>
    <w:rsid w:val="00E760C0"/>
    <w:rsid w:val="00E76473"/>
    <w:rsid w:val="00E77B0F"/>
    <w:rsid w:val="00E8085F"/>
    <w:rsid w:val="00E81081"/>
    <w:rsid w:val="00E81B04"/>
    <w:rsid w:val="00E81E02"/>
    <w:rsid w:val="00E82037"/>
    <w:rsid w:val="00E826CC"/>
    <w:rsid w:val="00E83462"/>
    <w:rsid w:val="00E8388E"/>
    <w:rsid w:val="00E83AE3"/>
    <w:rsid w:val="00E84075"/>
    <w:rsid w:val="00E85D6A"/>
    <w:rsid w:val="00E8679A"/>
    <w:rsid w:val="00E86C50"/>
    <w:rsid w:val="00E907EF"/>
    <w:rsid w:val="00E90838"/>
    <w:rsid w:val="00E90E34"/>
    <w:rsid w:val="00E91416"/>
    <w:rsid w:val="00E916AC"/>
    <w:rsid w:val="00E91892"/>
    <w:rsid w:val="00E92AE9"/>
    <w:rsid w:val="00E92BDA"/>
    <w:rsid w:val="00E9613D"/>
    <w:rsid w:val="00E966E4"/>
    <w:rsid w:val="00E972C8"/>
    <w:rsid w:val="00EA1634"/>
    <w:rsid w:val="00EA29DB"/>
    <w:rsid w:val="00EA2B00"/>
    <w:rsid w:val="00EA40E6"/>
    <w:rsid w:val="00EA43E4"/>
    <w:rsid w:val="00EA476C"/>
    <w:rsid w:val="00EA4850"/>
    <w:rsid w:val="00EA4D40"/>
    <w:rsid w:val="00EA5C7D"/>
    <w:rsid w:val="00EB02FE"/>
    <w:rsid w:val="00EB06B3"/>
    <w:rsid w:val="00EB2B18"/>
    <w:rsid w:val="00EB3657"/>
    <w:rsid w:val="00EB3691"/>
    <w:rsid w:val="00EB4109"/>
    <w:rsid w:val="00EB41BF"/>
    <w:rsid w:val="00EB473A"/>
    <w:rsid w:val="00EB4A4F"/>
    <w:rsid w:val="00EB4B92"/>
    <w:rsid w:val="00EB579A"/>
    <w:rsid w:val="00EB6D9B"/>
    <w:rsid w:val="00EC0A02"/>
    <w:rsid w:val="00EC1E02"/>
    <w:rsid w:val="00EC3557"/>
    <w:rsid w:val="00EC3A00"/>
    <w:rsid w:val="00EC4B9F"/>
    <w:rsid w:val="00EC4C7D"/>
    <w:rsid w:val="00EC55AA"/>
    <w:rsid w:val="00EC5683"/>
    <w:rsid w:val="00EC6392"/>
    <w:rsid w:val="00EC69CD"/>
    <w:rsid w:val="00EC74CD"/>
    <w:rsid w:val="00ED012E"/>
    <w:rsid w:val="00ED0707"/>
    <w:rsid w:val="00ED134B"/>
    <w:rsid w:val="00ED1858"/>
    <w:rsid w:val="00ED284E"/>
    <w:rsid w:val="00ED3227"/>
    <w:rsid w:val="00ED402B"/>
    <w:rsid w:val="00ED40CD"/>
    <w:rsid w:val="00ED4282"/>
    <w:rsid w:val="00ED6CEE"/>
    <w:rsid w:val="00EE057E"/>
    <w:rsid w:val="00EE178C"/>
    <w:rsid w:val="00EE24D1"/>
    <w:rsid w:val="00EE27BC"/>
    <w:rsid w:val="00EE36C1"/>
    <w:rsid w:val="00EE3EA2"/>
    <w:rsid w:val="00EE4AD5"/>
    <w:rsid w:val="00EE5A86"/>
    <w:rsid w:val="00EE6B14"/>
    <w:rsid w:val="00EE6EF3"/>
    <w:rsid w:val="00EE754E"/>
    <w:rsid w:val="00EF0B34"/>
    <w:rsid w:val="00EF0F40"/>
    <w:rsid w:val="00EF145A"/>
    <w:rsid w:val="00EF1824"/>
    <w:rsid w:val="00EF26BA"/>
    <w:rsid w:val="00EF3AC2"/>
    <w:rsid w:val="00EF49FB"/>
    <w:rsid w:val="00EF4B8D"/>
    <w:rsid w:val="00EF560B"/>
    <w:rsid w:val="00EF6114"/>
    <w:rsid w:val="00EF630C"/>
    <w:rsid w:val="00EF71B8"/>
    <w:rsid w:val="00EF7852"/>
    <w:rsid w:val="00F02FDF"/>
    <w:rsid w:val="00F03FDD"/>
    <w:rsid w:val="00F042D0"/>
    <w:rsid w:val="00F06170"/>
    <w:rsid w:val="00F0783E"/>
    <w:rsid w:val="00F07DDC"/>
    <w:rsid w:val="00F1077D"/>
    <w:rsid w:val="00F11A1E"/>
    <w:rsid w:val="00F11DDD"/>
    <w:rsid w:val="00F12E34"/>
    <w:rsid w:val="00F1307B"/>
    <w:rsid w:val="00F1365D"/>
    <w:rsid w:val="00F15EC3"/>
    <w:rsid w:val="00F16459"/>
    <w:rsid w:val="00F16A22"/>
    <w:rsid w:val="00F1708A"/>
    <w:rsid w:val="00F178F6"/>
    <w:rsid w:val="00F17966"/>
    <w:rsid w:val="00F179F8"/>
    <w:rsid w:val="00F21B8C"/>
    <w:rsid w:val="00F234C3"/>
    <w:rsid w:val="00F2380C"/>
    <w:rsid w:val="00F23850"/>
    <w:rsid w:val="00F26995"/>
    <w:rsid w:val="00F30B10"/>
    <w:rsid w:val="00F32081"/>
    <w:rsid w:val="00F32FB9"/>
    <w:rsid w:val="00F34F51"/>
    <w:rsid w:val="00F35420"/>
    <w:rsid w:val="00F360EF"/>
    <w:rsid w:val="00F36E1E"/>
    <w:rsid w:val="00F3727E"/>
    <w:rsid w:val="00F37282"/>
    <w:rsid w:val="00F43D98"/>
    <w:rsid w:val="00F45BF2"/>
    <w:rsid w:val="00F502A0"/>
    <w:rsid w:val="00F51B89"/>
    <w:rsid w:val="00F51C69"/>
    <w:rsid w:val="00F5205D"/>
    <w:rsid w:val="00F52236"/>
    <w:rsid w:val="00F52EA9"/>
    <w:rsid w:val="00F530A8"/>
    <w:rsid w:val="00F53176"/>
    <w:rsid w:val="00F54935"/>
    <w:rsid w:val="00F554B6"/>
    <w:rsid w:val="00F5608E"/>
    <w:rsid w:val="00F57106"/>
    <w:rsid w:val="00F5784B"/>
    <w:rsid w:val="00F578E3"/>
    <w:rsid w:val="00F61B3C"/>
    <w:rsid w:val="00F62128"/>
    <w:rsid w:val="00F63063"/>
    <w:rsid w:val="00F63795"/>
    <w:rsid w:val="00F63F28"/>
    <w:rsid w:val="00F63F79"/>
    <w:rsid w:val="00F64126"/>
    <w:rsid w:val="00F65122"/>
    <w:rsid w:val="00F6557A"/>
    <w:rsid w:val="00F66E80"/>
    <w:rsid w:val="00F676AD"/>
    <w:rsid w:val="00F67D9C"/>
    <w:rsid w:val="00F71730"/>
    <w:rsid w:val="00F72185"/>
    <w:rsid w:val="00F73B1E"/>
    <w:rsid w:val="00F7433B"/>
    <w:rsid w:val="00F75087"/>
    <w:rsid w:val="00F75349"/>
    <w:rsid w:val="00F75706"/>
    <w:rsid w:val="00F76EC6"/>
    <w:rsid w:val="00F77164"/>
    <w:rsid w:val="00F81935"/>
    <w:rsid w:val="00F81B7B"/>
    <w:rsid w:val="00F82CC9"/>
    <w:rsid w:val="00F85EE1"/>
    <w:rsid w:val="00F85F7A"/>
    <w:rsid w:val="00F86AF9"/>
    <w:rsid w:val="00F86D75"/>
    <w:rsid w:val="00F909F3"/>
    <w:rsid w:val="00F9204E"/>
    <w:rsid w:val="00F922AA"/>
    <w:rsid w:val="00F92653"/>
    <w:rsid w:val="00F93DFF"/>
    <w:rsid w:val="00F9487F"/>
    <w:rsid w:val="00F95ADB"/>
    <w:rsid w:val="00F95E9F"/>
    <w:rsid w:val="00F96308"/>
    <w:rsid w:val="00F9650E"/>
    <w:rsid w:val="00F97953"/>
    <w:rsid w:val="00FA0111"/>
    <w:rsid w:val="00FA139A"/>
    <w:rsid w:val="00FA2ED7"/>
    <w:rsid w:val="00FA3189"/>
    <w:rsid w:val="00FA3D0A"/>
    <w:rsid w:val="00FA42B7"/>
    <w:rsid w:val="00FA4367"/>
    <w:rsid w:val="00FA53BF"/>
    <w:rsid w:val="00FA62B9"/>
    <w:rsid w:val="00FA6F18"/>
    <w:rsid w:val="00FA6F8B"/>
    <w:rsid w:val="00FA7FDE"/>
    <w:rsid w:val="00FA7FF4"/>
    <w:rsid w:val="00FB1029"/>
    <w:rsid w:val="00FB134E"/>
    <w:rsid w:val="00FB180A"/>
    <w:rsid w:val="00FB1943"/>
    <w:rsid w:val="00FB25C9"/>
    <w:rsid w:val="00FB26F0"/>
    <w:rsid w:val="00FB299C"/>
    <w:rsid w:val="00FB3369"/>
    <w:rsid w:val="00FB364E"/>
    <w:rsid w:val="00FB5548"/>
    <w:rsid w:val="00FB5C9C"/>
    <w:rsid w:val="00FB603B"/>
    <w:rsid w:val="00FB74DF"/>
    <w:rsid w:val="00FB76FE"/>
    <w:rsid w:val="00FC0D58"/>
    <w:rsid w:val="00FC1E46"/>
    <w:rsid w:val="00FC45CB"/>
    <w:rsid w:val="00FC5E6C"/>
    <w:rsid w:val="00FC715D"/>
    <w:rsid w:val="00FC7AED"/>
    <w:rsid w:val="00FD1178"/>
    <w:rsid w:val="00FD1A88"/>
    <w:rsid w:val="00FD2C05"/>
    <w:rsid w:val="00FD416A"/>
    <w:rsid w:val="00FE0280"/>
    <w:rsid w:val="00FE09B6"/>
    <w:rsid w:val="00FE0C9B"/>
    <w:rsid w:val="00FE0CAE"/>
    <w:rsid w:val="00FE15C0"/>
    <w:rsid w:val="00FE2228"/>
    <w:rsid w:val="00FE2505"/>
    <w:rsid w:val="00FE3AC5"/>
    <w:rsid w:val="00FE46F1"/>
    <w:rsid w:val="00FE4CF2"/>
    <w:rsid w:val="00FE5003"/>
    <w:rsid w:val="00FE5592"/>
    <w:rsid w:val="00FF014F"/>
    <w:rsid w:val="00FF294E"/>
    <w:rsid w:val="00FF2AB1"/>
    <w:rsid w:val="00FF511F"/>
    <w:rsid w:val="00FF610E"/>
    <w:rsid w:val="00FF62DD"/>
    <w:rsid w:val="00FF717B"/>
    <w:rsid w:val="00FF7D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A9F8A8"/>
  <w14:defaultImageDpi w14:val="32767"/>
  <w15:chartTrackingRefBased/>
  <w15:docId w15:val="{574D5B7C-6B47-480B-A164-C551C0E80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E22"/>
    <w:pPr>
      <w:spacing w:after="0" w:line="360" w:lineRule="auto"/>
    </w:pPr>
    <w:rPr>
      <w:rFonts w:eastAsia="Segoe UI" w:cs="Times New Roman"/>
      <w:color w:val="3C3D3C"/>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123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238"/>
    <w:rPr>
      <w:rFonts w:ascii="Segoe UI" w:eastAsia="Segoe UI" w:hAnsi="Segoe UI" w:cs="Segoe UI"/>
      <w:color w:val="3C3D3C"/>
      <w:sz w:val="18"/>
      <w:szCs w:val="18"/>
    </w:rPr>
  </w:style>
  <w:style w:type="character" w:styleId="PlaceholderText">
    <w:name w:val="Placeholder Text"/>
    <w:basedOn w:val="DefaultParagraphFont"/>
    <w:uiPriority w:val="99"/>
    <w:semiHidden/>
    <w:rsid w:val="00397237"/>
    <w:rPr>
      <w:color w:val="808080"/>
    </w:rPr>
  </w:style>
  <w:style w:type="paragraph" w:styleId="Header">
    <w:name w:val="header"/>
    <w:basedOn w:val="Normal"/>
    <w:link w:val="HeaderChar"/>
    <w:uiPriority w:val="99"/>
    <w:unhideWhenUsed/>
    <w:rsid w:val="00FD416A"/>
    <w:pPr>
      <w:tabs>
        <w:tab w:val="center" w:pos="4513"/>
        <w:tab w:val="right" w:pos="9026"/>
      </w:tabs>
      <w:spacing w:line="240" w:lineRule="auto"/>
    </w:pPr>
  </w:style>
  <w:style w:type="character" w:customStyle="1" w:styleId="HeaderChar">
    <w:name w:val="Header Char"/>
    <w:basedOn w:val="DefaultParagraphFont"/>
    <w:link w:val="Header"/>
    <w:uiPriority w:val="99"/>
    <w:rsid w:val="00FD416A"/>
    <w:rPr>
      <w:rFonts w:eastAsia="Segoe UI" w:cs="Times New Roman"/>
      <w:color w:val="3C3D3C"/>
      <w:sz w:val="19"/>
    </w:rPr>
  </w:style>
  <w:style w:type="paragraph" w:styleId="Footer">
    <w:name w:val="footer"/>
    <w:basedOn w:val="Normal"/>
    <w:link w:val="FooterChar"/>
    <w:uiPriority w:val="99"/>
    <w:unhideWhenUsed/>
    <w:rsid w:val="00FD416A"/>
    <w:pPr>
      <w:tabs>
        <w:tab w:val="center" w:pos="4513"/>
        <w:tab w:val="right" w:pos="9026"/>
      </w:tabs>
      <w:spacing w:line="240" w:lineRule="auto"/>
    </w:pPr>
  </w:style>
  <w:style w:type="character" w:customStyle="1" w:styleId="FooterChar">
    <w:name w:val="Footer Char"/>
    <w:basedOn w:val="DefaultParagraphFont"/>
    <w:link w:val="Footer"/>
    <w:uiPriority w:val="99"/>
    <w:rsid w:val="00FD416A"/>
    <w:rPr>
      <w:rFonts w:eastAsia="Segoe UI" w:cs="Times New Roman"/>
      <w:color w:val="3C3D3C"/>
      <w:sz w:val="19"/>
    </w:rPr>
  </w:style>
  <w:style w:type="character" w:styleId="Hyperlink">
    <w:name w:val="Hyperlink"/>
    <w:basedOn w:val="DefaultParagraphFont"/>
    <w:uiPriority w:val="99"/>
    <w:unhideWhenUsed/>
    <w:rsid w:val="00046A1C"/>
    <w:rPr>
      <w:color w:val="0563C1" w:themeColor="hyperlink"/>
      <w:u w:val="single"/>
    </w:rPr>
  </w:style>
  <w:style w:type="character" w:styleId="UnresolvedMention">
    <w:name w:val="Unresolved Mention"/>
    <w:basedOn w:val="DefaultParagraphFont"/>
    <w:uiPriority w:val="99"/>
    <w:semiHidden/>
    <w:unhideWhenUsed/>
    <w:rsid w:val="00046A1C"/>
    <w:rPr>
      <w:color w:val="605E5C"/>
      <w:shd w:val="clear" w:color="auto" w:fill="E1DFDD"/>
    </w:rPr>
  </w:style>
  <w:style w:type="character" w:styleId="FollowedHyperlink">
    <w:name w:val="FollowedHyperlink"/>
    <w:basedOn w:val="DefaultParagraphFont"/>
    <w:uiPriority w:val="99"/>
    <w:semiHidden/>
    <w:unhideWhenUsed/>
    <w:rsid w:val="00265125"/>
    <w:rPr>
      <w:color w:val="954F72"/>
      <w:u w:val="single"/>
    </w:rPr>
  </w:style>
  <w:style w:type="paragraph" w:customStyle="1" w:styleId="msonormal0">
    <w:name w:val="msonormal"/>
    <w:basedOn w:val="Normal"/>
    <w:rsid w:val="00265125"/>
    <w:pPr>
      <w:spacing w:before="100" w:beforeAutospacing="1" w:after="100" w:afterAutospacing="1" w:line="240" w:lineRule="auto"/>
    </w:pPr>
    <w:rPr>
      <w:rFonts w:ascii="Times New Roman" w:eastAsia="Times New Roman" w:hAnsi="Times New Roman"/>
      <w:color w:val="auto"/>
      <w:sz w:val="24"/>
      <w:szCs w:val="24"/>
      <w:lang w:eastAsia="en-AU"/>
    </w:rPr>
  </w:style>
  <w:style w:type="paragraph" w:customStyle="1" w:styleId="xl65">
    <w:name w:val="xl65"/>
    <w:basedOn w:val="Normal"/>
    <w:rsid w:val="00265125"/>
    <w:pPr>
      <w:spacing w:before="100" w:beforeAutospacing="1" w:after="100" w:afterAutospacing="1" w:line="240" w:lineRule="auto"/>
    </w:pPr>
    <w:rPr>
      <w:rFonts w:ascii="Times New Roman" w:eastAsia="Times New Roman" w:hAnsi="Times New Roman"/>
      <w:color w:val="auto"/>
      <w:sz w:val="16"/>
      <w:szCs w:val="16"/>
      <w:lang w:eastAsia="en-AU"/>
    </w:rPr>
  </w:style>
  <w:style w:type="paragraph" w:customStyle="1" w:styleId="xl66">
    <w:name w:val="xl66"/>
    <w:basedOn w:val="Normal"/>
    <w:rsid w:val="00265125"/>
    <w:pPr>
      <w:spacing w:before="100" w:beforeAutospacing="1" w:after="100" w:afterAutospacing="1" w:line="240" w:lineRule="auto"/>
      <w:textAlignment w:val="top"/>
    </w:pPr>
    <w:rPr>
      <w:rFonts w:ascii="Times New Roman" w:eastAsia="Times New Roman" w:hAnsi="Times New Roman"/>
      <w:color w:val="auto"/>
      <w:sz w:val="16"/>
      <w:szCs w:val="16"/>
      <w:lang w:eastAsia="en-AU"/>
    </w:rPr>
  </w:style>
  <w:style w:type="paragraph" w:customStyle="1" w:styleId="xl67">
    <w:name w:val="xl67"/>
    <w:basedOn w:val="Normal"/>
    <w:rsid w:val="0026512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olor w:val="auto"/>
      <w:sz w:val="16"/>
      <w:szCs w:val="16"/>
      <w:lang w:eastAsia="en-AU"/>
    </w:rPr>
  </w:style>
  <w:style w:type="paragraph" w:customStyle="1" w:styleId="xl68">
    <w:name w:val="xl68"/>
    <w:basedOn w:val="Normal"/>
    <w:rsid w:val="00265125"/>
    <w:pPr>
      <w:shd w:val="clear" w:color="000000" w:fill="D9D9D9"/>
      <w:spacing w:before="100" w:beforeAutospacing="1" w:after="100" w:afterAutospacing="1" w:line="240" w:lineRule="auto"/>
      <w:textAlignment w:val="top"/>
    </w:pPr>
    <w:rPr>
      <w:rFonts w:ascii="Times New Roman" w:eastAsia="Times New Roman" w:hAnsi="Times New Roman"/>
      <w:color w:val="auto"/>
      <w:sz w:val="16"/>
      <w:szCs w:val="16"/>
      <w:lang w:eastAsia="en-AU"/>
    </w:rPr>
  </w:style>
  <w:style w:type="paragraph" w:customStyle="1" w:styleId="xl69">
    <w:name w:val="xl69"/>
    <w:basedOn w:val="Normal"/>
    <w:rsid w:val="00265125"/>
    <w:pPr>
      <w:shd w:val="clear" w:color="000000" w:fill="F2F2F2"/>
      <w:spacing w:before="100" w:beforeAutospacing="1" w:after="100" w:afterAutospacing="1" w:line="240" w:lineRule="auto"/>
      <w:textAlignment w:val="top"/>
    </w:pPr>
    <w:rPr>
      <w:rFonts w:ascii="Times New Roman" w:eastAsia="Times New Roman" w:hAnsi="Times New Roman"/>
      <w:color w:val="auto"/>
      <w:sz w:val="16"/>
      <w:szCs w:val="16"/>
      <w:lang w:eastAsia="en-AU"/>
    </w:rPr>
  </w:style>
  <w:style w:type="paragraph" w:customStyle="1" w:styleId="xl70">
    <w:name w:val="xl70"/>
    <w:basedOn w:val="Normal"/>
    <w:rsid w:val="00265125"/>
    <w:pPr>
      <w:shd w:val="clear" w:color="000000" w:fill="F2F2F2"/>
      <w:spacing w:before="100" w:beforeAutospacing="1" w:after="100" w:afterAutospacing="1" w:line="240" w:lineRule="auto"/>
    </w:pPr>
    <w:rPr>
      <w:rFonts w:ascii="Times New Roman" w:eastAsia="Times New Roman" w:hAnsi="Times New Roman"/>
      <w:color w:val="auto"/>
      <w:sz w:val="16"/>
      <w:szCs w:val="16"/>
      <w:lang w:eastAsia="en-AU"/>
    </w:rPr>
  </w:style>
  <w:style w:type="paragraph" w:customStyle="1" w:styleId="xl71">
    <w:name w:val="xl71"/>
    <w:basedOn w:val="Normal"/>
    <w:rsid w:val="00265125"/>
    <w:pPr>
      <w:pBdr>
        <w:bottom w:val="single" w:sz="4" w:space="0" w:color="auto"/>
      </w:pBdr>
      <w:spacing w:before="100" w:beforeAutospacing="1" w:after="100" w:afterAutospacing="1" w:line="240" w:lineRule="auto"/>
      <w:textAlignment w:val="top"/>
    </w:pPr>
    <w:rPr>
      <w:rFonts w:ascii="Times New Roman" w:eastAsia="Times New Roman" w:hAnsi="Times New Roman"/>
      <w:color w:val="auto"/>
      <w:sz w:val="16"/>
      <w:szCs w:val="16"/>
      <w:lang w:eastAsia="en-AU"/>
    </w:rPr>
  </w:style>
  <w:style w:type="paragraph" w:customStyle="1" w:styleId="xl72">
    <w:name w:val="xl72"/>
    <w:basedOn w:val="Normal"/>
    <w:rsid w:val="00265125"/>
    <w:pPr>
      <w:spacing w:before="100" w:beforeAutospacing="1" w:after="100" w:afterAutospacing="1" w:line="240" w:lineRule="auto"/>
    </w:pPr>
    <w:rPr>
      <w:rFonts w:ascii="Times New Roman" w:eastAsia="Times New Roman" w:hAnsi="Times New Roman"/>
      <w:color w:val="auto"/>
      <w:sz w:val="16"/>
      <w:szCs w:val="16"/>
      <w:lang w:eastAsia="en-AU"/>
    </w:rPr>
  </w:style>
  <w:style w:type="paragraph" w:customStyle="1" w:styleId="xl73">
    <w:name w:val="xl73"/>
    <w:basedOn w:val="Normal"/>
    <w:rsid w:val="00265125"/>
    <w:pPr>
      <w:shd w:val="clear" w:color="000000" w:fill="F2F2F2"/>
      <w:spacing w:before="100" w:beforeAutospacing="1" w:after="100" w:afterAutospacing="1" w:line="240" w:lineRule="auto"/>
    </w:pPr>
    <w:rPr>
      <w:rFonts w:ascii="Times New Roman" w:eastAsia="Times New Roman" w:hAnsi="Times New Roman"/>
      <w:color w:val="auto"/>
      <w:sz w:val="16"/>
      <w:szCs w:val="16"/>
      <w:lang w:eastAsia="en-AU"/>
    </w:rPr>
  </w:style>
  <w:style w:type="paragraph" w:customStyle="1" w:styleId="xl74">
    <w:name w:val="xl74"/>
    <w:basedOn w:val="Normal"/>
    <w:rsid w:val="00265125"/>
    <w:pPr>
      <w:spacing w:before="100" w:beforeAutospacing="1" w:after="100" w:afterAutospacing="1" w:line="240" w:lineRule="auto"/>
      <w:textAlignment w:val="top"/>
    </w:pPr>
    <w:rPr>
      <w:rFonts w:ascii="Times New Roman" w:eastAsia="Times New Roman" w:hAnsi="Times New Roman"/>
      <w:color w:val="FF0000"/>
      <w:sz w:val="16"/>
      <w:szCs w:val="16"/>
      <w:lang w:eastAsia="en-AU"/>
    </w:rPr>
  </w:style>
  <w:style w:type="paragraph" w:customStyle="1" w:styleId="xl75">
    <w:name w:val="xl75"/>
    <w:basedOn w:val="Normal"/>
    <w:rsid w:val="00265125"/>
    <w:pPr>
      <w:shd w:val="clear" w:color="000000" w:fill="F2F2F2"/>
      <w:spacing w:before="100" w:beforeAutospacing="1" w:after="100" w:afterAutospacing="1" w:line="240" w:lineRule="auto"/>
      <w:textAlignment w:val="top"/>
    </w:pPr>
    <w:rPr>
      <w:rFonts w:ascii="Times New Roman" w:eastAsia="Times New Roman" w:hAnsi="Times New Roman"/>
      <w:color w:val="FF0000"/>
      <w:sz w:val="16"/>
      <w:szCs w:val="16"/>
      <w:lang w:eastAsia="en-AU"/>
    </w:rPr>
  </w:style>
  <w:style w:type="table" w:styleId="TableGrid">
    <w:name w:val="Table Grid"/>
    <w:basedOn w:val="TableNormal"/>
    <w:uiPriority w:val="39"/>
    <w:rsid w:val="00AF34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04157">
      <w:bodyDiv w:val="1"/>
      <w:marLeft w:val="0"/>
      <w:marRight w:val="0"/>
      <w:marTop w:val="0"/>
      <w:marBottom w:val="0"/>
      <w:divBdr>
        <w:top w:val="none" w:sz="0" w:space="0" w:color="auto"/>
        <w:left w:val="none" w:sz="0" w:space="0" w:color="auto"/>
        <w:bottom w:val="none" w:sz="0" w:space="0" w:color="auto"/>
        <w:right w:val="none" w:sz="0" w:space="0" w:color="auto"/>
      </w:divBdr>
    </w:div>
    <w:div w:id="99885061">
      <w:bodyDiv w:val="1"/>
      <w:marLeft w:val="0"/>
      <w:marRight w:val="0"/>
      <w:marTop w:val="0"/>
      <w:marBottom w:val="0"/>
      <w:divBdr>
        <w:top w:val="none" w:sz="0" w:space="0" w:color="auto"/>
        <w:left w:val="none" w:sz="0" w:space="0" w:color="auto"/>
        <w:bottom w:val="none" w:sz="0" w:space="0" w:color="auto"/>
        <w:right w:val="none" w:sz="0" w:space="0" w:color="auto"/>
      </w:divBdr>
    </w:div>
    <w:div w:id="164370487">
      <w:bodyDiv w:val="1"/>
      <w:marLeft w:val="0"/>
      <w:marRight w:val="0"/>
      <w:marTop w:val="0"/>
      <w:marBottom w:val="0"/>
      <w:divBdr>
        <w:top w:val="none" w:sz="0" w:space="0" w:color="auto"/>
        <w:left w:val="none" w:sz="0" w:space="0" w:color="auto"/>
        <w:bottom w:val="none" w:sz="0" w:space="0" w:color="auto"/>
        <w:right w:val="none" w:sz="0" w:space="0" w:color="auto"/>
      </w:divBdr>
    </w:div>
    <w:div w:id="329409897">
      <w:bodyDiv w:val="1"/>
      <w:marLeft w:val="0"/>
      <w:marRight w:val="0"/>
      <w:marTop w:val="0"/>
      <w:marBottom w:val="0"/>
      <w:divBdr>
        <w:top w:val="none" w:sz="0" w:space="0" w:color="auto"/>
        <w:left w:val="none" w:sz="0" w:space="0" w:color="auto"/>
        <w:bottom w:val="none" w:sz="0" w:space="0" w:color="auto"/>
        <w:right w:val="none" w:sz="0" w:space="0" w:color="auto"/>
      </w:divBdr>
    </w:div>
    <w:div w:id="335351559">
      <w:bodyDiv w:val="1"/>
      <w:marLeft w:val="0"/>
      <w:marRight w:val="0"/>
      <w:marTop w:val="0"/>
      <w:marBottom w:val="0"/>
      <w:divBdr>
        <w:top w:val="none" w:sz="0" w:space="0" w:color="auto"/>
        <w:left w:val="none" w:sz="0" w:space="0" w:color="auto"/>
        <w:bottom w:val="none" w:sz="0" w:space="0" w:color="auto"/>
        <w:right w:val="none" w:sz="0" w:space="0" w:color="auto"/>
      </w:divBdr>
    </w:div>
    <w:div w:id="392386116">
      <w:bodyDiv w:val="1"/>
      <w:marLeft w:val="0"/>
      <w:marRight w:val="0"/>
      <w:marTop w:val="0"/>
      <w:marBottom w:val="0"/>
      <w:divBdr>
        <w:top w:val="none" w:sz="0" w:space="0" w:color="auto"/>
        <w:left w:val="none" w:sz="0" w:space="0" w:color="auto"/>
        <w:bottom w:val="none" w:sz="0" w:space="0" w:color="auto"/>
        <w:right w:val="none" w:sz="0" w:space="0" w:color="auto"/>
      </w:divBdr>
    </w:div>
    <w:div w:id="503935249">
      <w:bodyDiv w:val="1"/>
      <w:marLeft w:val="0"/>
      <w:marRight w:val="0"/>
      <w:marTop w:val="0"/>
      <w:marBottom w:val="0"/>
      <w:divBdr>
        <w:top w:val="none" w:sz="0" w:space="0" w:color="auto"/>
        <w:left w:val="none" w:sz="0" w:space="0" w:color="auto"/>
        <w:bottom w:val="none" w:sz="0" w:space="0" w:color="auto"/>
        <w:right w:val="none" w:sz="0" w:space="0" w:color="auto"/>
      </w:divBdr>
    </w:div>
    <w:div w:id="529798997">
      <w:bodyDiv w:val="1"/>
      <w:marLeft w:val="0"/>
      <w:marRight w:val="0"/>
      <w:marTop w:val="0"/>
      <w:marBottom w:val="0"/>
      <w:divBdr>
        <w:top w:val="none" w:sz="0" w:space="0" w:color="auto"/>
        <w:left w:val="none" w:sz="0" w:space="0" w:color="auto"/>
        <w:bottom w:val="none" w:sz="0" w:space="0" w:color="auto"/>
        <w:right w:val="none" w:sz="0" w:space="0" w:color="auto"/>
      </w:divBdr>
    </w:div>
    <w:div w:id="684983653">
      <w:bodyDiv w:val="1"/>
      <w:marLeft w:val="0"/>
      <w:marRight w:val="0"/>
      <w:marTop w:val="0"/>
      <w:marBottom w:val="0"/>
      <w:divBdr>
        <w:top w:val="none" w:sz="0" w:space="0" w:color="auto"/>
        <w:left w:val="none" w:sz="0" w:space="0" w:color="auto"/>
        <w:bottom w:val="none" w:sz="0" w:space="0" w:color="auto"/>
        <w:right w:val="none" w:sz="0" w:space="0" w:color="auto"/>
      </w:divBdr>
    </w:div>
    <w:div w:id="688526899">
      <w:bodyDiv w:val="1"/>
      <w:marLeft w:val="0"/>
      <w:marRight w:val="0"/>
      <w:marTop w:val="0"/>
      <w:marBottom w:val="0"/>
      <w:divBdr>
        <w:top w:val="none" w:sz="0" w:space="0" w:color="auto"/>
        <w:left w:val="none" w:sz="0" w:space="0" w:color="auto"/>
        <w:bottom w:val="none" w:sz="0" w:space="0" w:color="auto"/>
        <w:right w:val="none" w:sz="0" w:space="0" w:color="auto"/>
      </w:divBdr>
    </w:div>
    <w:div w:id="734084274">
      <w:bodyDiv w:val="1"/>
      <w:marLeft w:val="0"/>
      <w:marRight w:val="0"/>
      <w:marTop w:val="0"/>
      <w:marBottom w:val="0"/>
      <w:divBdr>
        <w:top w:val="none" w:sz="0" w:space="0" w:color="auto"/>
        <w:left w:val="none" w:sz="0" w:space="0" w:color="auto"/>
        <w:bottom w:val="none" w:sz="0" w:space="0" w:color="auto"/>
        <w:right w:val="none" w:sz="0" w:space="0" w:color="auto"/>
      </w:divBdr>
    </w:div>
    <w:div w:id="774137335">
      <w:bodyDiv w:val="1"/>
      <w:marLeft w:val="0"/>
      <w:marRight w:val="0"/>
      <w:marTop w:val="0"/>
      <w:marBottom w:val="0"/>
      <w:divBdr>
        <w:top w:val="none" w:sz="0" w:space="0" w:color="auto"/>
        <w:left w:val="none" w:sz="0" w:space="0" w:color="auto"/>
        <w:bottom w:val="none" w:sz="0" w:space="0" w:color="auto"/>
        <w:right w:val="none" w:sz="0" w:space="0" w:color="auto"/>
      </w:divBdr>
    </w:div>
    <w:div w:id="855778145">
      <w:bodyDiv w:val="1"/>
      <w:marLeft w:val="0"/>
      <w:marRight w:val="0"/>
      <w:marTop w:val="0"/>
      <w:marBottom w:val="0"/>
      <w:divBdr>
        <w:top w:val="none" w:sz="0" w:space="0" w:color="auto"/>
        <w:left w:val="none" w:sz="0" w:space="0" w:color="auto"/>
        <w:bottom w:val="none" w:sz="0" w:space="0" w:color="auto"/>
        <w:right w:val="none" w:sz="0" w:space="0" w:color="auto"/>
      </w:divBdr>
    </w:div>
    <w:div w:id="971784071">
      <w:bodyDiv w:val="1"/>
      <w:marLeft w:val="0"/>
      <w:marRight w:val="0"/>
      <w:marTop w:val="0"/>
      <w:marBottom w:val="0"/>
      <w:divBdr>
        <w:top w:val="none" w:sz="0" w:space="0" w:color="auto"/>
        <w:left w:val="none" w:sz="0" w:space="0" w:color="auto"/>
        <w:bottom w:val="none" w:sz="0" w:space="0" w:color="auto"/>
        <w:right w:val="none" w:sz="0" w:space="0" w:color="auto"/>
      </w:divBdr>
    </w:div>
    <w:div w:id="972367309">
      <w:bodyDiv w:val="1"/>
      <w:marLeft w:val="0"/>
      <w:marRight w:val="0"/>
      <w:marTop w:val="0"/>
      <w:marBottom w:val="0"/>
      <w:divBdr>
        <w:top w:val="none" w:sz="0" w:space="0" w:color="auto"/>
        <w:left w:val="none" w:sz="0" w:space="0" w:color="auto"/>
        <w:bottom w:val="none" w:sz="0" w:space="0" w:color="auto"/>
        <w:right w:val="none" w:sz="0" w:space="0" w:color="auto"/>
      </w:divBdr>
    </w:div>
    <w:div w:id="1108238769">
      <w:bodyDiv w:val="1"/>
      <w:marLeft w:val="0"/>
      <w:marRight w:val="0"/>
      <w:marTop w:val="0"/>
      <w:marBottom w:val="0"/>
      <w:divBdr>
        <w:top w:val="none" w:sz="0" w:space="0" w:color="auto"/>
        <w:left w:val="none" w:sz="0" w:space="0" w:color="auto"/>
        <w:bottom w:val="none" w:sz="0" w:space="0" w:color="auto"/>
        <w:right w:val="none" w:sz="0" w:space="0" w:color="auto"/>
      </w:divBdr>
    </w:div>
    <w:div w:id="1192718248">
      <w:bodyDiv w:val="1"/>
      <w:marLeft w:val="0"/>
      <w:marRight w:val="0"/>
      <w:marTop w:val="0"/>
      <w:marBottom w:val="0"/>
      <w:divBdr>
        <w:top w:val="none" w:sz="0" w:space="0" w:color="auto"/>
        <w:left w:val="none" w:sz="0" w:space="0" w:color="auto"/>
        <w:bottom w:val="none" w:sz="0" w:space="0" w:color="auto"/>
        <w:right w:val="none" w:sz="0" w:space="0" w:color="auto"/>
      </w:divBdr>
    </w:div>
    <w:div w:id="1202746649">
      <w:bodyDiv w:val="1"/>
      <w:marLeft w:val="0"/>
      <w:marRight w:val="0"/>
      <w:marTop w:val="0"/>
      <w:marBottom w:val="0"/>
      <w:divBdr>
        <w:top w:val="none" w:sz="0" w:space="0" w:color="auto"/>
        <w:left w:val="none" w:sz="0" w:space="0" w:color="auto"/>
        <w:bottom w:val="none" w:sz="0" w:space="0" w:color="auto"/>
        <w:right w:val="none" w:sz="0" w:space="0" w:color="auto"/>
      </w:divBdr>
    </w:div>
    <w:div w:id="1336877374">
      <w:bodyDiv w:val="1"/>
      <w:marLeft w:val="0"/>
      <w:marRight w:val="0"/>
      <w:marTop w:val="0"/>
      <w:marBottom w:val="0"/>
      <w:divBdr>
        <w:top w:val="none" w:sz="0" w:space="0" w:color="auto"/>
        <w:left w:val="none" w:sz="0" w:space="0" w:color="auto"/>
        <w:bottom w:val="none" w:sz="0" w:space="0" w:color="auto"/>
        <w:right w:val="none" w:sz="0" w:space="0" w:color="auto"/>
      </w:divBdr>
    </w:div>
    <w:div w:id="1424186677">
      <w:bodyDiv w:val="1"/>
      <w:marLeft w:val="0"/>
      <w:marRight w:val="0"/>
      <w:marTop w:val="0"/>
      <w:marBottom w:val="0"/>
      <w:divBdr>
        <w:top w:val="none" w:sz="0" w:space="0" w:color="auto"/>
        <w:left w:val="none" w:sz="0" w:space="0" w:color="auto"/>
        <w:bottom w:val="none" w:sz="0" w:space="0" w:color="auto"/>
        <w:right w:val="none" w:sz="0" w:space="0" w:color="auto"/>
      </w:divBdr>
    </w:div>
    <w:div w:id="1442844619">
      <w:bodyDiv w:val="1"/>
      <w:marLeft w:val="0"/>
      <w:marRight w:val="0"/>
      <w:marTop w:val="0"/>
      <w:marBottom w:val="0"/>
      <w:divBdr>
        <w:top w:val="none" w:sz="0" w:space="0" w:color="auto"/>
        <w:left w:val="none" w:sz="0" w:space="0" w:color="auto"/>
        <w:bottom w:val="none" w:sz="0" w:space="0" w:color="auto"/>
        <w:right w:val="none" w:sz="0" w:space="0" w:color="auto"/>
      </w:divBdr>
    </w:div>
    <w:div w:id="1473864626">
      <w:bodyDiv w:val="1"/>
      <w:marLeft w:val="0"/>
      <w:marRight w:val="0"/>
      <w:marTop w:val="0"/>
      <w:marBottom w:val="0"/>
      <w:divBdr>
        <w:top w:val="none" w:sz="0" w:space="0" w:color="auto"/>
        <w:left w:val="none" w:sz="0" w:space="0" w:color="auto"/>
        <w:bottom w:val="none" w:sz="0" w:space="0" w:color="auto"/>
        <w:right w:val="none" w:sz="0" w:space="0" w:color="auto"/>
      </w:divBdr>
    </w:div>
    <w:div w:id="1497964235">
      <w:bodyDiv w:val="1"/>
      <w:marLeft w:val="0"/>
      <w:marRight w:val="0"/>
      <w:marTop w:val="0"/>
      <w:marBottom w:val="0"/>
      <w:divBdr>
        <w:top w:val="none" w:sz="0" w:space="0" w:color="auto"/>
        <w:left w:val="none" w:sz="0" w:space="0" w:color="auto"/>
        <w:bottom w:val="none" w:sz="0" w:space="0" w:color="auto"/>
        <w:right w:val="none" w:sz="0" w:space="0" w:color="auto"/>
      </w:divBdr>
    </w:div>
    <w:div w:id="1530994512">
      <w:bodyDiv w:val="1"/>
      <w:marLeft w:val="0"/>
      <w:marRight w:val="0"/>
      <w:marTop w:val="0"/>
      <w:marBottom w:val="0"/>
      <w:divBdr>
        <w:top w:val="none" w:sz="0" w:space="0" w:color="auto"/>
        <w:left w:val="none" w:sz="0" w:space="0" w:color="auto"/>
        <w:bottom w:val="none" w:sz="0" w:space="0" w:color="auto"/>
        <w:right w:val="none" w:sz="0" w:space="0" w:color="auto"/>
      </w:divBdr>
    </w:div>
    <w:div w:id="1664434669">
      <w:bodyDiv w:val="1"/>
      <w:marLeft w:val="0"/>
      <w:marRight w:val="0"/>
      <w:marTop w:val="0"/>
      <w:marBottom w:val="0"/>
      <w:divBdr>
        <w:top w:val="none" w:sz="0" w:space="0" w:color="auto"/>
        <w:left w:val="none" w:sz="0" w:space="0" w:color="auto"/>
        <w:bottom w:val="none" w:sz="0" w:space="0" w:color="auto"/>
        <w:right w:val="none" w:sz="0" w:space="0" w:color="auto"/>
      </w:divBdr>
    </w:div>
    <w:div w:id="1684479720">
      <w:bodyDiv w:val="1"/>
      <w:marLeft w:val="0"/>
      <w:marRight w:val="0"/>
      <w:marTop w:val="0"/>
      <w:marBottom w:val="0"/>
      <w:divBdr>
        <w:top w:val="none" w:sz="0" w:space="0" w:color="auto"/>
        <w:left w:val="none" w:sz="0" w:space="0" w:color="auto"/>
        <w:bottom w:val="none" w:sz="0" w:space="0" w:color="auto"/>
        <w:right w:val="none" w:sz="0" w:space="0" w:color="auto"/>
      </w:divBdr>
    </w:div>
    <w:div w:id="1704673497">
      <w:bodyDiv w:val="1"/>
      <w:marLeft w:val="0"/>
      <w:marRight w:val="0"/>
      <w:marTop w:val="0"/>
      <w:marBottom w:val="0"/>
      <w:divBdr>
        <w:top w:val="none" w:sz="0" w:space="0" w:color="auto"/>
        <w:left w:val="none" w:sz="0" w:space="0" w:color="auto"/>
        <w:bottom w:val="none" w:sz="0" w:space="0" w:color="auto"/>
        <w:right w:val="none" w:sz="0" w:space="0" w:color="auto"/>
      </w:divBdr>
    </w:div>
    <w:div w:id="1786459361">
      <w:bodyDiv w:val="1"/>
      <w:marLeft w:val="0"/>
      <w:marRight w:val="0"/>
      <w:marTop w:val="0"/>
      <w:marBottom w:val="0"/>
      <w:divBdr>
        <w:top w:val="none" w:sz="0" w:space="0" w:color="auto"/>
        <w:left w:val="none" w:sz="0" w:space="0" w:color="auto"/>
        <w:bottom w:val="none" w:sz="0" w:space="0" w:color="auto"/>
        <w:right w:val="none" w:sz="0" w:space="0" w:color="auto"/>
      </w:divBdr>
    </w:div>
    <w:div w:id="1823933761">
      <w:bodyDiv w:val="1"/>
      <w:marLeft w:val="0"/>
      <w:marRight w:val="0"/>
      <w:marTop w:val="0"/>
      <w:marBottom w:val="0"/>
      <w:divBdr>
        <w:top w:val="none" w:sz="0" w:space="0" w:color="auto"/>
        <w:left w:val="none" w:sz="0" w:space="0" w:color="auto"/>
        <w:bottom w:val="none" w:sz="0" w:space="0" w:color="auto"/>
        <w:right w:val="none" w:sz="0" w:space="0" w:color="auto"/>
      </w:divBdr>
    </w:div>
    <w:div w:id="1864509366">
      <w:bodyDiv w:val="1"/>
      <w:marLeft w:val="0"/>
      <w:marRight w:val="0"/>
      <w:marTop w:val="0"/>
      <w:marBottom w:val="0"/>
      <w:divBdr>
        <w:top w:val="none" w:sz="0" w:space="0" w:color="auto"/>
        <w:left w:val="none" w:sz="0" w:space="0" w:color="auto"/>
        <w:bottom w:val="none" w:sz="0" w:space="0" w:color="auto"/>
        <w:right w:val="none" w:sz="0" w:space="0" w:color="auto"/>
      </w:divBdr>
    </w:div>
    <w:div w:id="1917470596">
      <w:bodyDiv w:val="1"/>
      <w:marLeft w:val="0"/>
      <w:marRight w:val="0"/>
      <w:marTop w:val="0"/>
      <w:marBottom w:val="0"/>
      <w:divBdr>
        <w:top w:val="none" w:sz="0" w:space="0" w:color="auto"/>
        <w:left w:val="none" w:sz="0" w:space="0" w:color="auto"/>
        <w:bottom w:val="none" w:sz="0" w:space="0" w:color="auto"/>
        <w:right w:val="none" w:sz="0" w:space="0" w:color="auto"/>
      </w:divBdr>
    </w:div>
    <w:div w:id="1986813880">
      <w:bodyDiv w:val="1"/>
      <w:marLeft w:val="0"/>
      <w:marRight w:val="0"/>
      <w:marTop w:val="0"/>
      <w:marBottom w:val="0"/>
      <w:divBdr>
        <w:top w:val="none" w:sz="0" w:space="0" w:color="auto"/>
        <w:left w:val="none" w:sz="0" w:space="0" w:color="auto"/>
        <w:bottom w:val="none" w:sz="0" w:space="0" w:color="auto"/>
        <w:right w:val="none" w:sz="0" w:space="0" w:color="auto"/>
      </w:divBdr>
    </w:div>
    <w:div w:id="2114132759">
      <w:bodyDiv w:val="1"/>
      <w:marLeft w:val="0"/>
      <w:marRight w:val="0"/>
      <w:marTop w:val="0"/>
      <w:marBottom w:val="0"/>
      <w:divBdr>
        <w:top w:val="none" w:sz="0" w:space="0" w:color="auto"/>
        <w:left w:val="none" w:sz="0" w:space="0" w:color="auto"/>
        <w:bottom w:val="none" w:sz="0" w:space="0" w:color="auto"/>
        <w:right w:val="none" w:sz="0" w:space="0" w:color="auto"/>
      </w:divBdr>
    </w:div>
    <w:div w:id="2127431085">
      <w:bodyDiv w:val="1"/>
      <w:marLeft w:val="0"/>
      <w:marRight w:val="0"/>
      <w:marTop w:val="0"/>
      <w:marBottom w:val="0"/>
      <w:divBdr>
        <w:top w:val="none" w:sz="0" w:space="0" w:color="auto"/>
        <w:left w:val="none" w:sz="0" w:space="0" w:color="auto"/>
        <w:bottom w:val="none" w:sz="0" w:space="0" w:color="auto"/>
        <w:right w:val="none" w:sz="0" w:space="0" w:color="auto"/>
      </w:divBdr>
    </w:div>
    <w:div w:id="213656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youtube.com/watch?v=VCMr-7vRQqE&amp;feature=youtube" TargetMode="Externa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image" Target="media/image11.png"/><Relationship Id="rId25" Type="http://schemas.openxmlformats.org/officeDocument/2006/relationships/image" Target="media/image18.tif"/><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tif"/><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7.tif"/><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6.png"/><Relationship Id="rId10" Type="http://schemas.openxmlformats.org/officeDocument/2006/relationships/image" Target="media/image5.tif"/><Relationship Id="rId19" Type="http://schemas.openxmlformats.org/officeDocument/2006/relationships/image" Target="media/image13.ti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tif"/><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34</Pages>
  <Words>10639</Words>
  <Characters>60648</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Skinner</dc:creator>
  <cp:keywords/>
  <dc:description/>
  <cp:lastModifiedBy>Jo-An Atkinson</cp:lastModifiedBy>
  <cp:revision>4</cp:revision>
  <dcterms:created xsi:type="dcterms:W3CDTF">2021-02-04T20:35:00Z</dcterms:created>
  <dcterms:modified xsi:type="dcterms:W3CDTF">2021-02-10T02:53:00Z</dcterms:modified>
</cp:coreProperties>
</file>