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DF607" w14:textId="5A284D67" w:rsidR="005B7AE8" w:rsidRDefault="005B7AE8" w:rsidP="005B7AE8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Supplementary </w:t>
      </w:r>
      <w:r>
        <w:rPr>
          <w:rStyle w:val="Strong"/>
          <w:rFonts w:ascii="Segoe UI" w:hAnsi="Segoe UI" w:cs="Segoe UI"/>
          <w:color w:val="000000"/>
          <w:sz w:val="21"/>
          <w:szCs w:val="21"/>
          <w:shd w:val="clear" w:color="auto" w:fill="FFFFFF"/>
        </w:rPr>
        <w:t>Data</w:t>
      </w:r>
    </w:p>
    <w:p w14:paraId="576CEEE9" w14:textId="6D685ABD" w:rsidR="005B7AE8" w:rsidRPr="006E5482" w:rsidRDefault="005B7AE8" w:rsidP="005B7AE8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6E5482">
        <w:rPr>
          <w:rFonts w:asciiTheme="majorBidi" w:hAnsiTheme="majorBidi" w:cstheme="majorBidi"/>
          <w:b/>
          <w:sz w:val="24"/>
          <w:szCs w:val="24"/>
        </w:rPr>
        <w:t xml:space="preserve">The antimicrobial potentialities of (Nk-lysin peptides of chicken, bovine, and human) against bacteria and </w:t>
      </w:r>
      <w:r w:rsidRPr="006E5482">
        <w:rPr>
          <w:rFonts w:asciiTheme="majorBidi" w:hAnsiTheme="majorBidi" w:cstheme="majorBidi"/>
          <w:b/>
          <w:i/>
          <w:iCs/>
          <w:sz w:val="24"/>
          <w:szCs w:val="24"/>
        </w:rPr>
        <w:t>rotavirus</w:t>
      </w:r>
      <w:r w:rsidRPr="006E5482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916498C" w14:textId="77777777" w:rsidR="005B7AE8" w:rsidRPr="00693D8D" w:rsidRDefault="005B7AE8" w:rsidP="005B7A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Maged. M. Mahmoud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>, ,</w:t>
      </w:r>
      <w:r w:rsidRPr="00693D8D">
        <w:t xml:space="preserve"> </w:t>
      </w:r>
      <w:hyperlink r:id="rId4" w:history="1">
        <w:r w:rsidRPr="008413BC">
          <w:rPr>
            <w:rFonts w:ascii="Times New Roman" w:hAnsi="Times New Roman" w:cs="Times New Roman"/>
            <w:sz w:val="24"/>
            <w:szCs w:val="24"/>
          </w:rPr>
          <w:t>Ahmed M. Al-Hejin</w:t>
        </w:r>
      </w:hyperlink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413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Turki </w:t>
      </w:r>
      <w:r w:rsidRPr="008413BC"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uj</w:t>
      </w:r>
      <w:r w:rsidRPr="008413BC">
        <w:rPr>
          <w:rFonts w:ascii="Times New Roman" w:hAnsi="Times New Roman" w:cs="Times New Roman"/>
          <w:sz w:val="24"/>
          <w:szCs w:val="24"/>
        </w:rPr>
        <w:t>aml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8413BC">
        <w:rPr>
          <w:rFonts w:ascii="Times New Roman" w:hAnsi="Times New Roman" w:cs="Times New Roman"/>
          <w:sz w:val="24"/>
          <w:szCs w:val="24"/>
        </w:rPr>
        <w:t>, Abd-Elmaksoud,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162C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, </w:t>
      </w:r>
      <w:r w:rsidRPr="00A837B3">
        <w:rPr>
          <w:rFonts w:ascii="Times New Roman" w:hAnsi="Times New Roman" w:cs="Times New Roman"/>
          <w:sz w:val="24"/>
          <w:szCs w:val="24"/>
        </w:rPr>
        <w:t>Salem M. El-Hamidy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Haitham, </w:t>
      </w:r>
      <w:proofErr w:type="spellStart"/>
      <w:r>
        <w:rPr>
          <w:rFonts w:ascii="Times New Roman" w:hAnsi="Times New Roman" w:cs="Times New Roman"/>
          <w:sz w:val="24"/>
          <w:szCs w:val="24"/>
        </w:rPr>
        <w:t>A.Yacoub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</w:p>
    <w:p w14:paraId="37103EBA" w14:textId="77777777" w:rsidR="005B7AE8" w:rsidRPr="00CA7EB6" w:rsidRDefault="005B7AE8" w:rsidP="005B7A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Regerenative Medicine Unit, K</w:t>
      </w:r>
      <w:r w:rsidRPr="00CA7EB6">
        <w:rPr>
          <w:rFonts w:ascii="Times New Roman" w:hAnsi="Times New Roman" w:cs="Times New Roman"/>
          <w:sz w:val="24"/>
          <w:szCs w:val="24"/>
        </w:rPr>
        <w:t xml:space="preserve">ing Fahd Medical Research Center, King Abdulaziz University, P.O. Box 80216, Jeddah 21589, Saudi Arabia </w:t>
      </w:r>
    </w:p>
    <w:p w14:paraId="05432843" w14:textId="77777777" w:rsidR="005B7AE8" w:rsidRPr="00CA7EB6" w:rsidRDefault="005B7AE8" w:rsidP="005B7A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A7EB6">
        <w:rPr>
          <w:rFonts w:ascii="Times New Roman" w:hAnsi="Times New Roman" w:cs="Times New Roman"/>
          <w:sz w:val="24"/>
          <w:szCs w:val="24"/>
        </w:rPr>
        <w:t xml:space="preserve">Department of Medical Laboratory Technology, Faculty of Applied Medical Sciences, King Abdulaziz University, Jeddah, Saudi Arabia </w:t>
      </w:r>
    </w:p>
    <w:p w14:paraId="7C6C38C6" w14:textId="77777777" w:rsidR="005B7AE8" w:rsidRDefault="005B7AE8" w:rsidP="005B7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A7EB6">
        <w:rPr>
          <w:rFonts w:ascii="Times New Roman" w:hAnsi="Times New Roman" w:cs="Times New Roman"/>
          <w:sz w:val="24"/>
          <w:szCs w:val="24"/>
        </w:rPr>
        <w:t>Molecular Genetics and Enzymology Department, Human Genetics Division and Genome Research, National Research Centre, Cairo, Egypt</w:t>
      </w:r>
    </w:p>
    <w:p w14:paraId="5ECB0B19" w14:textId="77777777" w:rsidR="005B7AE8" w:rsidRDefault="005B7AE8" w:rsidP="005B7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A7EB6">
        <w:rPr>
          <w:rFonts w:ascii="Times New Roman" w:hAnsi="Times New Roman" w:cs="Times New Roman"/>
          <w:sz w:val="24"/>
          <w:szCs w:val="24"/>
        </w:rPr>
        <w:t>Biological Sciences Department, Faculty of Sciences, King Abdulaziz University, Jeddah, Saudi Arabia</w:t>
      </w:r>
    </w:p>
    <w:p w14:paraId="2E75B1FF" w14:textId="77777777" w:rsidR="005B7AE8" w:rsidRPr="00CA7EB6" w:rsidRDefault="005B7AE8" w:rsidP="005B7A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Vaccines and immunotherapy Unit, K</w:t>
      </w:r>
      <w:r w:rsidRPr="00CA7EB6">
        <w:rPr>
          <w:rFonts w:ascii="Times New Roman" w:hAnsi="Times New Roman" w:cs="Times New Roman"/>
          <w:sz w:val="24"/>
          <w:szCs w:val="24"/>
        </w:rPr>
        <w:t xml:space="preserve">ing Fahd Medical Research Center, King Abdulaziz University, P.O. Box 80216, Jeddah 21589, Saudi Arabia </w:t>
      </w:r>
    </w:p>
    <w:p w14:paraId="743A5D66" w14:textId="77777777" w:rsidR="005B7AE8" w:rsidRPr="00CA7EB6" w:rsidRDefault="005B7AE8" w:rsidP="005B7AE8">
      <w:pPr>
        <w:shd w:val="clear" w:color="auto" w:fill="FFFFFF"/>
        <w:spacing w:after="0"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A7EB6">
        <w:rPr>
          <w:rFonts w:ascii="Times New Roman" w:hAnsi="Times New Roman" w:cs="Times New Roman"/>
          <w:sz w:val="24"/>
          <w:szCs w:val="24"/>
        </w:rPr>
        <w:t>Environmental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EB6">
        <w:rPr>
          <w:rFonts w:ascii="Times New Roman" w:hAnsi="Times New Roman" w:cs="Times New Roman"/>
          <w:sz w:val="24"/>
          <w:szCs w:val="24"/>
        </w:rPr>
        <w:t>Virology Laboratory, Water Pollution Research Department, Environmental Research Division, National Research Centre, Cairo, Egypt.</w:t>
      </w:r>
    </w:p>
    <w:p w14:paraId="7E1E031E" w14:textId="77777777" w:rsidR="005B7AE8" w:rsidRPr="00CA7EB6" w:rsidRDefault="005B7AE8" w:rsidP="005B7A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A7EB6">
        <w:rPr>
          <w:rFonts w:ascii="Times New Roman" w:hAnsi="Times New Roman" w:cs="Times New Roman"/>
          <w:sz w:val="24"/>
          <w:szCs w:val="24"/>
        </w:rPr>
        <w:t xml:space="preserve">Cell Biology Department, Genetic Engineering and Biotechnology Research Division, National Research Centre, </w:t>
      </w:r>
      <w:proofErr w:type="spellStart"/>
      <w:r w:rsidRPr="00CA7EB6">
        <w:rPr>
          <w:rFonts w:ascii="Times New Roman" w:hAnsi="Times New Roman" w:cs="Times New Roman"/>
          <w:sz w:val="24"/>
          <w:szCs w:val="24"/>
        </w:rPr>
        <w:t>Dokki</w:t>
      </w:r>
      <w:proofErr w:type="spellEnd"/>
      <w:r w:rsidRPr="00CA7E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Cairo</w:t>
      </w:r>
      <w:r w:rsidRPr="00CA7EB6">
        <w:rPr>
          <w:rFonts w:ascii="Times New Roman" w:hAnsi="Times New Roman" w:cs="Times New Roman"/>
          <w:sz w:val="24"/>
          <w:szCs w:val="24"/>
        </w:rPr>
        <w:t>, P.O. Box 12622, Egypt</w:t>
      </w:r>
    </w:p>
    <w:p w14:paraId="606A99D8" w14:textId="77777777" w:rsidR="005B7AE8" w:rsidRDefault="005B7AE8" w:rsidP="005B7AE8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14:paraId="749CEEB9" w14:textId="77777777" w:rsidR="005B7AE8" w:rsidRDefault="005B7AE8" w:rsidP="005B7AE8">
      <w:pPr>
        <w:autoSpaceDE w:val="0"/>
        <w:autoSpaceDN w:val="0"/>
        <w:adjustRightInd w:val="0"/>
        <w:spacing w:line="360" w:lineRule="auto"/>
        <w:jc w:val="lowKashida"/>
        <w:rPr>
          <w:rFonts w:ascii="Times New Roman" w:eastAsia="AdvP4DF60E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Corresponding author current address: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Cell Biology Department, Genetic Engineering and Biotechnology Division, National Research Centre, 33 El </w:t>
      </w:r>
      <w:proofErr w:type="spellStart"/>
      <w:r>
        <w:rPr>
          <w:rFonts w:ascii="Times New Roman" w:hAnsi="Times New Roman" w:cs="Times New Roman"/>
          <w:sz w:val="24"/>
          <w:szCs w:val="24"/>
        </w:rPr>
        <w:t>Bohouth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St., </w:t>
      </w:r>
      <w:proofErr w:type="spellStart"/>
      <w:r>
        <w:rPr>
          <w:rFonts w:ascii="Times New Roman" w:eastAsia="ArialUnicodeLight-Bold" w:hAnsi="Times New Roman" w:cs="Times New Roman"/>
          <w:sz w:val="24"/>
          <w:szCs w:val="24"/>
        </w:rPr>
        <w:t>Dokki</w:t>
      </w:r>
      <w:proofErr w:type="spellEnd"/>
      <w:r>
        <w:rPr>
          <w:rFonts w:ascii="Times New Roman" w:eastAsia="ArialUnicodeLight-Bold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UnicodeLight-Bold" w:hAnsi="Times New Roman" w:cs="Times New Roman"/>
          <w:sz w:val="24"/>
          <w:szCs w:val="24"/>
        </w:rPr>
        <w:t>Gizza</w:t>
      </w:r>
      <w:proofErr w:type="spellEnd"/>
      <w:r>
        <w:rPr>
          <w:rFonts w:ascii="Times New Roman" w:eastAsia="ArialUnicodeLight-Bold" w:hAnsi="Times New Roman" w:cs="Times New Roman"/>
          <w:sz w:val="24"/>
          <w:szCs w:val="24"/>
        </w:rPr>
        <w:t>, P.O. 12622, Egypt</w:t>
      </w:r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Haithamyacoub46@gmail.com</w:t>
        </w:r>
      </w:hyperlink>
    </w:p>
    <w:p w14:paraId="29C0759E" w14:textId="556DD884" w:rsidR="005B7AE8" w:rsidRDefault="005B7AE8"/>
    <w:p w14:paraId="72183357" w14:textId="25768652" w:rsidR="005B7AE8" w:rsidRDefault="005B7AE8"/>
    <w:p w14:paraId="4F0BB90D" w14:textId="0FC70995" w:rsidR="005B7AE8" w:rsidRDefault="005B7AE8"/>
    <w:p w14:paraId="61C75525" w14:textId="371A593D" w:rsidR="005B7AE8" w:rsidRDefault="005B7AE8"/>
    <w:p w14:paraId="08DE491D" w14:textId="52A789BE" w:rsidR="005B7AE8" w:rsidRDefault="005B7AE8"/>
    <w:p w14:paraId="005C1E4F" w14:textId="69037FD5" w:rsidR="005B7AE8" w:rsidRDefault="005B7AE8"/>
    <w:p w14:paraId="464C04FE" w14:textId="77777777" w:rsidR="005B7AE8" w:rsidRDefault="005B7AE8"/>
    <w:p w14:paraId="21F1BD6A" w14:textId="19C15AAE" w:rsidR="005B7AE8" w:rsidRDefault="005B7AE8">
      <w:r>
        <w:t>The Original gel image for Figure 13</w:t>
      </w:r>
    </w:p>
    <w:p w14:paraId="48879EF6" w14:textId="422AFEB0" w:rsidR="005B7AE8" w:rsidRDefault="005B7AE8">
      <w:r>
        <w:rPr>
          <w:noProof/>
        </w:rPr>
        <w:drawing>
          <wp:inline distT="0" distB="0" distL="0" distR="0" wp14:anchorId="35EC6507" wp14:editId="0C78F13E">
            <wp:extent cx="5036695" cy="3777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038" cy="378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EC7FB4" wp14:editId="18781B37">
            <wp:extent cx="5031698" cy="37740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356" cy="377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DF789" w14:textId="3C97B2AB" w:rsidR="005B7AE8" w:rsidRDefault="005B7AE8" w:rsidP="005B7AE8">
      <w:pPr>
        <w:spacing w:line="360" w:lineRule="auto"/>
        <w:rPr>
          <w:rFonts w:ascii="Times New Roman" w:hAnsi="Times New Roman"/>
          <w:color w:val="131413"/>
          <w:sz w:val="24"/>
          <w:szCs w:val="24"/>
        </w:rPr>
      </w:pPr>
    </w:p>
    <w:p w14:paraId="4F1E1531" w14:textId="77777777" w:rsidR="005B7AE8" w:rsidRDefault="005B7AE8" w:rsidP="005B7AE8">
      <w:pPr>
        <w:spacing w:line="360" w:lineRule="auto"/>
        <w:rPr>
          <w:rFonts w:ascii="Times New Roman" w:hAnsi="Times New Roman"/>
          <w:color w:val="131413"/>
          <w:sz w:val="24"/>
          <w:szCs w:val="24"/>
        </w:rPr>
      </w:pPr>
    </w:p>
    <w:p w14:paraId="501FCB25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AB7BF86" wp14:editId="163B3E0A">
            <wp:extent cx="5723255" cy="331597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6BD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1763A">
        <w:rPr>
          <w:rFonts w:ascii="Times New Roman" w:hAnsi="Times New Roman"/>
          <w:b/>
          <w:noProof/>
          <w:sz w:val="24"/>
          <w:szCs w:val="24"/>
        </w:rPr>
        <w:t>Figure.</w:t>
      </w:r>
      <w:r>
        <w:rPr>
          <w:rFonts w:ascii="Times New Roman" w:hAnsi="Times New Roman"/>
          <w:b/>
          <w:noProof/>
          <w:sz w:val="24"/>
          <w:szCs w:val="24"/>
        </w:rPr>
        <w:t>13</w:t>
      </w:r>
      <w:r w:rsidRPr="0031763A">
        <w:rPr>
          <w:rFonts w:ascii="Times New Roman" w:hAnsi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/>
          <w:color w:val="131413"/>
          <w:sz w:val="24"/>
          <w:szCs w:val="24"/>
        </w:rPr>
        <w:t>The</w:t>
      </w:r>
      <w:r w:rsidRPr="0003158A">
        <w:rPr>
          <w:rFonts w:ascii="Times New Roman" w:hAnsi="Times New Roman"/>
          <w:color w:val="131413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>amplified fragment of CTX-M1 gene with 499 bp, where M (DNA ladder =100 bp), 1(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S.</w:t>
      </w:r>
      <w:r>
        <w:rPr>
          <w:rFonts w:ascii="Times New Roman" w:hAnsi="Times New Roman"/>
          <w:i/>
          <w:iCs/>
          <w:color w:val="131413"/>
          <w:sz w:val="24"/>
          <w:szCs w:val="24"/>
        </w:rPr>
        <w:t xml:space="preserve"> 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typhi</w:t>
      </w:r>
      <w:r>
        <w:rPr>
          <w:rFonts w:ascii="Times New Roman" w:hAnsi="Times New Roman"/>
          <w:i/>
          <w:iCs/>
          <w:color w:val="131413"/>
          <w:sz w:val="24"/>
          <w:szCs w:val="24"/>
        </w:rPr>
        <w:t xml:space="preserve"> </w:t>
      </w:r>
      <w:r w:rsidRPr="000354BA">
        <w:rPr>
          <w:rFonts w:ascii="Times New Roman" w:hAnsi="Times New Roman" w:cs="Times New Roman"/>
          <w:sz w:val="24"/>
          <w:szCs w:val="24"/>
        </w:rPr>
        <w:t>ATCC 14028</w:t>
      </w:r>
      <w:r>
        <w:rPr>
          <w:rFonts w:ascii="Times New Roman" w:hAnsi="Times New Roman"/>
          <w:color w:val="131413"/>
          <w:sz w:val="24"/>
          <w:szCs w:val="24"/>
        </w:rPr>
        <w:t xml:space="preserve"> untreated and treated cells), 2 (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P. aeruginosa</w:t>
      </w:r>
      <w:r>
        <w:rPr>
          <w:rFonts w:ascii="Times New Roman" w:hAnsi="Times New Roman"/>
          <w:color w:val="131413"/>
          <w:sz w:val="24"/>
          <w:szCs w:val="24"/>
        </w:rPr>
        <w:t xml:space="preserve"> </w:t>
      </w:r>
      <w:r w:rsidRPr="000354BA">
        <w:rPr>
          <w:rFonts w:ascii="Times New Roman" w:hAnsi="Times New Roman" w:cs="Times New Roman"/>
          <w:sz w:val="24"/>
          <w:szCs w:val="24"/>
        </w:rPr>
        <w:t>ATCC 9027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>untreated and treated cells), 3 (</w:t>
      </w:r>
      <w:r w:rsidRPr="000354BA">
        <w:rPr>
          <w:rFonts w:ascii="Times New Roman" w:hAnsi="Times New Roman" w:cs="Times New Roman"/>
          <w:i/>
          <w:sz w:val="24"/>
          <w:szCs w:val="24"/>
        </w:rPr>
        <w:t xml:space="preserve">Klebsiella </w:t>
      </w:r>
      <w:proofErr w:type="spellStart"/>
      <w:r w:rsidRPr="000354BA">
        <w:rPr>
          <w:rFonts w:ascii="Times New Roman" w:hAnsi="Times New Roman" w:cs="Times New Roman"/>
          <w:i/>
          <w:sz w:val="24"/>
          <w:szCs w:val="24"/>
        </w:rPr>
        <w:t>oxytoca</w:t>
      </w:r>
      <w:proofErr w:type="spellEnd"/>
      <w:r w:rsidRPr="000354BA">
        <w:rPr>
          <w:rFonts w:ascii="Times New Roman" w:hAnsi="Times New Roman" w:cs="Times New Roman"/>
          <w:sz w:val="24"/>
          <w:szCs w:val="24"/>
        </w:rPr>
        <w:t xml:space="preserve"> ATCC 49131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>untreated and treated cells), 4 (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St. pyrogens</w:t>
      </w:r>
      <w:r>
        <w:rPr>
          <w:rFonts w:ascii="Times New Roman" w:hAnsi="Times New Roman"/>
          <w:color w:val="131413"/>
          <w:sz w:val="24"/>
          <w:szCs w:val="24"/>
        </w:rPr>
        <w:t xml:space="preserve"> </w:t>
      </w:r>
      <w:r w:rsidRPr="000354BA">
        <w:rPr>
          <w:rFonts w:ascii="Times New Roman" w:hAnsi="Times New Roman" w:cs="Times New Roman"/>
          <w:sz w:val="24"/>
          <w:szCs w:val="24"/>
        </w:rPr>
        <w:t>ATCC 19615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 xml:space="preserve">untreated and treated cells) and arrows indicate gene in untreated bacteria whereas empty well indicates treated bacteria after challenge with Nk-lysin. </w:t>
      </w:r>
    </w:p>
    <w:p w14:paraId="6EC13C2E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062EA694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46B9249A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47BE018F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5F4EAE14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68791B04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090E5BEC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06E91CB1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37FE6F5E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37034469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13645321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0AD5CA72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46C42665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551FBC73" w14:textId="74898975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  <w:r>
        <w:rPr>
          <w:rFonts w:ascii="Times New Roman" w:hAnsi="Times New Roman"/>
          <w:color w:val="131413"/>
          <w:sz w:val="24"/>
          <w:szCs w:val="24"/>
        </w:rPr>
        <w:t>The original image for figure.14</w:t>
      </w:r>
    </w:p>
    <w:p w14:paraId="5B6B4397" w14:textId="5EC2E4D8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885A24" wp14:editId="38E997FC">
            <wp:extent cx="4067331" cy="5423258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30" cy="543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F71782" wp14:editId="10C49BEB">
            <wp:extent cx="5040303" cy="6720590"/>
            <wp:effectExtent l="0" t="0" r="825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916" cy="672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D65F6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</w:p>
    <w:p w14:paraId="748D7491" w14:textId="77777777" w:rsidR="005B7AE8" w:rsidRDefault="005B7AE8" w:rsidP="005B7AE8">
      <w:pPr>
        <w:jc w:val="lowKashida"/>
        <w:rPr>
          <w:rFonts w:ascii="Times New Roman" w:hAnsi="Times New Roman"/>
          <w:color w:val="131413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79C7CE9C" wp14:editId="014E33BB">
            <wp:extent cx="5734050" cy="343154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6BD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1763A">
        <w:rPr>
          <w:rFonts w:ascii="Times New Roman" w:hAnsi="Times New Roman"/>
          <w:b/>
          <w:noProof/>
          <w:sz w:val="24"/>
          <w:szCs w:val="24"/>
        </w:rPr>
        <w:t>Figure.</w:t>
      </w:r>
      <w:r>
        <w:rPr>
          <w:rFonts w:ascii="Times New Roman" w:hAnsi="Times New Roman"/>
          <w:b/>
          <w:noProof/>
          <w:sz w:val="24"/>
          <w:szCs w:val="24"/>
        </w:rPr>
        <w:t>14</w:t>
      </w:r>
      <w:r w:rsidRPr="0031763A">
        <w:rPr>
          <w:rFonts w:ascii="Times New Roman" w:hAnsi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/>
          <w:color w:val="131413"/>
          <w:sz w:val="24"/>
          <w:szCs w:val="24"/>
        </w:rPr>
        <w:t>The</w:t>
      </w:r>
      <w:r w:rsidRPr="0003158A">
        <w:rPr>
          <w:rFonts w:ascii="Times New Roman" w:hAnsi="Times New Roman"/>
          <w:color w:val="131413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>amplified fragment of CTX-M8 gene with 307 bp, where M (DNA ladder =100 bp), 1(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S.</w:t>
      </w:r>
      <w:r>
        <w:rPr>
          <w:rFonts w:ascii="Times New Roman" w:hAnsi="Times New Roman"/>
          <w:i/>
          <w:iCs/>
          <w:color w:val="131413"/>
          <w:sz w:val="24"/>
          <w:szCs w:val="24"/>
        </w:rPr>
        <w:t xml:space="preserve"> 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typhi</w:t>
      </w:r>
      <w:r>
        <w:rPr>
          <w:rFonts w:ascii="Times New Roman" w:hAnsi="Times New Roman"/>
          <w:color w:val="131413"/>
          <w:sz w:val="24"/>
          <w:szCs w:val="24"/>
        </w:rPr>
        <w:t xml:space="preserve"> </w:t>
      </w:r>
      <w:r w:rsidRPr="000354BA">
        <w:rPr>
          <w:rFonts w:ascii="Times New Roman" w:hAnsi="Times New Roman" w:cs="Times New Roman"/>
          <w:sz w:val="24"/>
          <w:szCs w:val="24"/>
        </w:rPr>
        <w:t>ATCC 14028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>untreated and treated cells), 2 (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P. aeruginosa</w:t>
      </w:r>
      <w:r>
        <w:rPr>
          <w:rFonts w:ascii="Times New Roman" w:hAnsi="Times New Roman"/>
          <w:color w:val="131413"/>
          <w:sz w:val="24"/>
          <w:szCs w:val="24"/>
        </w:rPr>
        <w:t xml:space="preserve"> </w:t>
      </w:r>
      <w:r w:rsidRPr="000354BA">
        <w:rPr>
          <w:rFonts w:ascii="Times New Roman" w:hAnsi="Times New Roman" w:cs="Times New Roman"/>
          <w:sz w:val="24"/>
          <w:szCs w:val="24"/>
        </w:rPr>
        <w:t>ATCC 9027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>untreated and treated cells), 3 (</w:t>
      </w:r>
      <w:r w:rsidRPr="000354BA">
        <w:rPr>
          <w:rFonts w:ascii="Times New Roman" w:hAnsi="Times New Roman" w:cs="Times New Roman"/>
          <w:i/>
          <w:sz w:val="24"/>
          <w:szCs w:val="24"/>
        </w:rPr>
        <w:t xml:space="preserve">Klebsiella </w:t>
      </w:r>
      <w:proofErr w:type="spellStart"/>
      <w:r w:rsidRPr="000354BA">
        <w:rPr>
          <w:rFonts w:ascii="Times New Roman" w:hAnsi="Times New Roman" w:cs="Times New Roman"/>
          <w:i/>
          <w:sz w:val="24"/>
          <w:szCs w:val="24"/>
        </w:rPr>
        <w:t>oxytoca</w:t>
      </w:r>
      <w:proofErr w:type="spellEnd"/>
      <w:r w:rsidRPr="000354BA">
        <w:rPr>
          <w:rFonts w:ascii="Times New Roman" w:hAnsi="Times New Roman" w:cs="Times New Roman"/>
          <w:sz w:val="24"/>
          <w:szCs w:val="24"/>
        </w:rPr>
        <w:t xml:space="preserve"> ATCC 49131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>untreated and treated cells), 4 (</w:t>
      </w:r>
      <w:r w:rsidRPr="002761B4">
        <w:rPr>
          <w:rFonts w:ascii="Times New Roman" w:hAnsi="Times New Roman"/>
          <w:i/>
          <w:iCs/>
          <w:color w:val="131413"/>
          <w:sz w:val="24"/>
          <w:szCs w:val="24"/>
        </w:rPr>
        <w:t>St. pyrogens</w:t>
      </w:r>
      <w:r>
        <w:rPr>
          <w:rFonts w:ascii="Times New Roman" w:hAnsi="Times New Roman"/>
          <w:color w:val="131413"/>
          <w:sz w:val="24"/>
          <w:szCs w:val="24"/>
        </w:rPr>
        <w:t xml:space="preserve"> </w:t>
      </w:r>
      <w:r w:rsidRPr="000354BA">
        <w:rPr>
          <w:rFonts w:ascii="Times New Roman" w:hAnsi="Times New Roman" w:cs="Times New Roman"/>
          <w:sz w:val="24"/>
          <w:szCs w:val="24"/>
        </w:rPr>
        <w:t>ATCC 19615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31413"/>
          <w:sz w:val="24"/>
          <w:szCs w:val="24"/>
        </w:rPr>
        <w:t xml:space="preserve">untreated and treated cells) and arrows indicate gene in untreated bacteria whereas empty well indicates treated bacteria after challenge with Nk-lysin. </w:t>
      </w:r>
    </w:p>
    <w:p w14:paraId="71BDD596" w14:textId="77777777" w:rsidR="005B7AE8" w:rsidRDefault="005B7AE8" w:rsidP="005B7AE8">
      <w:pPr>
        <w:jc w:val="lowKashida"/>
        <w:rPr>
          <w:rFonts w:asciiTheme="majorBidi" w:hAnsiTheme="majorBidi" w:cstheme="majorBidi"/>
          <w:sz w:val="24"/>
          <w:szCs w:val="24"/>
        </w:rPr>
      </w:pPr>
    </w:p>
    <w:p w14:paraId="2A097EB0" w14:textId="77777777" w:rsidR="005B7AE8" w:rsidRDefault="005B7AE8"/>
    <w:sectPr w:rsidR="005B7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UnicodeLight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E8"/>
    <w:rsid w:val="005B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9FD45"/>
  <w15:chartTrackingRefBased/>
  <w15:docId w15:val="{206F8D2F-25AA-488A-B1B6-A4C09819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AE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7AE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7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Haithamyacoub46@gmail.com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www.ncbi.nlm.nih.gov/pubmed/?term=Al-Hejin%20AM%5BAuthor%5D&amp;cauthor=true&amp;cauthor_uid=25941665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yacoub</dc:creator>
  <cp:keywords/>
  <dc:description/>
  <cp:lastModifiedBy>haitham yacoub</cp:lastModifiedBy>
  <cp:revision>1</cp:revision>
  <dcterms:created xsi:type="dcterms:W3CDTF">2021-04-14T11:36:00Z</dcterms:created>
  <dcterms:modified xsi:type="dcterms:W3CDTF">2021-04-14T11:45:00Z</dcterms:modified>
</cp:coreProperties>
</file>