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50525" w14:textId="030DA51B" w:rsidR="00FA73E7" w:rsidRDefault="00FA73E7" w:rsidP="00FA73E7">
      <w:pPr>
        <w:spacing w:before="120" w:after="120" w:line="276" w:lineRule="auto"/>
        <w:jc w:val="both"/>
        <w:rPr>
          <w:rFonts w:ascii="Arial" w:eastAsia="Arial" w:hAnsi="Arial" w:cs="Arial"/>
          <w:color w:val="0070C0"/>
        </w:rPr>
      </w:pPr>
      <w:r>
        <w:rPr>
          <w:rFonts w:ascii="Arial" w:eastAsia="Arial" w:hAnsi="Arial" w:cs="Arial"/>
          <w:b/>
          <w:color w:val="0070C0"/>
          <w:sz w:val="32"/>
          <w:szCs w:val="32"/>
        </w:rPr>
        <w:t>Supplementary Figures</w:t>
      </w:r>
    </w:p>
    <w:p w14:paraId="0C4CB33E" w14:textId="379D6963" w:rsidR="00FA73E7" w:rsidRDefault="00FA73E7" w:rsidP="00FA73E7">
      <w:pPr>
        <w:spacing w:before="120" w:after="120" w:line="276" w:lineRule="auto"/>
        <w:jc w:val="both"/>
        <w:rPr>
          <w:rFonts w:ascii="Arial" w:eastAsia="Arial" w:hAnsi="Arial" w:cs="Arial"/>
          <w:b/>
          <w:color w:val="0070C0"/>
        </w:rPr>
      </w:pPr>
    </w:p>
    <w:p w14:paraId="33A6B8D7" w14:textId="77777777" w:rsidR="00FA73E7" w:rsidRDefault="00FA73E7" w:rsidP="00FA73E7">
      <w:pPr>
        <w:spacing w:before="120" w:after="120" w:line="276" w:lineRule="auto"/>
        <w:jc w:val="both"/>
        <w:rPr>
          <w:rFonts w:ascii="Arial" w:eastAsia="Arial" w:hAnsi="Arial" w:cs="Arial"/>
          <w:b/>
          <w:color w:val="0070C0"/>
        </w:rPr>
      </w:pPr>
      <w:r>
        <w:rPr>
          <w:rFonts w:ascii="Arial" w:eastAsia="Arial" w:hAnsi="Arial" w:cs="Arial"/>
          <w:b/>
          <w:color w:val="0070C0"/>
        </w:rPr>
        <w:t>Suppl. Figure S1 related to Figure 2:</w:t>
      </w:r>
    </w:p>
    <w:p w14:paraId="2A3F7597" w14:textId="7C0CE70D" w:rsidR="00FA73E7" w:rsidRDefault="00FA73E7" w:rsidP="00FA73E7">
      <w:pPr>
        <w:spacing w:before="120" w:after="120" w:line="276" w:lineRule="auto"/>
        <w:jc w:val="both"/>
        <w:rPr>
          <w:rFonts w:ascii="Arial" w:eastAsia="Arial" w:hAnsi="Arial" w:cs="Arial"/>
          <w:b/>
          <w:color w:val="0070C0"/>
        </w:rPr>
      </w:pPr>
      <w:r>
        <w:rPr>
          <w:rFonts w:ascii="Arial" w:eastAsia="Arial" w:hAnsi="Arial" w:cs="Arial"/>
          <w:b/>
          <w:noProof/>
          <w:color w:val="0070C0"/>
        </w:rPr>
        <w:drawing>
          <wp:anchor distT="0" distB="0" distL="114300" distR="114300" simplePos="0" relativeHeight="251658240" behindDoc="0" locked="0" layoutInCell="1" allowOverlap="1" wp14:anchorId="0FA0404B" wp14:editId="09E6C0B8">
            <wp:simplePos x="0" y="0"/>
            <wp:positionH relativeFrom="margin">
              <wp:posOffset>-349250</wp:posOffset>
            </wp:positionH>
            <wp:positionV relativeFrom="margin">
              <wp:posOffset>1169035</wp:posOffset>
            </wp:positionV>
            <wp:extent cx="6638544" cy="3933411"/>
            <wp:effectExtent l="0" t="0" r="381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6638544" cy="3933411"/>
                    </a:xfrm>
                    <a:prstGeom prst="rect">
                      <a:avLst/>
                    </a:prstGeom>
                  </pic:spPr>
                </pic:pic>
              </a:graphicData>
            </a:graphic>
          </wp:anchor>
        </w:drawing>
      </w:r>
    </w:p>
    <w:p w14:paraId="1608C773" w14:textId="77777777" w:rsidR="00FA73E7" w:rsidRDefault="00FA73E7" w:rsidP="00FA73E7">
      <w:pPr>
        <w:spacing w:before="120" w:after="120" w:line="276" w:lineRule="auto"/>
        <w:jc w:val="both"/>
        <w:rPr>
          <w:rFonts w:ascii="Arial" w:eastAsia="Arial" w:hAnsi="Arial" w:cs="Arial"/>
          <w:b/>
          <w:color w:val="0070C0"/>
        </w:rPr>
      </w:pPr>
    </w:p>
    <w:p w14:paraId="382A024F" w14:textId="77777777" w:rsidR="00FA73E7" w:rsidRDefault="00FA73E7" w:rsidP="00FA73E7">
      <w:pPr>
        <w:spacing w:before="120" w:after="120" w:line="276" w:lineRule="auto"/>
        <w:jc w:val="both"/>
        <w:rPr>
          <w:rFonts w:ascii="Arial" w:eastAsia="Arial" w:hAnsi="Arial" w:cs="Arial"/>
          <w:color w:val="000000"/>
        </w:rPr>
      </w:pPr>
      <w:r>
        <w:rPr>
          <w:rFonts w:ascii="Arial" w:eastAsia="Arial" w:hAnsi="Arial" w:cs="Arial"/>
          <w:b/>
          <w:color w:val="000000"/>
        </w:rPr>
        <w:t>A.</w:t>
      </w:r>
      <w:r>
        <w:rPr>
          <w:rFonts w:ascii="Arial" w:eastAsia="Arial" w:hAnsi="Arial" w:cs="Arial"/>
          <w:color w:val="000000"/>
        </w:rPr>
        <w:t xml:space="preserve"> 24 hours after infusion of saline solution, normal histology (no hair cell loss) is apparent in transverse vibratome sections from the apex, middle, and base. Normal ABR and DPOAE thresholds (magenta) were measured and not different from vehicle </w:t>
      </w:r>
      <w:proofErr w:type="spellStart"/>
      <w:r>
        <w:rPr>
          <w:rFonts w:ascii="Arial" w:eastAsia="Arial" w:hAnsi="Arial" w:cs="Arial"/>
          <w:color w:val="000000"/>
        </w:rPr>
        <w:t>fAP</w:t>
      </w:r>
      <w:proofErr w:type="spellEnd"/>
      <w:r>
        <w:rPr>
          <w:rFonts w:ascii="Arial" w:eastAsia="Arial" w:hAnsi="Arial" w:cs="Arial"/>
          <w:color w:val="000000"/>
        </w:rPr>
        <w:t xml:space="preserve"> control measurements.</w:t>
      </w:r>
    </w:p>
    <w:p w14:paraId="3EA75BDA" w14:textId="77777777" w:rsidR="00FA73E7" w:rsidRDefault="00FA73E7" w:rsidP="00FA73E7">
      <w:pPr>
        <w:spacing w:before="120" w:after="120" w:line="276" w:lineRule="auto"/>
        <w:jc w:val="both"/>
        <w:rPr>
          <w:rFonts w:ascii="Arial" w:eastAsia="Arial" w:hAnsi="Arial" w:cs="Arial"/>
          <w:color w:val="000000"/>
        </w:rPr>
      </w:pPr>
      <w:r>
        <w:rPr>
          <w:rFonts w:ascii="Arial" w:eastAsia="Arial" w:hAnsi="Arial" w:cs="Arial"/>
          <w:b/>
          <w:color w:val="000000"/>
        </w:rPr>
        <w:t>B.</w:t>
      </w:r>
      <w:r>
        <w:rPr>
          <w:rFonts w:ascii="Arial" w:eastAsia="Arial" w:hAnsi="Arial" w:cs="Arial"/>
          <w:color w:val="000000"/>
        </w:rPr>
        <w:t xml:space="preserve"> Confocal images from a control left ear without any kind of injection showing normal morphology with one row of inner hair cells and three rows of outer hair cells. ABRs and DPs were measured before infusion (magenta) and are not different from vehicle </w:t>
      </w:r>
      <w:proofErr w:type="spellStart"/>
      <w:r>
        <w:rPr>
          <w:rFonts w:ascii="Arial" w:eastAsia="Arial" w:hAnsi="Arial" w:cs="Arial"/>
          <w:color w:val="000000"/>
        </w:rPr>
        <w:t>fAP</w:t>
      </w:r>
      <w:proofErr w:type="spellEnd"/>
      <w:r>
        <w:rPr>
          <w:rFonts w:ascii="Arial" w:eastAsia="Arial" w:hAnsi="Arial" w:cs="Arial"/>
          <w:color w:val="000000"/>
        </w:rPr>
        <w:t xml:space="preserve"> control measurements.</w:t>
      </w:r>
    </w:p>
    <w:p w14:paraId="357B9B27" w14:textId="77777777" w:rsidR="00FA73E7" w:rsidRDefault="00FA73E7" w:rsidP="00FA73E7">
      <w:pPr>
        <w:spacing w:before="120" w:after="120" w:line="276" w:lineRule="auto"/>
        <w:jc w:val="both"/>
        <w:rPr>
          <w:rFonts w:ascii="Arial" w:eastAsia="Arial" w:hAnsi="Arial" w:cs="Arial"/>
          <w:color w:val="000000"/>
        </w:rPr>
      </w:pPr>
      <w:r>
        <w:rPr>
          <w:rFonts w:ascii="Arial" w:eastAsia="Arial" w:hAnsi="Arial" w:cs="Arial"/>
          <w:b/>
          <w:color w:val="000000"/>
        </w:rPr>
        <w:t>C.</w:t>
      </w:r>
      <w:r>
        <w:rPr>
          <w:rFonts w:ascii="Arial" w:eastAsia="Arial" w:hAnsi="Arial" w:cs="Arial"/>
          <w:color w:val="000000"/>
        </w:rPr>
        <w:t xml:space="preserve"> Infusion of 20 mg/mL sisomicin in hyperosmolar (500 </w:t>
      </w:r>
      <w:proofErr w:type="spellStart"/>
      <w:r>
        <w:rPr>
          <w:rFonts w:ascii="Arial" w:eastAsia="Arial" w:hAnsi="Arial" w:cs="Arial"/>
          <w:color w:val="000000"/>
        </w:rPr>
        <w:t>mOsm</w:t>
      </w:r>
      <w:proofErr w:type="spellEnd"/>
      <w:r>
        <w:rPr>
          <w:rFonts w:ascii="Arial" w:eastAsia="Arial" w:hAnsi="Arial" w:cs="Arial"/>
          <w:color w:val="000000"/>
        </w:rPr>
        <w:t>/kg) saline showed little outer hair cell loss (an example with a full complement of hair cells is shown), accompanied by a shift of ABR and DPOAE thresholds (magenta).</w:t>
      </w:r>
    </w:p>
    <w:p w14:paraId="1BFEB88E" w14:textId="0CD0C07C" w:rsidR="00FA73E7" w:rsidRPr="00FA73E7" w:rsidRDefault="00FA73E7" w:rsidP="00FA73E7">
      <w:pPr>
        <w:spacing w:before="120" w:after="120" w:line="276" w:lineRule="auto"/>
        <w:jc w:val="both"/>
        <w:rPr>
          <w:rFonts w:ascii="Arial" w:eastAsia="Arial" w:hAnsi="Arial" w:cs="Arial"/>
          <w:color w:val="000000" w:themeColor="text1"/>
        </w:rPr>
      </w:pPr>
      <w:r w:rsidRPr="00953B7B">
        <w:rPr>
          <w:rFonts w:ascii="Arial" w:eastAsia="Arial" w:hAnsi="Arial" w:cs="Arial"/>
          <w:color w:val="000000" w:themeColor="text1"/>
        </w:rPr>
        <w:t xml:space="preserve">ABR and DPOAE thresholds of the vehicle </w:t>
      </w:r>
      <w:proofErr w:type="spellStart"/>
      <w:r w:rsidRPr="00953B7B">
        <w:rPr>
          <w:rFonts w:ascii="Arial" w:eastAsia="Arial" w:hAnsi="Arial" w:cs="Arial"/>
          <w:color w:val="000000" w:themeColor="text1"/>
        </w:rPr>
        <w:t>fAP</w:t>
      </w:r>
      <w:proofErr w:type="spellEnd"/>
      <w:r w:rsidRPr="00953B7B">
        <w:rPr>
          <w:rFonts w:ascii="Arial" w:eastAsia="Arial" w:hAnsi="Arial" w:cs="Arial"/>
          <w:color w:val="000000" w:themeColor="text1"/>
        </w:rPr>
        <w:t xml:space="preserve"> control cochlea are shown in black in panels B-F for reference. Scale bar = 20 µm; N = 3</w:t>
      </w:r>
      <w:r>
        <w:rPr>
          <w:rFonts w:ascii="Arial" w:eastAsia="Arial" w:hAnsi="Arial" w:cs="Arial"/>
          <w:color w:val="000000" w:themeColor="text1"/>
        </w:rPr>
        <w:t xml:space="preserve"> </w:t>
      </w:r>
      <w:r w:rsidRPr="00953B7B">
        <w:rPr>
          <w:rFonts w:ascii="Arial" w:eastAsia="Arial" w:hAnsi="Arial" w:cs="Arial"/>
          <w:color w:val="000000" w:themeColor="text1"/>
        </w:rPr>
        <w:t>-</w:t>
      </w:r>
      <w:r>
        <w:rPr>
          <w:rFonts w:ascii="Arial" w:eastAsia="Arial" w:hAnsi="Arial" w:cs="Arial"/>
          <w:color w:val="000000" w:themeColor="text1"/>
        </w:rPr>
        <w:t xml:space="preserve"> </w:t>
      </w:r>
      <w:r w:rsidRPr="00953B7B">
        <w:rPr>
          <w:rFonts w:ascii="Arial" w:eastAsia="Arial" w:hAnsi="Arial" w:cs="Arial"/>
          <w:color w:val="000000" w:themeColor="text1"/>
        </w:rPr>
        <w:t>5 cochleae at each time point.</w:t>
      </w:r>
    </w:p>
    <w:p w14:paraId="15FAEB0B" w14:textId="3E932525" w:rsidR="00FA73E7" w:rsidRDefault="00FA73E7" w:rsidP="00FA73E7">
      <w:pPr>
        <w:spacing w:before="120" w:after="120" w:line="276" w:lineRule="auto"/>
        <w:jc w:val="both"/>
        <w:rPr>
          <w:rFonts w:ascii="Arial" w:eastAsia="Arial" w:hAnsi="Arial" w:cs="Arial"/>
          <w:b/>
          <w:color w:val="0070C0"/>
        </w:rPr>
      </w:pPr>
      <w:r>
        <w:rPr>
          <w:rFonts w:ascii="Arial" w:eastAsia="Arial" w:hAnsi="Arial" w:cs="Arial"/>
          <w:b/>
          <w:noProof/>
          <w:color w:val="0070C0"/>
        </w:rPr>
        <w:lastRenderedPageBreak/>
        <w:drawing>
          <wp:anchor distT="0" distB="0" distL="114300" distR="114300" simplePos="0" relativeHeight="251659264" behindDoc="0" locked="0" layoutInCell="1" allowOverlap="1" wp14:anchorId="66F56A2B" wp14:editId="78ED4C8A">
            <wp:simplePos x="0" y="0"/>
            <wp:positionH relativeFrom="margin">
              <wp:posOffset>-223461</wp:posOffset>
            </wp:positionH>
            <wp:positionV relativeFrom="margin">
              <wp:posOffset>520611</wp:posOffset>
            </wp:positionV>
            <wp:extent cx="6309360" cy="7330440"/>
            <wp:effectExtent l="0" t="0" r="254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a:extLst>
                        <a:ext uri="{28A0092B-C50C-407E-A947-70E740481C1C}">
                          <a14:useLocalDpi xmlns:a14="http://schemas.microsoft.com/office/drawing/2010/main" val="0"/>
                        </a:ext>
                      </a:extLst>
                    </a:blip>
                    <a:stretch>
                      <a:fillRect/>
                    </a:stretch>
                  </pic:blipFill>
                  <pic:spPr>
                    <a:xfrm>
                      <a:off x="0" y="0"/>
                      <a:ext cx="6309360" cy="7330440"/>
                    </a:xfrm>
                    <a:prstGeom prst="rect">
                      <a:avLst/>
                    </a:prstGeom>
                  </pic:spPr>
                </pic:pic>
              </a:graphicData>
            </a:graphic>
          </wp:anchor>
        </w:drawing>
      </w:r>
      <w:r>
        <w:rPr>
          <w:rFonts w:ascii="Arial" w:eastAsia="Arial" w:hAnsi="Arial" w:cs="Arial"/>
          <w:b/>
          <w:color w:val="0070C0"/>
        </w:rPr>
        <w:t>Suppl. Figure S2 related to Figure 3:</w:t>
      </w:r>
    </w:p>
    <w:p w14:paraId="2E04E4F8" w14:textId="77777777" w:rsidR="00FA73E7" w:rsidRDefault="00FA73E7" w:rsidP="00FA73E7">
      <w:pPr>
        <w:spacing w:before="120" w:after="120" w:line="276" w:lineRule="auto"/>
        <w:jc w:val="both"/>
        <w:rPr>
          <w:rFonts w:ascii="Arial" w:eastAsia="Arial" w:hAnsi="Arial" w:cs="Arial"/>
          <w:b/>
          <w:color w:val="0070C0"/>
        </w:rPr>
      </w:pPr>
    </w:p>
    <w:p w14:paraId="59CBC5B0" w14:textId="77777777" w:rsidR="00FA73E7" w:rsidRDefault="00FA73E7" w:rsidP="00FA73E7">
      <w:pPr>
        <w:spacing w:before="120" w:after="120" w:line="276" w:lineRule="auto"/>
        <w:jc w:val="both"/>
        <w:rPr>
          <w:rFonts w:ascii="Arial" w:eastAsia="Arial" w:hAnsi="Arial" w:cs="Arial"/>
          <w:b/>
          <w:color w:val="0070C0"/>
        </w:rPr>
      </w:pPr>
    </w:p>
    <w:p w14:paraId="5617B519" w14:textId="77777777" w:rsidR="00FA73E7" w:rsidRDefault="00FA73E7" w:rsidP="00FA73E7">
      <w:pPr>
        <w:spacing w:before="120" w:after="120" w:line="276" w:lineRule="auto"/>
        <w:jc w:val="both"/>
        <w:rPr>
          <w:rFonts w:ascii="Arial" w:eastAsia="Arial" w:hAnsi="Arial" w:cs="Arial"/>
          <w:color w:val="000000"/>
        </w:rPr>
      </w:pPr>
      <w:r>
        <w:rPr>
          <w:rFonts w:ascii="Arial" w:eastAsia="Arial" w:hAnsi="Arial" w:cs="Arial"/>
          <w:b/>
          <w:color w:val="000000"/>
        </w:rPr>
        <w:lastRenderedPageBreak/>
        <w:t>A.</w:t>
      </w:r>
      <w:r>
        <w:rPr>
          <w:rFonts w:ascii="Arial" w:eastAsia="Arial" w:hAnsi="Arial" w:cs="Arial"/>
          <w:color w:val="000000"/>
        </w:rPr>
        <w:t xml:space="preserve"> Two examples of the observed variability of outer hair cell loss in the apex of the cochlea. Wholemount preparations show the apex of two cochleae 24 hours after ho-sisomicin infusion. Left: Cochlea with surviving apical outer hair cells corresponding to the 6 kHz region. Right: Cochlea exhibiting complete loss of outer hair cells. Note the presence of a single row of inner hair cells in both cochleae. Scale bar = 100 µm.</w:t>
      </w:r>
    </w:p>
    <w:p w14:paraId="668B7172" w14:textId="6B196CA8" w:rsidR="00FA73E7" w:rsidRDefault="00FA73E7" w:rsidP="00FA73E7">
      <w:pPr>
        <w:spacing w:before="120" w:after="120" w:line="276" w:lineRule="auto"/>
        <w:jc w:val="both"/>
        <w:rPr>
          <w:rFonts w:ascii="Arial" w:eastAsia="Arial" w:hAnsi="Arial" w:cs="Arial"/>
          <w:color w:val="000000"/>
        </w:rPr>
      </w:pPr>
      <w:r>
        <w:rPr>
          <w:rFonts w:ascii="Arial" w:eastAsia="Arial" w:hAnsi="Arial" w:cs="Arial"/>
          <w:b/>
          <w:color w:val="000000"/>
        </w:rPr>
        <w:t>B.</w:t>
      </w:r>
      <w:r>
        <w:rPr>
          <w:rFonts w:ascii="Arial" w:eastAsia="Arial" w:hAnsi="Arial" w:cs="Arial"/>
          <w:color w:val="000000"/>
        </w:rPr>
        <w:t xml:space="preserve"> Presence of supporting cells 24 hours post-infusion. Wholemount preparations comparing a control cochlea with a cochlea 24 </w:t>
      </w:r>
      <w:proofErr w:type="gramStart"/>
      <w:r>
        <w:rPr>
          <w:rFonts w:ascii="Arial" w:eastAsia="Arial" w:hAnsi="Arial" w:cs="Arial"/>
          <w:color w:val="000000"/>
        </w:rPr>
        <w:t>hours</w:t>
      </w:r>
      <w:proofErr w:type="gramEnd"/>
      <w:r>
        <w:rPr>
          <w:rFonts w:ascii="Arial" w:eastAsia="Arial" w:hAnsi="Arial" w:cs="Arial"/>
          <w:color w:val="000000"/>
        </w:rPr>
        <w:t xml:space="preserve"> post-infusion. The three rows of outer hair cells are absent, while the single row of inner hair cells remains after infusion (labeled in magenta, Myosin 7a). The supporting cell nuclei, labeled with Sox2 (in green), are still present, although a disorganization of the supporting cells in the outer hair cell region is observed. Scale bar = 50 µm.</w:t>
      </w:r>
    </w:p>
    <w:p w14:paraId="0E8C1BCD" w14:textId="77777777" w:rsidR="00FA73E7" w:rsidRDefault="00FA73E7" w:rsidP="00FA73E7">
      <w:pPr>
        <w:spacing w:before="120" w:after="120" w:line="276" w:lineRule="auto"/>
        <w:jc w:val="both"/>
        <w:rPr>
          <w:rFonts w:ascii="Arial" w:eastAsia="Arial" w:hAnsi="Arial" w:cs="Arial"/>
          <w:color w:val="000000"/>
        </w:rPr>
      </w:pPr>
    </w:p>
    <w:p w14:paraId="077312C1" w14:textId="5538E225" w:rsidR="00FA73E7" w:rsidRDefault="00FA73E7" w:rsidP="00FA73E7">
      <w:pPr>
        <w:spacing w:before="120" w:after="120" w:line="276" w:lineRule="auto"/>
        <w:jc w:val="both"/>
        <w:rPr>
          <w:rFonts w:ascii="Arial" w:eastAsia="Arial" w:hAnsi="Arial" w:cs="Arial"/>
          <w:b/>
          <w:color w:val="0070C0"/>
        </w:rPr>
      </w:pPr>
      <w:r>
        <w:rPr>
          <w:rFonts w:ascii="Arial" w:eastAsia="Arial" w:hAnsi="Arial" w:cs="Arial"/>
          <w:b/>
          <w:color w:val="0070C0"/>
        </w:rPr>
        <w:t>Suppl. Figure S3 related to Figure 5:</w:t>
      </w:r>
    </w:p>
    <w:p w14:paraId="606E6F52" w14:textId="07B1938E" w:rsidR="00FA73E7" w:rsidRDefault="00FA73E7" w:rsidP="00FA73E7">
      <w:pPr>
        <w:spacing w:before="120" w:after="120" w:line="276" w:lineRule="auto"/>
        <w:jc w:val="both"/>
        <w:rPr>
          <w:rFonts w:ascii="Arial" w:eastAsia="Arial" w:hAnsi="Arial" w:cs="Arial"/>
          <w:b/>
          <w:color w:val="0070C0"/>
        </w:rPr>
      </w:pPr>
    </w:p>
    <w:p w14:paraId="42765E3E" w14:textId="7483BDD2" w:rsidR="00FA73E7" w:rsidRDefault="00FA73E7" w:rsidP="00FA73E7">
      <w:pPr>
        <w:spacing w:before="120" w:after="120" w:line="276" w:lineRule="auto"/>
        <w:jc w:val="both"/>
        <w:rPr>
          <w:rFonts w:ascii="Arial" w:eastAsia="Arial" w:hAnsi="Arial" w:cs="Arial"/>
          <w:b/>
          <w:color w:val="0070C0"/>
        </w:rPr>
      </w:pPr>
      <w:r>
        <w:rPr>
          <w:rFonts w:ascii="Arial" w:eastAsia="Arial" w:hAnsi="Arial" w:cs="Arial"/>
          <w:b/>
          <w:noProof/>
          <w:color w:val="0070C0"/>
        </w:rPr>
        <w:drawing>
          <wp:inline distT="0" distB="0" distL="0" distR="0" wp14:anchorId="7D1605D7" wp14:editId="676628D2">
            <wp:extent cx="4543865" cy="3108960"/>
            <wp:effectExtent l="0" t="0" r="317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a:extLst>
                        <a:ext uri="{28A0092B-C50C-407E-A947-70E740481C1C}">
                          <a14:useLocalDpi xmlns:a14="http://schemas.microsoft.com/office/drawing/2010/main" val="0"/>
                        </a:ext>
                      </a:extLst>
                    </a:blip>
                    <a:stretch>
                      <a:fillRect/>
                    </a:stretch>
                  </pic:blipFill>
                  <pic:spPr>
                    <a:xfrm>
                      <a:off x="0" y="0"/>
                      <a:ext cx="4543865" cy="3108960"/>
                    </a:xfrm>
                    <a:prstGeom prst="rect">
                      <a:avLst/>
                    </a:prstGeom>
                  </pic:spPr>
                </pic:pic>
              </a:graphicData>
            </a:graphic>
          </wp:inline>
        </w:drawing>
      </w:r>
    </w:p>
    <w:p w14:paraId="6D164303" w14:textId="77777777" w:rsidR="00FA73E7" w:rsidRDefault="00FA73E7" w:rsidP="00FA73E7">
      <w:pPr>
        <w:spacing w:before="120" w:after="120" w:line="276" w:lineRule="auto"/>
        <w:jc w:val="both"/>
        <w:rPr>
          <w:rFonts w:ascii="Arial" w:eastAsia="Arial" w:hAnsi="Arial" w:cs="Arial"/>
          <w:b/>
          <w:color w:val="0070C0"/>
        </w:rPr>
      </w:pPr>
    </w:p>
    <w:p w14:paraId="6E44BCE0" w14:textId="77777777" w:rsidR="00FA73E7" w:rsidRDefault="00FA73E7" w:rsidP="00FA73E7">
      <w:pPr>
        <w:spacing w:before="120" w:after="120" w:line="276" w:lineRule="auto"/>
        <w:jc w:val="both"/>
        <w:rPr>
          <w:rFonts w:ascii="Arial" w:eastAsia="Arial" w:hAnsi="Arial" w:cs="Arial"/>
          <w:color w:val="000000"/>
        </w:rPr>
      </w:pPr>
      <w:proofErr w:type="gramStart"/>
      <w:r>
        <w:rPr>
          <w:rFonts w:ascii="Arial" w:eastAsia="Arial" w:hAnsi="Arial" w:cs="Arial"/>
          <w:b/>
          <w:color w:val="000000"/>
        </w:rPr>
        <w:t>A,</w:t>
      </w:r>
      <w:proofErr w:type="gramEnd"/>
      <w:r>
        <w:rPr>
          <w:rFonts w:ascii="Arial" w:eastAsia="Arial" w:hAnsi="Arial" w:cs="Arial"/>
          <w:b/>
          <w:color w:val="000000"/>
        </w:rPr>
        <w:t xml:space="preserve"> B.</w:t>
      </w:r>
      <w:r>
        <w:rPr>
          <w:rFonts w:ascii="Arial" w:eastAsia="Arial" w:hAnsi="Arial" w:cs="Arial"/>
          <w:color w:val="000000"/>
        </w:rPr>
        <w:t xml:space="preserve"> Examples of profound cochlear cell loss observed in a few post-ho-sisomicin cochleae after 7 days; middle turn cross-sections are shown. Supporting cells are lost in (A) and a flat epithelium is visible in (B).</w:t>
      </w:r>
    </w:p>
    <w:p w14:paraId="5E0ED63C" w14:textId="024887D4" w:rsidR="00FA73E7" w:rsidRDefault="00FA73E7" w:rsidP="00FA73E7">
      <w:pPr>
        <w:spacing w:before="120" w:after="120" w:line="276" w:lineRule="auto"/>
        <w:jc w:val="both"/>
        <w:rPr>
          <w:rFonts w:ascii="Arial" w:eastAsia="Arial" w:hAnsi="Arial" w:cs="Arial"/>
        </w:rPr>
      </w:pPr>
      <w:r>
        <w:rPr>
          <w:rFonts w:ascii="Arial" w:eastAsia="Arial" w:hAnsi="Arial" w:cs="Arial"/>
          <w:color w:val="000000"/>
        </w:rPr>
        <w:t>Scale bar = 20 µm</w:t>
      </w:r>
      <w:r>
        <w:rPr>
          <w:rFonts w:ascii="Arial" w:eastAsia="Arial" w:hAnsi="Arial" w:cs="Arial"/>
        </w:rPr>
        <w:t>.</w:t>
      </w:r>
    </w:p>
    <w:p w14:paraId="338F7016" w14:textId="77777777" w:rsidR="00FA73E7" w:rsidRDefault="00FA73E7" w:rsidP="00FA73E7">
      <w:pPr>
        <w:spacing w:before="120" w:after="120" w:line="276" w:lineRule="auto"/>
        <w:jc w:val="both"/>
        <w:rPr>
          <w:rFonts w:ascii="Arial" w:eastAsia="Arial" w:hAnsi="Arial" w:cs="Arial"/>
        </w:rPr>
      </w:pPr>
    </w:p>
    <w:p w14:paraId="7A3D952F" w14:textId="77777777" w:rsidR="00FA73E7" w:rsidRDefault="00FA73E7" w:rsidP="00FA73E7">
      <w:pPr>
        <w:spacing w:before="120" w:after="120" w:line="276" w:lineRule="auto"/>
        <w:jc w:val="both"/>
        <w:rPr>
          <w:rFonts w:ascii="Arial" w:eastAsia="Arial" w:hAnsi="Arial" w:cs="Arial"/>
        </w:rPr>
      </w:pPr>
    </w:p>
    <w:p w14:paraId="279120AA" w14:textId="607EB02A" w:rsidR="00FA73E7" w:rsidRDefault="00FA73E7" w:rsidP="00FA73E7">
      <w:pPr>
        <w:spacing w:before="120" w:after="120" w:line="276" w:lineRule="auto"/>
        <w:jc w:val="both"/>
        <w:rPr>
          <w:rFonts w:ascii="Arial" w:eastAsia="Arial" w:hAnsi="Arial" w:cs="Arial"/>
          <w:b/>
          <w:color w:val="0070C0"/>
        </w:rPr>
      </w:pPr>
      <w:r>
        <w:rPr>
          <w:rFonts w:ascii="Arial" w:eastAsia="Arial" w:hAnsi="Arial" w:cs="Arial"/>
          <w:b/>
          <w:noProof/>
          <w:color w:val="0070C0"/>
        </w:rPr>
        <w:lastRenderedPageBreak/>
        <w:drawing>
          <wp:anchor distT="0" distB="0" distL="114300" distR="114300" simplePos="0" relativeHeight="251660288" behindDoc="0" locked="0" layoutInCell="1" allowOverlap="1" wp14:anchorId="237B3275" wp14:editId="1377F265">
            <wp:simplePos x="0" y="0"/>
            <wp:positionH relativeFrom="margin">
              <wp:posOffset>-228600</wp:posOffset>
            </wp:positionH>
            <wp:positionV relativeFrom="margin">
              <wp:posOffset>435728</wp:posOffset>
            </wp:positionV>
            <wp:extent cx="6400800" cy="2957615"/>
            <wp:effectExtent l="0" t="0" r="0" b="190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7">
                      <a:extLst>
                        <a:ext uri="{28A0092B-C50C-407E-A947-70E740481C1C}">
                          <a14:useLocalDpi xmlns:a14="http://schemas.microsoft.com/office/drawing/2010/main" val="0"/>
                        </a:ext>
                      </a:extLst>
                    </a:blip>
                    <a:stretch>
                      <a:fillRect/>
                    </a:stretch>
                  </pic:blipFill>
                  <pic:spPr>
                    <a:xfrm>
                      <a:off x="0" y="0"/>
                      <a:ext cx="6400800" cy="2957615"/>
                    </a:xfrm>
                    <a:prstGeom prst="rect">
                      <a:avLst/>
                    </a:prstGeom>
                  </pic:spPr>
                </pic:pic>
              </a:graphicData>
            </a:graphic>
          </wp:anchor>
        </w:drawing>
      </w:r>
      <w:r>
        <w:rPr>
          <w:rFonts w:ascii="Arial" w:eastAsia="Arial" w:hAnsi="Arial" w:cs="Arial"/>
          <w:b/>
          <w:color w:val="0070C0"/>
        </w:rPr>
        <w:t>Suppl. Figure S4 related to Figure 6:</w:t>
      </w:r>
    </w:p>
    <w:p w14:paraId="1B2948EB" w14:textId="77777777" w:rsidR="00FA73E7" w:rsidRDefault="00FA73E7" w:rsidP="00FA73E7">
      <w:pPr>
        <w:spacing w:before="120" w:after="120" w:line="276" w:lineRule="auto"/>
        <w:jc w:val="both"/>
        <w:rPr>
          <w:rFonts w:ascii="Arial" w:eastAsia="Arial" w:hAnsi="Arial" w:cs="Arial"/>
          <w:b/>
          <w:color w:val="0070C0"/>
        </w:rPr>
      </w:pPr>
    </w:p>
    <w:p w14:paraId="059EE584" w14:textId="77777777" w:rsidR="00FA73E7" w:rsidRDefault="00FA73E7" w:rsidP="00FA73E7">
      <w:pPr>
        <w:spacing w:before="120" w:after="120" w:line="276" w:lineRule="auto"/>
        <w:jc w:val="both"/>
        <w:rPr>
          <w:rFonts w:ascii="Arial" w:eastAsia="Arial" w:hAnsi="Arial" w:cs="Arial"/>
        </w:rPr>
      </w:pPr>
      <w:r>
        <w:rPr>
          <w:rFonts w:ascii="Arial" w:eastAsia="Arial" w:hAnsi="Arial" w:cs="Arial"/>
          <w:b/>
        </w:rPr>
        <w:t xml:space="preserve">A, B. </w:t>
      </w:r>
      <w:r>
        <w:rPr>
          <w:rFonts w:ascii="Arial" w:eastAsia="Arial" w:hAnsi="Arial" w:cs="Arial"/>
        </w:rPr>
        <w:t>Wholemount preparations of cochleae 48h (A) and 72h (B) post ho-sisomicin infusion showed some missing inner hair cells and disturbed inner hair cell cytomorphology at 72 h (B). The remaining inner hair cells do not show TUNEL labeling.</w:t>
      </w:r>
    </w:p>
    <w:p w14:paraId="37D5028F" w14:textId="3BD79E91" w:rsidR="0026488E" w:rsidRDefault="00FA73E7" w:rsidP="00FA73E7">
      <w:r>
        <w:rPr>
          <w:rFonts w:ascii="Arial" w:eastAsia="Arial" w:hAnsi="Arial" w:cs="Arial"/>
          <w:color w:val="000000"/>
        </w:rPr>
        <w:t>Left scale bar = 50 µm, right scale bar: 10 µm.</w:t>
      </w:r>
    </w:p>
    <w:sectPr w:rsidR="0026488E" w:rsidSect="008415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3E7"/>
    <w:rsid w:val="0005099E"/>
    <w:rsid w:val="000B084F"/>
    <w:rsid w:val="00103219"/>
    <w:rsid w:val="00116400"/>
    <w:rsid w:val="00131486"/>
    <w:rsid w:val="001C0BFF"/>
    <w:rsid w:val="002A79D5"/>
    <w:rsid w:val="002E33B6"/>
    <w:rsid w:val="002E72C9"/>
    <w:rsid w:val="002F6D3F"/>
    <w:rsid w:val="004B4003"/>
    <w:rsid w:val="004D564A"/>
    <w:rsid w:val="004F3AD8"/>
    <w:rsid w:val="004F7CC0"/>
    <w:rsid w:val="00542B0D"/>
    <w:rsid w:val="00573F13"/>
    <w:rsid w:val="005806E0"/>
    <w:rsid w:val="005B1019"/>
    <w:rsid w:val="005E4AD2"/>
    <w:rsid w:val="00600985"/>
    <w:rsid w:val="00613A81"/>
    <w:rsid w:val="00614147"/>
    <w:rsid w:val="00684385"/>
    <w:rsid w:val="006A6F2A"/>
    <w:rsid w:val="00721701"/>
    <w:rsid w:val="0077114B"/>
    <w:rsid w:val="007E4B84"/>
    <w:rsid w:val="0084156C"/>
    <w:rsid w:val="00905AA4"/>
    <w:rsid w:val="009226B6"/>
    <w:rsid w:val="0092710F"/>
    <w:rsid w:val="0093655F"/>
    <w:rsid w:val="00981D23"/>
    <w:rsid w:val="00986EEE"/>
    <w:rsid w:val="00AE4F0C"/>
    <w:rsid w:val="00BD1520"/>
    <w:rsid w:val="00C15B52"/>
    <w:rsid w:val="00CF6060"/>
    <w:rsid w:val="00D05CBF"/>
    <w:rsid w:val="00EC5E20"/>
    <w:rsid w:val="00F169E8"/>
    <w:rsid w:val="00F35598"/>
    <w:rsid w:val="00F7140A"/>
    <w:rsid w:val="00F90D5B"/>
    <w:rsid w:val="00FA73E7"/>
    <w:rsid w:val="00FD1083"/>
    <w:rsid w:val="00FD3A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F71FD"/>
  <w15:chartTrackingRefBased/>
  <w15:docId w15:val="{5DEB8841-639F-B346-8DD8-12D407029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73E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384</Words>
  <Characters>2194</Characters>
  <Application>Microsoft Office Word</Application>
  <DocSecurity>0</DocSecurity>
  <Lines>18</Lines>
  <Paragraphs>5</Paragraphs>
  <ScaleCrop>false</ScaleCrop>
  <Company/>
  <LinksUpToDate>false</LinksUpToDate>
  <CharactersWithSpaces>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Nesrine Benkafadar</dc:creator>
  <cp:keywords/>
  <dc:description/>
  <cp:lastModifiedBy>Nesrine Benkafadar</cp:lastModifiedBy>
  <cp:revision>1</cp:revision>
  <dcterms:created xsi:type="dcterms:W3CDTF">2024-02-02T05:14:00Z</dcterms:created>
  <dcterms:modified xsi:type="dcterms:W3CDTF">2024-02-02T05:23:00Z</dcterms:modified>
</cp:coreProperties>
</file>