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3A447" w14:textId="77777777" w:rsidR="008B37C1" w:rsidRPr="002A3CDD" w:rsidRDefault="008B37C1" w:rsidP="008B37C1">
      <w:pPr>
        <w:pStyle w:val="Heading1"/>
      </w:pPr>
      <w:r w:rsidRPr="000316F7">
        <w:t>APPENDIX A</w:t>
      </w:r>
      <w:r>
        <w:t xml:space="preserve">: </w:t>
      </w:r>
      <w:r w:rsidRPr="000316F7">
        <w:rPr>
          <w:iCs/>
        </w:rPr>
        <w:t>Proof that a Greedy Heuristic can find the Global Optimum</w:t>
      </w:r>
    </w:p>
    <w:p w14:paraId="3001E606" w14:textId="77777777" w:rsidR="008B37C1" w:rsidRPr="000316F7" w:rsidRDefault="008B37C1" w:rsidP="008B37C1">
      <w:r w:rsidRPr="000316F7">
        <w:t xml:space="preserve">The treatise of the methodology applied is to present the question: </w:t>
      </w:r>
      <w:r w:rsidRPr="000316F7">
        <w:rPr>
          <w:i/>
          <w:iCs/>
        </w:rPr>
        <w:t xml:space="preserve">Does there exist an insertion order for the Minimum-Insertion (nearest-insertion) heuristic that will yield the global optimum solution to any combinatorial optimization matching problem? </w:t>
      </w:r>
      <w:r w:rsidRPr="000316F7">
        <w:t xml:space="preserve">This is in general an unsolved problem, but how close to optimality can be achieved? This is referred to as the </w:t>
      </w:r>
      <w:r w:rsidRPr="000316F7">
        <w:rPr>
          <w:i/>
          <w:iCs/>
        </w:rPr>
        <w:t>Insertion Order Hypothesis</w:t>
      </w:r>
      <w:r w:rsidRPr="000316F7">
        <w:t>. It is shown below that a sufficient (but not necessary) condition for the Insertion Order Hypothesis to be true is for any problem of size N, then there exists a data point in the problem such that when it is removed from the optimal solution, the solution remains optimal for the N-1 point sub-problem. This sufficiency condition holds in Euclidian geometries for distances, and when skill and preference penalties are present.  Nevertheless, several applications, even in cases with time window or more complex bin-packing restrictions</w:t>
      </w:r>
      <w:r>
        <w:t>,</w:t>
      </w:r>
      <w:r w:rsidRPr="000316F7">
        <w:t xml:space="preserve"> respond favorably to techniques of optimization of the insertion order using the MIH heuristic. </w:t>
      </w:r>
    </w:p>
    <w:p w14:paraId="53E250CA" w14:textId="77777777" w:rsidR="008B37C1" w:rsidRPr="000316F7" w:rsidRDefault="008B37C1" w:rsidP="008B37C1"/>
    <w:p w14:paraId="2C4242B4" w14:textId="77777777" w:rsidR="008B37C1" w:rsidRPr="000316F7" w:rsidRDefault="008B37C1" w:rsidP="008B37C1">
      <w:pPr>
        <w:ind w:left="720"/>
      </w:pPr>
      <w:r w:rsidRPr="000316F7">
        <w:rPr>
          <w:b/>
          <w:bCs/>
          <w:i/>
          <w:iCs/>
        </w:rPr>
        <w:t>Theorem</w:t>
      </w:r>
      <w:r w:rsidRPr="000316F7">
        <w:t>: Let P be a finite locus of points {</w:t>
      </w:r>
      <w:r w:rsidRPr="000316F7">
        <w:rPr>
          <w:i/>
          <w:iCs/>
        </w:rPr>
        <w:t>a</w:t>
      </w:r>
      <w:r w:rsidRPr="000316F7">
        <w:rPr>
          <w:vertAlign w:val="subscript"/>
        </w:rPr>
        <w:t>i</w:t>
      </w:r>
      <w:r w:rsidRPr="000316F7">
        <w:t xml:space="preserve">} and </w:t>
      </w:r>
      <w:r w:rsidRPr="000316F7">
        <w:rPr>
          <w:i/>
          <w:iCs/>
        </w:rPr>
        <w:t>S</w:t>
      </w:r>
      <w:r w:rsidRPr="000316F7">
        <w:t xml:space="preserve"> denote the solution score from matching P onto a set of resources R through a combinatorial optimization framework and scoring model. A sufficient condition for there to exist an insertion order </w:t>
      </w:r>
      <w:r w:rsidRPr="000316F7">
        <w:rPr>
          <w:i/>
          <w:iCs/>
        </w:rPr>
        <w:t>I</w:t>
      </w:r>
      <w:r w:rsidRPr="000316F7">
        <w:t xml:space="preserve"> of the points {</w:t>
      </w:r>
      <w:r w:rsidRPr="000316F7">
        <w:rPr>
          <w:i/>
          <w:iCs/>
        </w:rPr>
        <w:t>a</w:t>
      </w:r>
      <w:r w:rsidRPr="000316F7">
        <w:rPr>
          <w:vertAlign w:val="subscript"/>
        </w:rPr>
        <w:t>i</w:t>
      </w:r>
      <w:r w:rsidRPr="000316F7">
        <w:t>} from P such that the global optimum solution is produced by the minimum insertion heuristic (MIH) is that there exists some point from P such that when it is removed from the optimal solution the remaining solution is optimal for the subset of points with that point removed.</w:t>
      </w:r>
    </w:p>
    <w:p w14:paraId="0505CDC2" w14:textId="77777777" w:rsidR="008B37C1" w:rsidRPr="000316F7" w:rsidRDefault="008B37C1" w:rsidP="008B37C1">
      <w:pPr>
        <w:ind w:left="720"/>
      </w:pPr>
    </w:p>
    <w:p w14:paraId="4AB34133" w14:textId="77777777" w:rsidR="008B37C1" w:rsidRPr="000316F7" w:rsidRDefault="008B37C1" w:rsidP="008B37C1">
      <w:pPr>
        <w:ind w:left="720"/>
      </w:pPr>
      <w:r w:rsidRPr="000316F7">
        <w:rPr>
          <w:b/>
          <w:bCs/>
          <w:i/>
          <w:iCs/>
        </w:rPr>
        <w:t>Proof</w:t>
      </w:r>
      <w:r w:rsidRPr="000316F7">
        <w:t xml:space="preserve">: The proof of this theorem is by induction on the size </w:t>
      </w:r>
      <w:r w:rsidRPr="000316F7">
        <w:rPr>
          <w:i/>
          <w:iCs/>
        </w:rPr>
        <w:t>N</w:t>
      </w:r>
      <w:r w:rsidRPr="000316F7">
        <w:t xml:space="preserve"> of the set P. The trivial case where </w:t>
      </w:r>
      <w:r w:rsidRPr="000316F7">
        <w:rPr>
          <w:i/>
          <w:iCs/>
        </w:rPr>
        <w:t>N</w:t>
      </w:r>
      <w:r w:rsidRPr="000316F7">
        <w:t xml:space="preserve"> = 1 is true, and armed with the assumption that the theorem is true for all sets of size </w:t>
      </w:r>
      <w:r w:rsidRPr="000316F7">
        <w:rPr>
          <w:i/>
          <w:iCs/>
        </w:rPr>
        <w:t>N</w:t>
      </w:r>
      <w:r w:rsidRPr="000316F7">
        <w:t>, it must be shown that the theorem holds for a set P’</w:t>
      </w:r>
      <w:r>
        <w:t xml:space="preserve"> </w:t>
      </w:r>
      <w:r w:rsidRPr="000316F7">
        <w:t xml:space="preserve">of size </w:t>
      </w:r>
      <w:r w:rsidRPr="000316F7">
        <w:rPr>
          <w:i/>
          <w:iCs/>
        </w:rPr>
        <w:t>N</w:t>
      </w:r>
      <w:r w:rsidRPr="000316F7">
        <w:t xml:space="preserve">+1. For each </w:t>
      </w:r>
      <w:r w:rsidRPr="000316F7">
        <w:rPr>
          <w:i/>
          <w:iCs/>
        </w:rPr>
        <w:t>a</w:t>
      </w:r>
      <w:r w:rsidRPr="000316F7">
        <w:rPr>
          <w:vertAlign w:val="subscript"/>
        </w:rPr>
        <w:t>i</w:t>
      </w:r>
      <w:r w:rsidRPr="000316F7">
        <w:t xml:space="preserve"> ϵ P’, consider the subset P</w:t>
      </w:r>
      <w:r w:rsidRPr="000316F7">
        <w:rPr>
          <w:vertAlign w:val="subscript"/>
        </w:rPr>
        <w:t>i</w:t>
      </w:r>
      <w:r w:rsidRPr="000316F7">
        <w:t xml:space="preserve"> with a</w:t>
      </w:r>
      <w:r w:rsidRPr="000316F7">
        <w:rPr>
          <w:vertAlign w:val="subscript"/>
        </w:rPr>
        <w:t>i</w:t>
      </w:r>
      <w:r w:rsidRPr="000316F7">
        <w:t xml:space="preserve"> removed from the set P’. Since each P</w:t>
      </w:r>
      <w:r w:rsidRPr="000316F7">
        <w:rPr>
          <w:vertAlign w:val="subscript"/>
        </w:rPr>
        <w:t>i</w:t>
      </w:r>
      <w:r w:rsidRPr="000316F7">
        <w:t xml:space="preserve"> is of size </w:t>
      </w:r>
      <w:r w:rsidRPr="000316F7">
        <w:rPr>
          <w:i/>
          <w:iCs/>
        </w:rPr>
        <w:t>N</w:t>
      </w:r>
      <w:r w:rsidRPr="000316F7">
        <w:t xml:space="preserve">, the induction assumption is that there exists an insertion order </w:t>
      </w:r>
      <w:r w:rsidRPr="000316F7">
        <w:rPr>
          <w:i/>
          <w:iCs/>
        </w:rPr>
        <w:t>I</w:t>
      </w:r>
      <w:r w:rsidRPr="000316F7">
        <w:rPr>
          <w:vertAlign w:val="subscript"/>
        </w:rPr>
        <w:t>i</w:t>
      </w:r>
      <w:r w:rsidRPr="000316F7">
        <w:t xml:space="preserve"> that yields the global optimum solution score </w:t>
      </w:r>
      <w:r w:rsidRPr="000316F7">
        <w:rPr>
          <w:i/>
          <w:iCs/>
        </w:rPr>
        <w:t>S</w:t>
      </w:r>
      <w:r w:rsidRPr="000316F7">
        <w:rPr>
          <w:vertAlign w:val="subscript"/>
        </w:rPr>
        <w:t>i</w:t>
      </w:r>
      <w:r w:rsidRPr="000316F7">
        <w:t xml:space="preserve"> of the points in P</w:t>
      </w:r>
      <w:r w:rsidRPr="000316F7">
        <w:rPr>
          <w:vertAlign w:val="subscript"/>
        </w:rPr>
        <w:t>i</w:t>
      </w:r>
      <w:r w:rsidRPr="000316F7">
        <w:t xml:space="preserve"> inserted via the minimum insertion heuristic onto the resources R. </w:t>
      </w:r>
    </w:p>
    <w:p w14:paraId="59D9246E" w14:textId="77777777" w:rsidR="008B37C1" w:rsidRPr="000316F7" w:rsidRDefault="008B37C1" w:rsidP="008B37C1">
      <w:pPr>
        <w:ind w:left="720"/>
      </w:pPr>
    </w:p>
    <w:p w14:paraId="7A57872B" w14:textId="77777777" w:rsidR="008B37C1" w:rsidRPr="000316F7" w:rsidRDefault="008B37C1" w:rsidP="008B37C1">
      <w:pPr>
        <w:ind w:left="720"/>
      </w:pPr>
      <w:r w:rsidRPr="000316F7">
        <w:t xml:space="preserve">Denote </w:t>
      </w:r>
      <w:r w:rsidRPr="000316F7">
        <w:rPr>
          <w:i/>
          <w:iCs/>
        </w:rPr>
        <w:t>S</w:t>
      </w:r>
      <w:r w:rsidRPr="000316F7">
        <w:rPr>
          <w:vertAlign w:val="subscript"/>
        </w:rPr>
        <w:t>i</w:t>
      </w:r>
      <w:r w:rsidRPr="000316F7">
        <w:t xml:space="preserve">’ to be the solution score that results when the point </w:t>
      </w:r>
      <w:r w:rsidRPr="000316F7">
        <w:rPr>
          <w:i/>
          <w:iCs/>
        </w:rPr>
        <w:t>a</w:t>
      </w:r>
      <w:r w:rsidRPr="000316F7">
        <w:rPr>
          <w:vertAlign w:val="subscript"/>
        </w:rPr>
        <w:t>i</w:t>
      </w:r>
      <w:r w:rsidRPr="000316F7">
        <w:t xml:space="preserve"> is minimally inserted into the optimum solution with score </w:t>
      </w:r>
      <w:r w:rsidRPr="000316F7">
        <w:rPr>
          <w:i/>
          <w:iCs/>
        </w:rPr>
        <w:t>S</w:t>
      </w:r>
      <w:r w:rsidRPr="000316F7">
        <w:rPr>
          <w:vertAlign w:val="subscript"/>
        </w:rPr>
        <w:t>i</w:t>
      </w:r>
      <w:r w:rsidRPr="000316F7">
        <w:t xml:space="preserve"> and choose a point </w:t>
      </w:r>
      <w:r w:rsidRPr="000316F7">
        <w:rPr>
          <w:i/>
          <w:iCs/>
        </w:rPr>
        <w:t>a</w:t>
      </w:r>
      <w:r w:rsidRPr="000316F7">
        <w:rPr>
          <w:vertAlign w:val="subscript"/>
        </w:rPr>
        <w:t>p</w:t>
      </w:r>
      <w:r w:rsidRPr="000316F7">
        <w:t xml:space="preserve"> from the sufficiency condition such that when </w:t>
      </w:r>
      <w:r w:rsidRPr="000316F7">
        <w:rPr>
          <w:i/>
          <w:iCs/>
        </w:rPr>
        <w:t>a</w:t>
      </w:r>
      <w:r w:rsidRPr="000316F7">
        <w:rPr>
          <w:vertAlign w:val="subscript"/>
        </w:rPr>
        <w:t>p</w:t>
      </w:r>
      <w:r w:rsidRPr="000316F7">
        <w:t xml:space="preserve"> is removed from the optimal solution </w:t>
      </w:r>
      <w:r w:rsidRPr="000316F7">
        <w:rPr>
          <w:i/>
          <w:iCs/>
        </w:rPr>
        <w:t>S</w:t>
      </w:r>
      <w:r w:rsidRPr="000316F7">
        <w:t xml:space="preserve">, the remaining solution, </w:t>
      </w:r>
      <w:r w:rsidRPr="000316F7">
        <w:rPr>
          <w:i/>
          <w:iCs/>
          <w:u w:val="single"/>
        </w:rPr>
        <w:t>S</w:t>
      </w:r>
      <w:r w:rsidRPr="000316F7">
        <w:rPr>
          <w:i/>
          <w:iCs/>
          <w:vertAlign w:val="subscript"/>
        </w:rPr>
        <w:t>p</w:t>
      </w:r>
      <w:r w:rsidRPr="000316F7">
        <w:rPr>
          <w:vertAlign w:val="subscript"/>
        </w:rPr>
        <w:t>,</w:t>
      </w:r>
      <w:r w:rsidRPr="000316F7">
        <w:t xml:space="preserve"> is optimal for P</w:t>
      </w:r>
      <w:r w:rsidRPr="000316F7">
        <w:rPr>
          <w:i/>
          <w:iCs/>
          <w:vertAlign w:val="subscript"/>
        </w:rPr>
        <w:t>p</w:t>
      </w:r>
      <w:r w:rsidRPr="000316F7">
        <w:t xml:space="preserve">. When </w:t>
      </w:r>
      <w:r w:rsidRPr="000316F7">
        <w:rPr>
          <w:i/>
          <w:iCs/>
        </w:rPr>
        <w:t>a</w:t>
      </w:r>
      <w:r w:rsidRPr="000316F7">
        <w:rPr>
          <w:vertAlign w:val="subscript"/>
        </w:rPr>
        <w:t>p</w:t>
      </w:r>
      <w:r w:rsidRPr="000316F7">
        <w:t xml:space="preserve"> is minimally inserted into the solution with score </w:t>
      </w:r>
      <w:r w:rsidRPr="000316F7">
        <w:rPr>
          <w:i/>
          <w:iCs/>
          <w:u w:val="single"/>
        </w:rPr>
        <w:t>S</w:t>
      </w:r>
      <w:r w:rsidRPr="000316F7">
        <w:rPr>
          <w:i/>
          <w:iCs/>
          <w:vertAlign w:val="subscript"/>
        </w:rPr>
        <w:t>p</w:t>
      </w:r>
      <w:r w:rsidRPr="000316F7">
        <w:t xml:space="preserve">, the resulting score is at least as small or smaller than S, but S is the score of the optimal solution for P inserted onto the resources R, and therefore we conclude that </w:t>
      </w:r>
      <w:r w:rsidRPr="000316F7">
        <w:rPr>
          <w:i/>
          <w:iCs/>
          <w:u w:val="single"/>
        </w:rPr>
        <w:t>S</w:t>
      </w:r>
      <w:r w:rsidRPr="000316F7">
        <w:rPr>
          <w:vertAlign w:val="subscript"/>
        </w:rPr>
        <w:t>p</w:t>
      </w:r>
      <w:r w:rsidRPr="000316F7">
        <w:t xml:space="preserve">’= </w:t>
      </w:r>
      <w:r w:rsidRPr="000316F7">
        <w:rPr>
          <w:i/>
          <w:iCs/>
        </w:rPr>
        <w:t>S</w:t>
      </w:r>
      <w:r w:rsidRPr="000316F7">
        <w:t xml:space="preserve">. Therefore, we conclude that the insertion order of </w:t>
      </w:r>
      <w:r w:rsidRPr="000316F7">
        <w:rPr>
          <w:i/>
          <w:iCs/>
        </w:rPr>
        <w:t>I</w:t>
      </w:r>
      <w:r w:rsidRPr="000316F7">
        <w:rPr>
          <w:vertAlign w:val="subscript"/>
        </w:rPr>
        <w:t>p</w:t>
      </w:r>
      <w:r w:rsidRPr="000316F7">
        <w:rPr>
          <w:i/>
          <w:iCs/>
        </w:rPr>
        <w:t xml:space="preserve"> </w:t>
      </w:r>
      <w:r w:rsidRPr="000316F7">
        <w:t xml:space="preserve">’= </w:t>
      </w:r>
      <w:r w:rsidRPr="000316F7">
        <w:rPr>
          <w:i/>
          <w:iCs/>
        </w:rPr>
        <w:t>I</w:t>
      </w:r>
      <w:r w:rsidRPr="000316F7">
        <w:rPr>
          <w:vertAlign w:val="subscript"/>
        </w:rPr>
        <w:t>p</w:t>
      </w:r>
      <w:r w:rsidRPr="000316F7">
        <w:t xml:space="preserve"> + {</w:t>
      </w:r>
      <w:r w:rsidRPr="000316F7">
        <w:rPr>
          <w:i/>
          <w:iCs/>
        </w:rPr>
        <w:t>a</w:t>
      </w:r>
      <w:r w:rsidRPr="000316F7">
        <w:rPr>
          <w:vertAlign w:val="subscript"/>
        </w:rPr>
        <w:t>p</w:t>
      </w:r>
      <w:r w:rsidRPr="000316F7">
        <w:t xml:space="preserve">} yields the optimum solution through the minimum insertion heuristic (MIH). </w:t>
      </w:r>
    </w:p>
    <w:p w14:paraId="0AE97C74" w14:textId="77777777" w:rsidR="008B37C1" w:rsidRPr="000316F7" w:rsidRDefault="008B37C1" w:rsidP="008B37C1">
      <w:pPr>
        <w:ind w:left="720"/>
      </w:pPr>
    </w:p>
    <w:p w14:paraId="3A581D1F" w14:textId="77777777" w:rsidR="008B37C1" w:rsidRPr="000316F7" w:rsidRDefault="008B37C1" w:rsidP="008B37C1">
      <w:r w:rsidRPr="000316F7">
        <w:t xml:space="preserve">Cases can be envisioned when distances do not satisfy the sufficiency condition, such as cases of severe traffic, or when the distance function is negative. Other problems where the sufficiency condition is not necessarily satisfied include the presence of time windows, or bin-packing routes </w:t>
      </w:r>
      <w:r w:rsidRPr="000316F7">
        <w:lastRenderedPageBreak/>
        <w:t>where trips back to the warehouse are necessary or where order of delivery or pickup matters. This does not mean that the theorem is not necessarily true, however, as there could be an insertion order that yields the optimum solution by the minimum insertion heuristic. But the proof in these instances remains unsolved.</w:t>
      </w:r>
    </w:p>
    <w:p w14:paraId="616203D4" w14:textId="77777777" w:rsidR="008B37C1" w:rsidRPr="000316F7" w:rsidRDefault="008B37C1" w:rsidP="008B37C1"/>
    <w:p w14:paraId="0839C67E" w14:textId="77777777" w:rsidR="008B37C1" w:rsidRPr="000316F7" w:rsidRDefault="008B37C1" w:rsidP="008B37C1">
      <w:r w:rsidRPr="000316F7">
        <w:t>One will also note that the proof does not diminish the computational complexity of the NP-complete problem, even when the sufficiency condition exists. Finding optimal insertion orders to NP-complete problems remains an NP-complete problem. However, this approach does lend some generality to optimizing NP-complete problems when TSP algorithms that focus on distance alone do not.</w:t>
      </w:r>
    </w:p>
    <w:p w14:paraId="2B808786" w14:textId="77777777" w:rsidR="008B37C1" w:rsidRPr="000316F7" w:rsidRDefault="008B37C1" w:rsidP="008B37C1"/>
    <w:p w14:paraId="7CDBD88C" w14:textId="77777777" w:rsidR="008B37C1" w:rsidRPr="000316F7" w:rsidRDefault="008B37C1" w:rsidP="008B37C1">
      <w:r w:rsidRPr="000316F7">
        <w:t xml:space="preserve">It can also be shown that in some problems the sufficiency condition is necessary as well, such as when an optimal TSP tour is symmetric and does not have to return to the starting position. But in general, there are situations where it is difficult to prove that the sufficiency condition is necessarily satisfied by an optimal solution.  </w:t>
      </w:r>
    </w:p>
    <w:p w14:paraId="190F6DE5" w14:textId="77777777" w:rsidR="008B37C1" w:rsidRPr="000316F7" w:rsidRDefault="008B37C1" w:rsidP="008B37C1">
      <w:r w:rsidRPr="000316F7">
        <w:br w:type="page"/>
      </w:r>
    </w:p>
    <w:p w14:paraId="7FF7A78E" w14:textId="4AFDAE08" w:rsidR="008B37C1" w:rsidRPr="002A3CDD" w:rsidRDefault="008B37C1" w:rsidP="008B37C1">
      <w:pPr>
        <w:pStyle w:val="Heading1"/>
      </w:pPr>
      <w:r w:rsidRPr="000316F7">
        <w:lastRenderedPageBreak/>
        <w:t xml:space="preserve">APPENDIX </w:t>
      </w:r>
      <w:r>
        <w:t xml:space="preserve">B: </w:t>
      </w:r>
      <w:r w:rsidRPr="000316F7">
        <w:rPr>
          <w:szCs w:val="24"/>
        </w:rPr>
        <w:t>Simulation Assumptions</w:t>
      </w:r>
    </w:p>
    <w:p w14:paraId="3426FC09" w14:textId="4014A446" w:rsidR="00755780" w:rsidRDefault="008B37C1">
      <w:r w:rsidRPr="000316F7">
        <w:t>Gasoline trucks weighing over 8,000 pounds emit an average of 0.45 grams of hydrocarbons (HC) per mile, 17.14 grams of carbon monoxide (CO) per mile, and 1.08 grams of nitrogen oxides (NO</w:t>
      </w:r>
      <w:r w:rsidRPr="000316F7">
        <w:rPr>
          <w:vertAlign w:val="subscript"/>
        </w:rPr>
        <w:t>x</w:t>
      </w:r>
      <w:r w:rsidRPr="000316F7">
        <w:t>) per mile.</w:t>
      </w:r>
      <w:r w:rsidRPr="000316F7">
        <w:rPr>
          <w:vertAlign w:val="superscript"/>
        </w:rPr>
        <w:footnoteReference w:id="1"/>
      </w:r>
      <w:r w:rsidRPr="000316F7">
        <w:t xml:space="preserve"> Gasoline trucks get an average of 6.5 to 9 gallons per mile,</w:t>
      </w:r>
      <w:r w:rsidRPr="000316F7">
        <w:rPr>
          <w:vertAlign w:val="superscript"/>
        </w:rPr>
        <w:footnoteReference w:id="2"/>
      </w:r>
      <w:r w:rsidRPr="000316F7">
        <w:t xml:space="preserve"> so at 8,788 grams of CO</w:t>
      </w:r>
      <w:r w:rsidRPr="000316F7">
        <w:rPr>
          <w:vertAlign w:val="subscript"/>
        </w:rPr>
        <w:t>2</w:t>
      </w:r>
      <w:r w:rsidRPr="000316F7">
        <w:t xml:space="preserve"> per gallon,</w:t>
      </w:r>
      <w:r w:rsidRPr="000316F7">
        <w:rPr>
          <w:vertAlign w:val="superscript"/>
        </w:rPr>
        <w:footnoteReference w:id="3"/>
      </w:r>
      <w:r w:rsidRPr="000316F7">
        <w:t xml:space="preserve"> they emit approximately 976 to 1,352 grams of CO</w:t>
      </w:r>
      <w:r w:rsidRPr="000316F7">
        <w:rPr>
          <w:vertAlign w:val="subscript"/>
        </w:rPr>
        <w:t>2</w:t>
      </w:r>
      <w:r w:rsidRPr="000316F7">
        <w:t xml:space="preserve"> per mile. To account for the magnitude of the effect each gas has on the environment, each gas must be weighted by its unique global warming potential (GWP) to give CO</w:t>
      </w:r>
      <w:r w:rsidRPr="000316F7">
        <w:rPr>
          <w:vertAlign w:val="subscript"/>
        </w:rPr>
        <w:t>2</w:t>
      </w:r>
      <w:r w:rsidRPr="000316F7">
        <w:t xml:space="preserve"> equivalent per mile. Given the 100</w:t>
      </w:r>
      <w:r>
        <w:t>-</w:t>
      </w:r>
      <w:r w:rsidRPr="000316F7">
        <w:t>year GWPs of each gas,</w:t>
      </w:r>
      <w:r w:rsidRPr="000316F7">
        <w:rPr>
          <w:vertAlign w:val="superscript"/>
        </w:rPr>
        <w:footnoteReference w:id="4"/>
      </w:r>
      <w:r w:rsidRPr="000316F7">
        <w:t xml:space="preserve"> gasoline trucks emit an average of approximately 1,292 to 1,702 grams of CO</w:t>
      </w:r>
      <w:r w:rsidRPr="000316F7">
        <w:rPr>
          <w:vertAlign w:val="subscript"/>
        </w:rPr>
        <w:t>2</w:t>
      </w:r>
      <w:r w:rsidRPr="000316F7">
        <w:t xml:space="preserve"> equivalent per mile.</w:t>
      </w:r>
      <w:r w:rsidRPr="000316F7">
        <w:rPr>
          <w:vertAlign w:val="superscript"/>
        </w:rPr>
        <w:footnoteReference w:id="5"/>
      </w:r>
      <w:r w:rsidRPr="000316F7">
        <w:rPr>
          <w:vertAlign w:val="superscript"/>
        </w:rPr>
        <w:t>,</w:t>
      </w:r>
      <w:r w:rsidRPr="000316F7">
        <w:rPr>
          <w:vertAlign w:val="superscript"/>
        </w:rPr>
        <w:footnoteReference w:id="6"/>
      </w:r>
      <w:r w:rsidRPr="000316F7">
        <w:t xml:space="preserve"> Calculated similarly, diesel trucks emit an average of approximately 2,485 to 2,920 grams of CO</w:t>
      </w:r>
      <w:r w:rsidRPr="000316F7">
        <w:rPr>
          <w:vertAlign w:val="subscript"/>
        </w:rPr>
        <w:t>2</w:t>
      </w:r>
      <w:r w:rsidRPr="000316F7">
        <w:t xml:space="preserve"> equivalent per mile. Given the Department of Transportation’s report of 13,479,382 trucks registered in 2020, each traveling an average of 22,415 miles,</w:t>
      </w:r>
      <w:r w:rsidRPr="000316F7">
        <w:rPr>
          <w:vertAlign w:val="superscript"/>
        </w:rPr>
        <w:footnoteReference w:id="7"/>
      </w:r>
      <w:r w:rsidRPr="000316F7">
        <w:t xml:space="preserve"> and the EPA’s calculation for 422.8 million metric tons of CO</w:t>
      </w:r>
      <w:r w:rsidRPr="000316F7">
        <w:rPr>
          <w:vertAlign w:val="subscript"/>
        </w:rPr>
        <w:t>2</w:t>
      </w:r>
      <w:r w:rsidRPr="000316F7">
        <w:t xml:space="preserve"> equivalent emitted by medium- and heavy-duty trucks in that year,</w:t>
      </w:r>
      <w:r w:rsidRPr="000316F7">
        <w:rPr>
          <w:vertAlign w:val="superscript"/>
        </w:rPr>
        <w:footnoteReference w:id="8"/>
      </w:r>
      <w:r w:rsidRPr="000316F7">
        <w:t xml:space="preserve"> each truck on average emitted approximately 1,243.78 grams of CO</w:t>
      </w:r>
      <w:r w:rsidRPr="000316F7">
        <w:rPr>
          <w:vertAlign w:val="subscript"/>
        </w:rPr>
        <w:t>2</w:t>
      </w:r>
      <w:r w:rsidRPr="000316F7">
        <w:t xml:space="preserve"> equivalent per mile in 2020. While there are other variables such as the weight each truck transports and the model of each truck, these data suggest that the greenhouse gas emissions of Amazon delivery trucks are likely approximately 1,200 to 1,700 grams of CO</w:t>
      </w:r>
      <w:r w:rsidRPr="000316F7">
        <w:rPr>
          <w:vertAlign w:val="subscript"/>
        </w:rPr>
        <w:t>2</w:t>
      </w:r>
      <w:r w:rsidRPr="000316F7">
        <w:t xml:space="preserve"> equivalent per mile.</w:t>
      </w:r>
    </w:p>
    <w:sectPr w:rsidR="00755780" w:rsidSect="008D506C">
      <w:headerReference w:type="even" r:id="rId6"/>
      <w:headerReference w:type="default" r:id="rId7"/>
      <w:pgSz w:w="12240" w:h="15840"/>
      <w:pgMar w:top="2160" w:right="1440" w:bottom="1440" w:left="1440" w:header="720" w:footer="720" w:gutter="0"/>
      <w:cols w:space="36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FF578" w14:textId="77777777" w:rsidR="008D506C" w:rsidRDefault="008D506C" w:rsidP="008B37C1">
      <w:r>
        <w:separator/>
      </w:r>
    </w:p>
  </w:endnote>
  <w:endnote w:type="continuationSeparator" w:id="0">
    <w:p w14:paraId="0CE9A60C" w14:textId="77777777" w:rsidR="008D506C" w:rsidRDefault="008D506C" w:rsidP="008B3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99098" w14:textId="77777777" w:rsidR="008D506C" w:rsidRDefault="008D506C" w:rsidP="008B37C1">
      <w:r>
        <w:separator/>
      </w:r>
    </w:p>
  </w:footnote>
  <w:footnote w:type="continuationSeparator" w:id="0">
    <w:p w14:paraId="67408FD7" w14:textId="77777777" w:rsidR="008D506C" w:rsidRDefault="008D506C" w:rsidP="008B37C1">
      <w:r>
        <w:continuationSeparator/>
      </w:r>
    </w:p>
  </w:footnote>
  <w:footnote w:id="1">
    <w:p w14:paraId="748A30DA" w14:textId="77777777" w:rsidR="008B37C1" w:rsidRDefault="008B37C1" w:rsidP="008B37C1">
      <w:pPr>
        <w:adjustRightInd w:val="0"/>
        <w:snapToGrid w:val="0"/>
        <w:rPr>
          <w:sz w:val="20"/>
          <w:szCs w:val="20"/>
        </w:rPr>
      </w:pPr>
      <w:r>
        <w:rPr>
          <w:vertAlign w:val="superscript"/>
        </w:rPr>
        <w:footnoteRef/>
      </w:r>
      <w:r>
        <w:rPr>
          <w:sz w:val="20"/>
          <w:szCs w:val="20"/>
        </w:rPr>
        <w:t>U.S. Department of Transportation, Bureau of Transportation Statistics, “Freight Facts and Figures” (Washington, DC: 2019). Retrieved from https://data.bts.gov/stories/s/Freight-Transportation-Energy-Use-Environmental-Im/f7sr-d4s8.</w:t>
      </w:r>
    </w:p>
  </w:footnote>
  <w:footnote w:id="2">
    <w:p w14:paraId="74810272" w14:textId="77777777" w:rsidR="008B37C1" w:rsidRDefault="008B37C1" w:rsidP="008B37C1">
      <w:pPr>
        <w:adjustRightInd w:val="0"/>
        <w:snapToGrid w:val="0"/>
        <w:rPr>
          <w:sz w:val="20"/>
          <w:szCs w:val="20"/>
        </w:rPr>
      </w:pPr>
      <w:r>
        <w:rPr>
          <w:vertAlign w:val="superscript"/>
        </w:rPr>
        <w:footnoteRef/>
      </w:r>
      <w:r>
        <w:rPr>
          <w:sz w:val="20"/>
          <w:szCs w:val="20"/>
        </w:rPr>
        <w:t>Gary Barnes and Peter Langworthy, “THE PER-MILE COSTS OF OPERATING AUTOMOBILES</w:t>
      </w:r>
    </w:p>
    <w:p w14:paraId="1447B4F2" w14:textId="77777777" w:rsidR="008B37C1" w:rsidRDefault="008B37C1" w:rsidP="008B37C1">
      <w:pPr>
        <w:adjustRightInd w:val="0"/>
        <w:snapToGrid w:val="0"/>
        <w:rPr>
          <w:sz w:val="20"/>
          <w:szCs w:val="20"/>
        </w:rPr>
      </w:pPr>
      <w:r>
        <w:rPr>
          <w:sz w:val="20"/>
          <w:szCs w:val="20"/>
        </w:rPr>
        <w:t>AND TRUCKS,” University of Minnesota, June 2003, https://conservancy.umn.edu/bitstream/handle/11299/909/200319.pdf?sequence=1&amp;isAllowed=y.</w:t>
      </w:r>
    </w:p>
  </w:footnote>
  <w:footnote w:id="3">
    <w:p w14:paraId="1DF56030" w14:textId="77777777" w:rsidR="008B37C1" w:rsidRDefault="008B37C1" w:rsidP="008B37C1">
      <w:pPr>
        <w:adjustRightInd w:val="0"/>
        <w:snapToGrid w:val="0"/>
        <w:rPr>
          <w:sz w:val="20"/>
          <w:szCs w:val="20"/>
        </w:rPr>
      </w:pPr>
      <w:r>
        <w:rPr>
          <w:vertAlign w:val="superscript"/>
        </w:rPr>
        <w:footnoteRef/>
      </w:r>
      <w:r>
        <w:rPr>
          <w:sz w:val="20"/>
          <w:szCs w:val="20"/>
        </w:rPr>
        <w:t>EPA, Emission Facts: Average Carbon Dioxide Emissions Resulting from Gasoline and Diesel Fuel, February 2005, https://nepis.epa.gov/Exe/ZyNET.exe/P1001YTF.TXT?ZyActionD=ZyDocument&amp;Client=EPA&amp;Index=2000+Thru+2005&amp;Docs=&amp;Query=&amp;Time=&amp;EndTime=&amp;SearchMethod=1&amp;TocRestrict=n&amp;Toc=&amp;TocEntry=&amp;QField=&amp;QFieldYear=&amp;QFieldMonth=&amp;QFieldDay=&amp;IntQFieldOp=0&amp;ExtQFieldOp=0&amp;XmlQuery=&amp;File=D%3A%5Czyfiles%5CIndex%20Data%5C00thru05%5CTxt%5C00000017%5CP1001YTF.txt&amp;User=ANONYMOUS&amp;Password=anonymous&amp;SortMethod=h%7C-&amp;MaximumDocuments=1&amp;FuzzyDegree=0&amp;ImageQuality=r75g8/r75g8/x150y150g16/i425&amp;Display=hpfr&amp;DefSeekPage=x&amp;SearchBack=ZyActionL&amp;Back=ZyActionS&amp;BackDesc=Results%20page&amp;MaximumPages=1&amp;ZyEntry=1&amp;SeekPage=x&amp;ZyPURL#</w:t>
      </w:r>
    </w:p>
  </w:footnote>
  <w:footnote w:id="4">
    <w:p w14:paraId="6977D4B9" w14:textId="77777777" w:rsidR="008B37C1" w:rsidRDefault="008B37C1" w:rsidP="008B37C1">
      <w:pPr>
        <w:adjustRightInd w:val="0"/>
        <w:snapToGrid w:val="0"/>
        <w:rPr>
          <w:sz w:val="20"/>
          <w:szCs w:val="20"/>
        </w:rPr>
      </w:pPr>
      <w:r>
        <w:rPr>
          <w:vertAlign w:val="superscript"/>
        </w:rPr>
        <w:footnoteRef/>
      </w:r>
      <w:r>
        <w:rPr>
          <w:sz w:val="20"/>
          <w:szCs w:val="20"/>
        </w:rPr>
        <w:t>Note: CH</w:t>
      </w:r>
      <w:r>
        <w:rPr>
          <w:sz w:val="20"/>
          <w:szCs w:val="20"/>
          <w:vertAlign w:val="subscript"/>
        </w:rPr>
        <w:t>4</w:t>
      </w:r>
      <w:r>
        <w:rPr>
          <w:sz w:val="20"/>
          <w:szCs w:val="20"/>
        </w:rPr>
        <w:t xml:space="preserve"> is used for hydrocarbons and N</w:t>
      </w:r>
      <w:r>
        <w:rPr>
          <w:sz w:val="20"/>
          <w:szCs w:val="20"/>
          <w:vertAlign w:val="subscript"/>
        </w:rPr>
        <w:t>2</w:t>
      </w:r>
      <w:r>
        <w:rPr>
          <w:sz w:val="20"/>
          <w:szCs w:val="20"/>
        </w:rPr>
        <w:t>O is used for nitrogen oxides.</w:t>
      </w:r>
    </w:p>
  </w:footnote>
  <w:footnote w:id="5">
    <w:p w14:paraId="35289B65" w14:textId="77777777" w:rsidR="008B37C1" w:rsidRDefault="008B37C1" w:rsidP="008B37C1">
      <w:pPr>
        <w:adjustRightInd w:val="0"/>
        <w:snapToGrid w:val="0"/>
        <w:rPr>
          <w:sz w:val="20"/>
          <w:szCs w:val="20"/>
        </w:rPr>
      </w:pPr>
      <w:r>
        <w:rPr>
          <w:vertAlign w:val="superscript"/>
        </w:rPr>
        <w:footnoteRef/>
      </w:r>
      <w:r>
        <w:rPr>
          <w:sz w:val="20"/>
          <w:szCs w:val="20"/>
        </w:rPr>
        <w:t>Greenhouse Gas Protocol, https://www.ghgprotocol.org/sites/default/files/ghgp/Global-Warming-Potential-Values%20%28Feb%2016%202016%29_1.pdf</w:t>
      </w:r>
    </w:p>
  </w:footnote>
  <w:footnote w:id="6">
    <w:p w14:paraId="71DE3187" w14:textId="77777777" w:rsidR="008B37C1" w:rsidRDefault="008B37C1" w:rsidP="008B37C1">
      <w:pPr>
        <w:adjustRightInd w:val="0"/>
        <w:snapToGrid w:val="0"/>
        <w:rPr>
          <w:sz w:val="20"/>
          <w:szCs w:val="20"/>
        </w:rPr>
      </w:pPr>
      <w:r>
        <w:rPr>
          <w:vertAlign w:val="superscript"/>
        </w:rPr>
        <w:footnoteRef/>
      </w:r>
      <w:r>
        <w:rPr>
          <w:sz w:val="20"/>
          <w:szCs w:val="20"/>
        </w:rPr>
        <w:t>IPCC, 6.12.3.2 Carbon monoxide, accessed 10/12/22, https://archive.ipcc.ch/ipccreports/tar/wg1/249.htm#:~:text=Table%206.9%20shows%20that%20the,estimated%20at%202.8%20to%2010.</w:t>
      </w:r>
    </w:p>
  </w:footnote>
  <w:footnote w:id="7">
    <w:p w14:paraId="741EFEF4" w14:textId="77777777" w:rsidR="008B37C1" w:rsidRDefault="008B37C1" w:rsidP="008B37C1">
      <w:pPr>
        <w:adjustRightInd w:val="0"/>
        <w:snapToGrid w:val="0"/>
        <w:rPr>
          <w:sz w:val="20"/>
          <w:szCs w:val="20"/>
        </w:rPr>
      </w:pPr>
      <w:r>
        <w:rPr>
          <w:vertAlign w:val="superscript"/>
        </w:rPr>
        <w:footnoteRef/>
      </w:r>
      <w:r>
        <w:rPr>
          <w:sz w:val="20"/>
          <w:szCs w:val="20"/>
        </w:rPr>
        <w:t>Department of Transportation, “Highway Statistics Series,” Office of Highway Policy Information, December 2021, https://www.fhwa.dot.gov/policyinformation/statistics/2020/vm1.cfm.</w:t>
      </w:r>
    </w:p>
  </w:footnote>
  <w:footnote w:id="8">
    <w:p w14:paraId="6427BAAB" w14:textId="77777777" w:rsidR="008B37C1" w:rsidRDefault="008B37C1" w:rsidP="008B37C1">
      <w:pPr>
        <w:adjustRightInd w:val="0"/>
        <w:snapToGrid w:val="0"/>
        <w:rPr>
          <w:sz w:val="20"/>
          <w:szCs w:val="20"/>
        </w:rPr>
      </w:pPr>
      <w:r>
        <w:rPr>
          <w:vertAlign w:val="superscript"/>
        </w:rPr>
        <w:footnoteRef/>
      </w:r>
      <w:r>
        <w:rPr>
          <w:sz w:val="20"/>
          <w:szCs w:val="20"/>
        </w:rPr>
        <w:t>EPA (2022) Inventory of U.S. Greenhouse Gas Emissions and Sinks: 1990-2020. U.S. Environmental Protection Agency, EPA 430-R-22-003. https://www.epa.gov/ghgemissions/draft-inventory-us-greenhouse-gas-emissionsand-sinks-1990-2020.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5937368"/>
      <w:docPartObj>
        <w:docPartGallery w:val="Page Numbers (Top of Page)"/>
        <w:docPartUnique/>
      </w:docPartObj>
    </w:sdtPr>
    <w:sdtContent>
      <w:p w14:paraId="63311ED7" w14:textId="03E2D1B7" w:rsidR="00000000" w:rsidRDefault="00000000" w:rsidP="0014416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sidR="008B37C1">
          <w:rPr>
            <w:rStyle w:val="PageNumber"/>
          </w:rPr>
          <w:fldChar w:fldCharType="separate"/>
        </w:r>
        <w:r w:rsidR="008B37C1">
          <w:rPr>
            <w:rStyle w:val="PageNumber"/>
            <w:noProof/>
          </w:rPr>
          <w:t>2</w:t>
        </w:r>
        <w:r>
          <w:rPr>
            <w:rStyle w:val="PageNumber"/>
          </w:rPr>
          <w:fldChar w:fldCharType="end"/>
        </w:r>
      </w:p>
    </w:sdtContent>
  </w:sdt>
  <w:p w14:paraId="6E790D72" w14:textId="77777777" w:rsidR="00000000" w:rsidRDefault="00000000" w:rsidP="00B93FB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6194322"/>
      <w:docPartObj>
        <w:docPartGallery w:val="Page Numbers (Top of Page)"/>
        <w:docPartUnique/>
      </w:docPartObj>
    </w:sdtPr>
    <w:sdtContent>
      <w:p w14:paraId="3A5B9A94" w14:textId="77777777" w:rsidR="00000000" w:rsidRDefault="00000000" w:rsidP="0014416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745ED64" w14:textId="77777777" w:rsidR="00000000" w:rsidRDefault="00000000" w:rsidP="00B93FB1">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7C1"/>
    <w:rsid w:val="00755780"/>
    <w:rsid w:val="00857596"/>
    <w:rsid w:val="008B37C1"/>
    <w:rsid w:val="008D5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B3A42"/>
  <w15:chartTrackingRefBased/>
  <w15:docId w15:val="{0C2277BD-7046-4862-A8EB-1250B0B3A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7C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next w:val="Normal"/>
    <w:link w:val="Heading1Char"/>
    <w:qFormat/>
    <w:rsid w:val="008B37C1"/>
    <w:pPr>
      <w:keepNext/>
      <w:keepLines/>
      <w:spacing w:before="260" w:after="260" w:line="360" w:lineRule="auto"/>
      <w:contextualSpacing/>
      <w:jc w:val="center"/>
      <w:outlineLvl w:val="0"/>
    </w:pPr>
    <w:rPr>
      <w:rFonts w:ascii="Times New Roman" w:eastAsia="Times New Roman" w:hAnsi="Times New Roman" w:cs="Times New Roman"/>
      <w:b/>
      <w:bCs/>
      <w:color w:val="000000"/>
      <w:kern w:val="0"/>
      <w:sz w:val="24"/>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37C1"/>
    <w:rPr>
      <w:rFonts w:ascii="Times New Roman" w:eastAsia="Times New Roman" w:hAnsi="Times New Roman" w:cs="Times New Roman"/>
      <w:b/>
      <w:bCs/>
      <w:color w:val="000000"/>
      <w:kern w:val="0"/>
      <w:sz w:val="24"/>
      <w:szCs w:val="32"/>
      <w14:ligatures w14:val="none"/>
    </w:rPr>
  </w:style>
  <w:style w:type="paragraph" w:styleId="Header">
    <w:name w:val="header"/>
    <w:basedOn w:val="Normal"/>
    <w:link w:val="HeaderChar"/>
    <w:uiPriority w:val="99"/>
    <w:semiHidden/>
    <w:rsid w:val="008B37C1"/>
    <w:pPr>
      <w:tabs>
        <w:tab w:val="center" w:pos="4680"/>
        <w:tab w:val="right" w:pos="9360"/>
      </w:tabs>
    </w:pPr>
  </w:style>
  <w:style w:type="character" w:customStyle="1" w:styleId="HeaderChar">
    <w:name w:val="Header Char"/>
    <w:basedOn w:val="DefaultParagraphFont"/>
    <w:link w:val="Header"/>
    <w:uiPriority w:val="99"/>
    <w:semiHidden/>
    <w:rsid w:val="008B37C1"/>
    <w:rPr>
      <w:rFonts w:ascii="Times New Roman" w:eastAsia="Times New Roman" w:hAnsi="Times New Roman" w:cs="Times New Roman"/>
      <w:kern w:val="0"/>
      <w:sz w:val="24"/>
      <w:szCs w:val="24"/>
      <w14:ligatures w14:val="none"/>
    </w:rPr>
  </w:style>
  <w:style w:type="character" w:styleId="PageNumber">
    <w:name w:val="page number"/>
    <w:basedOn w:val="DefaultParagraphFont"/>
    <w:uiPriority w:val="99"/>
    <w:semiHidden/>
    <w:rsid w:val="008B3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847</Words>
  <Characters>4832</Characters>
  <Application>Microsoft Office Word</Application>
  <DocSecurity>0</DocSecurity>
  <Lines>40</Lines>
  <Paragraphs>11</Paragraphs>
  <ScaleCrop>false</ScaleCrop>
  <Company>Springer Nature</Company>
  <LinksUpToDate>false</LinksUpToDate>
  <CharactersWithSpaces>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2024-03-18T11:42:00Z</dcterms:created>
  <dcterms:modified xsi:type="dcterms:W3CDTF">2024-03-18T11:43:00Z</dcterms:modified>
</cp:coreProperties>
</file>