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07C2C" w14:textId="437A5B17" w:rsidR="009C7D56" w:rsidRDefault="009C7D56" w:rsidP="009C7D56">
      <w:pPr>
        <w:pStyle w:val="Heading1"/>
      </w:pPr>
      <w:r>
        <w:t>Supplementary:</w:t>
      </w:r>
    </w:p>
    <w:p w14:paraId="47195B96" w14:textId="1AB3C83C" w:rsidR="00580623" w:rsidRDefault="00715424" w:rsidP="00580623">
      <w:pPr>
        <w:pStyle w:val="Caption"/>
        <w:keepNext/>
      </w:pPr>
      <w:r w:rsidRPr="00895C8A">
        <w:rPr>
          <w:b/>
          <w:bCs/>
        </w:rPr>
        <w:t>Table</w:t>
      </w:r>
      <w:r w:rsidRPr="00715424">
        <w:rPr>
          <w:b/>
          <w:bCs/>
        </w:rPr>
        <w:t>.S</w:t>
      </w:r>
      <w:r w:rsidR="00580623" w:rsidRPr="00715424">
        <w:rPr>
          <w:b/>
          <w:bCs/>
        </w:rPr>
        <w:fldChar w:fldCharType="begin"/>
      </w:r>
      <w:r w:rsidR="00580623" w:rsidRPr="00715424">
        <w:rPr>
          <w:b/>
          <w:bCs/>
        </w:rPr>
        <w:instrText xml:space="preserve"> SEQ Table \* ARABIC </w:instrText>
      </w:r>
      <w:r w:rsidR="00580623" w:rsidRPr="00715424">
        <w:rPr>
          <w:b/>
          <w:bCs/>
        </w:rPr>
        <w:fldChar w:fldCharType="separate"/>
      </w:r>
      <w:r w:rsidR="00F16C3A" w:rsidRPr="00715424">
        <w:rPr>
          <w:b/>
          <w:bCs/>
          <w:noProof/>
        </w:rPr>
        <w:t>1</w:t>
      </w:r>
      <w:r w:rsidR="00580623" w:rsidRPr="00715424">
        <w:rPr>
          <w:b/>
          <w:bCs/>
        </w:rPr>
        <w:fldChar w:fldCharType="end"/>
      </w:r>
      <w:r w:rsidR="00580623">
        <w:t xml:space="preserve"> </w:t>
      </w:r>
      <w:r w:rsidR="00CA3D8A">
        <w:t>Drug treatment ranges from literature</w:t>
      </w:r>
    </w:p>
    <w:tbl>
      <w:tblPr>
        <w:tblStyle w:val="TableGrid"/>
        <w:tblW w:w="0" w:type="auto"/>
        <w:tblLook w:val="04A0" w:firstRow="1" w:lastRow="0" w:firstColumn="1" w:lastColumn="0" w:noHBand="0" w:noVBand="1"/>
      </w:tblPr>
      <w:tblGrid>
        <w:gridCol w:w="3080"/>
        <w:gridCol w:w="3081"/>
        <w:gridCol w:w="3081"/>
      </w:tblGrid>
      <w:tr w:rsidR="005B412C" w14:paraId="7D6DC2D1" w14:textId="77777777" w:rsidTr="005720E5">
        <w:tc>
          <w:tcPr>
            <w:tcW w:w="3080" w:type="dxa"/>
            <w:vAlign w:val="center"/>
          </w:tcPr>
          <w:p w14:paraId="102BD296" w14:textId="231AC885" w:rsidR="005B412C" w:rsidRPr="005B412C" w:rsidRDefault="005B412C" w:rsidP="005B412C">
            <w:pPr>
              <w:jc w:val="center"/>
              <w:rPr>
                <w:b/>
                <w:bCs/>
                <w:sz w:val="24"/>
                <w:szCs w:val="24"/>
              </w:rPr>
            </w:pPr>
            <w:r>
              <w:rPr>
                <w:b/>
                <w:bCs/>
                <w:sz w:val="24"/>
                <w:szCs w:val="24"/>
              </w:rPr>
              <w:t>Inhibi</w:t>
            </w:r>
            <w:r w:rsidR="00580623">
              <w:rPr>
                <w:b/>
                <w:bCs/>
                <w:sz w:val="24"/>
                <w:szCs w:val="24"/>
              </w:rPr>
              <w:t>tor</w:t>
            </w:r>
          </w:p>
        </w:tc>
        <w:tc>
          <w:tcPr>
            <w:tcW w:w="3081" w:type="dxa"/>
            <w:vAlign w:val="center"/>
          </w:tcPr>
          <w:p w14:paraId="7C3A8C6C" w14:textId="66E66CC3" w:rsidR="005B412C" w:rsidRPr="005B412C" w:rsidRDefault="00580623" w:rsidP="005B412C">
            <w:pPr>
              <w:jc w:val="center"/>
              <w:rPr>
                <w:b/>
                <w:bCs/>
                <w:sz w:val="24"/>
                <w:szCs w:val="24"/>
              </w:rPr>
            </w:pPr>
            <w:r>
              <w:rPr>
                <w:b/>
                <w:bCs/>
                <w:sz w:val="24"/>
                <w:szCs w:val="24"/>
              </w:rPr>
              <w:t>Study</w:t>
            </w:r>
          </w:p>
        </w:tc>
        <w:tc>
          <w:tcPr>
            <w:tcW w:w="3081" w:type="dxa"/>
            <w:vAlign w:val="center"/>
          </w:tcPr>
          <w:p w14:paraId="6D29F375" w14:textId="4FFC5287" w:rsidR="005B412C" w:rsidRPr="005B412C" w:rsidRDefault="00580623" w:rsidP="005B412C">
            <w:pPr>
              <w:jc w:val="center"/>
              <w:rPr>
                <w:b/>
                <w:bCs/>
                <w:sz w:val="24"/>
                <w:szCs w:val="24"/>
              </w:rPr>
            </w:pPr>
            <w:r>
              <w:rPr>
                <w:b/>
                <w:bCs/>
                <w:sz w:val="24"/>
                <w:szCs w:val="24"/>
              </w:rPr>
              <w:t>Ranges</w:t>
            </w:r>
          </w:p>
        </w:tc>
      </w:tr>
      <w:tr w:rsidR="00922EF2" w14:paraId="7C319AF6" w14:textId="77777777" w:rsidTr="005720E5">
        <w:trPr>
          <w:trHeight w:val="335"/>
        </w:trPr>
        <w:tc>
          <w:tcPr>
            <w:tcW w:w="3080" w:type="dxa"/>
            <w:vMerge w:val="restart"/>
            <w:vAlign w:val="center"/>
          </w:tcPr>
          <w:p w14:paraId="76D7BABE" w14:textId="482E49A2" w:rsidR="00922EF2" w:rsidRDefault="00922EF2" w:rsidP="00580623">
            <w:pPr>
              <w:jc w:val="center"/>
            </w:pPr>
            <w:r>
              <w:t>Ruxolitnib</w:t>
            </w:r>
          </w:p>
        </w:tc>
        <w:tc>
          <w:tcPr>
            <w:tcW w:w="3081" w:type="dxa"/>
            <w:vAlign w:val="center"/>
          </w:tcPr>
          <w:p w14:paraId="4D23FDBD" w14:textId="7DC56B60" w:rsidR="00922EF2" w:rsidRPr="008C39D3" w:rsidRDefault="00922EF2" w:rsidP="00286E14">
            <w:pPr>
              <w:jc w:val="center"/>
              <w:rPr>
                <w:lang w:val="fr-FR"/>
              </w:rPr>
            </w:pPr>
            <w:r w:rsidRPr="008C39D3">
              <w:rPr>
                <w:lang w:val="fr-FR"/>
              </w:rPr>
              <w:t>Qian et al 2022</w:t>
            </w:r>
            <w:r w:rsidR="008C39D3" w:rsidRPr="008C39D3">
              <w:rPr>
                <w:lang w:val="fr-FR"/>
              </w:rPr>
              <w:t xml:space="preserve"> </w:t>
            </w:r>
            <w:r w:rsidR="008C39D3">
              <w:fldChar w:fldCharType="begin"/>
            </w:r>
            <w:r w:rsidR="00286E14">
              <w:rPr>
                <w:lang w:val="fr-FR"/>
              </w:rPr>
              <w:instrText xml:space="preserve"> ADDIN ZOTERO_ITEM CSL_CITATION {"citationID":"AyR4j9oe","properties":{"formattedCitation":"[65]","plainCitation":"[65]","noteIndex":0},"citationItems":[{"id":3282,"uris":["http://zotero.org/users/11154241/items/XU7HR4MU"],"itemData":{"id":3282,"type":"article-journal","abstract":", Excessive inflammation post-traumatic spinal cord injury (SCI) induces microglial activation, which leads to prolonged neurological dysfunction. However, the mechanism underlying microglial activation-induced neuroinflammation remains poorly understood. Ruxolitinib (RUX), a selective inhibitor of JAK1/2, was recently reported to inhibit inflammatory storms caused by SARS-CoV-2 in the lung. However, its role in disrupting inflammation post-SCI has not been confirmed. In this study, microglia were treated with RUX for 24 hours and then activated with interferon-γ for 6 hours. The results showed that interferon-γ-induced phosphorylation of JAK and STAT in microglia was inhibited, and the mRNA expression levels of pro-inflammatory cytokines tumor necrosis factor-α, interleukin-1β, interleukin-6, and cell proliferation marker Ki67 were reduced. In further in vivo experiments, a mouse model of spinal cord injury was treated intragastrically with RUX for 3 successive days, and the findings suggest that RUX can inhibit microglial proliferation by inhibiting the interferon-γ/JAK/STAT pathway. Moreover, microglia treated with RUX centripetally migrated toward injured foci, remaining limited and compacted within the glial scar, which resulted in axon preservation and less demyelination. Moreover, the protein expression levels of tumor necrosis factor-α, interleukin-1β, and interleukin-6 were reduced. The neuromotor function of SCI mice also recovered. These findings suggest that RUX can inhibit neuroinflammation through inhibiting the interferon-γ/JAK/STAT pathway, thereby reducing secondary injury after SCI and producing neuroprotective effects.","container-title":"Neural Regeneration Research","DOI":"10.4103/1673-5374.335165","ISSN":"1673-5374","issue":"9","journalAbbreviation":"Neural Regen Res","note":"PMID: 35142693\nPMCID: PMC8848590","page":"2029-2035","source":"PubMed Central","title":"Ruxolitinib attenuates secondary injury after traumatic spinal cord injury","volume":"17","author":[{"family":"Qian","given":"Zhan-Yang"},{"family":"Kong","given":"Ren-Yi"},{"family":"Zhang","given":"Sheng"},{"family":"Wang","given":"Bin-Yu"},{"family":"Chang","given":"Jie"},{"family":"Cao","given":"Jiang"},{"family":"Wu","given":"Chao-Qin"},{"family":"Huang","given":"Zi-Yan"},{"family":"Duan","given":"Ao"},{"family":"Li","given":"Hai-Jun"},{"family":"Yang","given":"Lei"},{"family":"Cao","given":"Xiao-Jian"}],"issued":{"date-parts":[["2022",2,8]]}}}],"schema":"https://github.com/citation-style-language/schema/raw/master/csl-citation.json"} </w:instrText>
            </w:r>
            <w:r w:rsidR="008C39D3">
              <w:fldChar w:fldCharType="separate"/>
            </w:r>
            <w:r w:rsidR="00286E14" w:rsidRPr="00286E14">
              <w:rPr>
                <w:rFonts w:cs="Times New Roman"/>
              </w:rPr>
              <w:t>[65]</w:t>
            </w:r>
            <w:r w:rsidR="008C39D3">
              <w:fldChar w:fldCharType="end"/>
            </w:r>
          </w:p>
        </w:tc>
        <w:tc>
          <w:tcPr>
            <w:tcW w:w="3081" w:type="dxa"/>
            <w:vAlign w:val="center"/>
          </w:tcPr>
          <w:p w14:paraId="78CA1918" w14:textId="360DEE09" w:rsidR="00922EF2" w:rsidRDefault="00922EF2" w:rsidP="00320D96">
            <w:pPr>
              <w:jc w:val="center"/>
            </w:pPr>
            <w:r>
              <w:t>0.1 – 5 mM</w:t>
            </w:r>
          </w:p>
        </w:tc>
      </w:tr>
      <w:tr w:rsidR="00922EF2" w14:paraId="3D47724F" w14:textId="77777777" w:rsidTr="005720E5">
        <w:tc>
          <w:tcPr>
            <w:tcW w:w="3080" w:type="dxa"/>
            <w:vMerge/>
            <w:vAlign w:val="center"/>
          </w:tcPr>
          <w:p w14:paraId="1612C947" w14:textId="77777777" w:rsidR="00922EF2" w:rsidRDefault="00922EF2" w:rsidP="00580623">
            <w:pPr>
              <w:jc w:val="center"/>
            </w:pPr>
          </w:p>
        </w:tc>
        <w:tc>
          <w:tcPr>
            <w:tcW w:w="3081" w:type="dxa"/>
            <w:vAlign w:val="center"/>
          </w:tcPr>
          <w:p w14:paraId="69C070A6" w14:textId="0CCFEB0B" w:rsidR="00922EF2" w:rsidRPr="00A70FD2" w:rsidRDefault="00922EF2" w:rsidP="00286E14">
            <w:pPr>
              <w:jc w:val="center"/>
              <w:rPr>
                <w:lang w:val="fr-FR"/>
              </w:rPr>
            </w:pPr>
            <w:proofErr w:type="spellStart"/>
            <w:r w:rsidRPr="00A70FD2">
              <w:rPr>
                <w:lang w:val="fr-FR"/>
              </w:rPr>
              <w:t>Baqca</w:t>
            </w:r>
            <w:proofErr w:type="spellEnd"/>
            <w:r w:rsidRPr="00A70FD2">
              <w:rPr>
                <w:lang w:val="fr-FR"/>
              </w:rPr>
              <w:t xml:space="preserve"> et al 2022</w:t>
            </w:r>
            <w:r w:rsidR="00A70FD2" w:rsidRPr="00A70FD2">
              <w:rPr>
                <w:lang w:val="fr-FR"/>
              </w:rPr>
              <w:t xml:space="preserve"> </w:t>
            </w:r>
            <w:r w:rsidR="00A70FD2">
              <w:fldChar w:fldCharType="begin"/>
            </w:r>
            <w:r w:rsidR="00286E14">
              <w:rPr>
                <w:lang w:val="fr-FR"/>
              </w:rPr>
              <w:instrText xml:space="preserve"> ADDIN ZOTERO_ITEM CSL_CITATION {"citationID":"BP4mTxTj","properties":{"formattedCitation":"[66]","plainCitation":"[66]","noteIndex":0},"citationItems":[{"id":3284,"uris":["http://zotero.org/users/11154241/items/HUMVVYXA"],"itemData":{"id":3284,"type":"article-journal","abstract":"Although temozolomide is the primary chemotherapeutic agent in glioblastoma, current studies have focused on its combinational applications to overcome resistance by targeting multiple pathways. JAK/STAT and WNT are among the essential cancer-related signaling pathways. Ruxolitinib, the first approved JAK1/2 inhibitor, has promise in glioblastoma with its blood–brain barrier (BBB) crossing ability. The mentioned study aims to evaluate the anti-cancer potential of ruxolitinib individually and in combination with temozolomide on glioblastoma cells, brain cancer stem cells (BCSCs), and BBB-forming healthy cells. It also intends to determine the effects of JAK inhibitor treatment in combination with temozolomide on WNT signaling, which is known to cross-talk with the JAK/STAT pathway. The U87MG, BCSC, and HBMEC cell lines were the in vitro models. The cytotoxic and apoptotic effects of ruxolitinib and the combination were determined by the WST-1 test and Annexin V assay, respectively. The expression level changes of WNT signaling pathway genes caused by ruxolitinib and the combination treatments were defined by the qRT-PCR method. Network analysis of significantly upregulated and downregulated genes was performed via the GO KEGG pathway enrichment module of the String V11.5 database. The IC50 value of the ruxolitinib on U87MG glioblastoma cells was determined as 94.07 µM at 24th h. The combination of temozolomide and ruxolitinib had a synergistic effect on U87MG cells at 24th h. The combination index (CI) was determined as 0.796, and ED60 values of ruxolitinib and temozolomide were determined as 89.75 and 391.48 µM, respectively. Ruxolitinib improves the apoptotic effect of temozolomide on glioblastoma cells and brain cancer stem cells. Ruxolitinib regulates the WNT signaling pathway both individually and in combination with temozolomide. Our study indicates the potential of ruxolitinib to increase the cytotoxic and apoptotic activity of temozolomide in glioblastoma cells, also considering CSCs and healthy BBB-forming cells. As supported by gene expression and network analyses, the BBB-crossing agent ruxolitinib promises the potential to increase the efficacy of temozolomide in glioblastoma by affecting multiple signaling pathways in both cancer cells and CSCs.","container-title":"Medical Oncology","DOI":"10.1007/s12032-022-01897-4","ISSN":"1559-131X","issue":"1","journalAbbreviation":"Med Oncol","language":"en","page":"37","source":"Springer Link","title":"Ruxolitinib enhances cytotoxic and apoptotic effects of temozolomide on glioblastoma cells by regulating WNT signaling pathway-related genes","volume":"40","author":[{"family":"Goker Bagca","given":"Bakiye"},{"family":"Ozates","given":"Neslihan Pinar"},{"family":"Biray Avci","given":"Cigir"}],"issued":{"date-parts":[["2022",12,2]]}}}],"schema":"https://github.com/citation-style-language/schema/raw/master/csl-citation.json"} </w:instrText>
            </w:r>
            <w:r w:rsidR="00A70FD2">
              <w:fldChar w:fldCharType="separate"/>
            </w:r>
            <w:r w:rsidR="00286E14" w:rsidRPr="00286E14">
              <w:rPr>
                <w:rFonts w:cs="Times New Roman"/>
              </w:rPr>
              <w:t>[66]</w:t>
            </w:r>
            <w:r w:rsidR="00A70FD2">
              <w:fldChar w:fldCharType="end"/>
            </w:r>
          </w:p>
        </w:tc>
        <w:tc>
          <w:tcPr>
            <w:tcW w:w="3081" w:type="dxa"/>
            <w:vAlign w:val="center"/>
          </w:tcPr>
          <w:p w14:paraId="16AE7191" w14:textId="60C0BC4A" w:rsidR="00922EF2" w:rsidRDefault="00922EF2" w:rsidP="00320D96">
            <w:pPr>
              <w:jc w:val="center"/>
            </w:pPr>
            <w:r>
              <w:t>94.07 nM</w:t>
            </w:r>
          </w:p>
        </w:tc>
      </w:tr>
      <w:tr w:rsidR="00922EF2" w14:paraId="59F21AA2" w14:textId="77777777" w:rsidTr="005720E5">
        <w:tc>
          <w:tcPr>
            <w:tcW w:w="3080" w:type="dxa"/>
            <w:vMerge/>
            <w:vAlign w:val="center"/>
          </w:tcPr>
          <w:p w14:paraId="7AD8B1F2" w14:textId="77777777" w:rsidR="00922EF2" w:rsidRDefault="00922EF2" w:rsidP="00580623">
            <w:pPr>
              <w:jc w:val="center"/>
            </w:pPr>
          </w:p>
        </w:tc>
        <w:tc>
          <w:tcPr>
            <w:tcW w:w="3081" w:type="dxa"/>
            <w:vAlign w:val="center"/>
          </w:tcPr>
          <w:p w14:paraId="662F7E62" w14:textId="5239EA7A" w:rsidR="00922EF2" w:rsidRPr="00F25C95" w:rsidRDefault="00922EF2" w:rsidP="00286E14">
            <w:pPr>
              <w:jc w:val="center"/>
              <w:rPr>
                <w:lang w:val="fr-FR"/>
              </w:rPr>
            </w:pPr>
            <w:proofErr w:type="spellStart"/>
            <w:r w:rsidRPr="00F25C95">
              <w:rPr>
                <w:lang w:val="fr-FR"/>
              </w:rPr>
              <w:t>Beckman</w:t>
            </w:r>
            <w:proofErr w:type="spellEnd"/>
            <w:r w:rsidRPr="00F25C95">
              <w:rPr>
                <w:lang w:val="fr-FR"/>
              </w:rPr>
              <w:t xml:space="preserve"> et al 2023</w:t>
            </w:r>
            <w:r w:rsidR="00A70FD2" w:rsidRPr="00F25C95">
              <w:rPr>
                <w:lang w:val="fr-FR"/>
              </w:rPr>
              <w:t xml:space="preserve"> </w:t>
            </w:r>
            <w:r w:rsidR="00A70FD2">
              <w:fldChar w:fldCharType="begin"/>
            </w:r>
            <w:r w:rsidR="00286E14">
              <w:rPr>
                <w:lang w:val="fr-FR"/>
              </w:rPr>
              <w:instrText xml:space="preserve"> ADDIN ZOTERO_ITEM CSL_CITATION {"citationID":"tjmO2oR7","properties":{"unsorted":true,"formattedCitation":"[67]","plainCitation":"[67]","noteIndex":0},"citationItems":[{"id":3286,"uris":["http://zotero.org/users/11154241/items/UYQ4GXUY"],"itemData":{"id":3286,"type":"article-journal","abstract":"Background\nVascular activation is characterized by increased proinflammatory, pro thrombotic, and proadhesive signaling. Several chronic and acute conditions, including Bcr-abl-negative myeloproliferative neoplasms (MPNs), graft-vs-host disease, and COVID-19 have been noted to have increased activation of the janus kinase (JAK)-signal transducer and downstream activator of transcription (STAT) pathways. Two notable inhibitors of the JAK-STAT pathway are ruxolitinib (JAK1/2 inhibitor) and fedratinib (JAK2 inhibitor), which are currently used to treat MPN patients. However, in some conditions, it has been noted that JAK inhibitors can increase the risk of thromboembolic complications.\nObjectives\nWe sought to define the anti-inflammatory and antithrombotic effects of JAK-STAT inhibitors in vascular endothelial cells.\nMethods\nWe assessed endothelial activation in the presence or absence of ruxolitinib or fedratinib by using immunoblots, immunofluorescence, qRT-PCR, and function coagulation assays. Finally, we used endothelialized microfluidics perfused with blood from normal and JAK2V617F+ individuals to evaluate whether ruxolitinib and fedratinib changed cell adhesion.\nResults\nWe found that both ruxolitinib and fedratinib reduced endothelial cell phospho-STAT1 and STAT3 signaling and attenuated nuclear phospho-NK-κB and phospho-c-Jun localization. JAK-STAT inhibition also limited secretion of proadhesive and procoagulant P-selectin and von Willebrand factor and proinflammatory IL-6. Likewise, we found that JAK-STAT inhibition reduced endothelial tissue factor and urokinase plasminogen activator expression and activity.\nConclusions\nBy using endothelialized microfluidics perfused with whole blood samples, we demonstrated that endothelial treatment with JAK-STAT inhibitors prevented rolling of both healthy control and JAK2V617F MPN leukocytes. Together, these findings demonstrate that JAK-STAT inhibitors reduce the upregulation of critical prothrombotic pathways and prevent increased leukocyte–endothelial adhesion.","container-title":"Journal of Thrombosis and Haemostasis","DOI":"10.1016/j.jtha.2023.01.027","ISSN":"1538-7836","issue":"5","journalAbbreviation":"Journal of Thrombosis and Haemostasis","page":"1366-1380","source":"ScienceDirect","title":"JAK-STAT inhibition reduces endothelial prothrombotic activation and leukocyte–endothelial proadhesive interactions","volume":"21","author":[{"family":"Beckman","given":"Joan D."},{"family":"DaSilva","given":"Angelica"},{"family":"Aronovich","given":"Elena"},{"family":"Nguyen","given":"Aithanh"},{"family":"Nguyen","given":"Julia"},{"family":"Hargis","given":"Geneva"},{"family":"Reynolds","given":"David"},{"family":"Vercellotti","given":"Gregory M."},{"family":"Betts","given":"Brian"},{"family":"Wood","given":"David K."}],"issued":{"date-parts":[["2023",5,1]]}}}],"schema":"https://github.com/citation-style-language/schema/raw/master/csl-citation.json"} </w:instrText>
            </w:r>
            <w:r w:rsidR="00A70FD2">
              <w:fldChar w:fldCharType="separate"/>
            </w:r>
            <w:r w:rsidR="00286E14" w:rsidRPr="00286E14">
              <w:rPr>
                <w:rFonts w:cs="Times New Roman"/>
              </w:rPr>
              <w:t>[67]</w:t>
            </w:r>
            <w:r w:rsidR="00A70FD2">
              <w:fldChar w:fldCharType="end"/>
            </w:r>
            <w:r w:rsidR="00A70FD2" w:rsidRPr="00F25C95">
              <w:rPr>
                <w:lang w:val="fr-FR"/>
              </w:rPr>
              <w:t xml:space="preserve"> </w:t>
            </w:r>
          </w:p>
        </w:tc>
        <w:tc>
          <w:tcPr>
            <w:tcW w:w="3081" w:type="dxa"/>
            <w:vAlign w:val="center"/>
          </w:tcPr>
          <w:p w14:paraId="47105DFA" w14:textId="113A10CB" w:rsidR="00922EF2" w:rsidRDefault="00922EF2" w:rsidP="00320D96">
            <w:pPr>
              <w:jc w:val="center"/>
            </w:pPr>
            <w:r>
              <w:t>0.4 mM</w:t>
            </w:r>
          </w:p>
        </w:tc>
      </w:tr>
      <w:tr w:rsidR="00922EF2" w14:paraId="2F193078" w14:textId="77777777" w:rsidTr="005720E5">
        <w:tc>
          <w:tcPr>
            <w:tcW w:w="3080" w:type="dxa"/>
            <w:vMerge/>
            <w:vAlign w:val="center"/>
          </w:tcPr>
          <w:p w14:paraId="37F49863" w14:textId="77777777" w:rsidR="00922EF2" w:rsidRDefault="00922EF2" w:rsidP="00580623">
            <w:pPr>
              <w:jc w:val="center"/>
            </w:pPr>
          </w:p>
        </w:tc>
        <w:tc>
          <w:tcPr>
            <w:tcW w:w="3081" w:type="dxa"/>
            <w:vAlign w:val="center"/>
          </w:tcPr>
          <w:p w14:paraId="3D86D825" w14:textId="783CDB82" w:rsidR="00922EF2" w:rsidRDefault="00922EF2" w:rsidP="00286E14">
            <w:pPr>
              <w:jc w:val="center"/>
            </w:pPr>
            <w:r>
              <w:t>Heine et al 2013</w:t>
            </w:r>
            <w:r w:rsidR="00A70FD2">
              <w:t xml:space="preserve"> </w:t>
            </w:r>
            <w:r w:rsidR="00A70FD2">
              <w:fldChar w:fldCharType="begin"/>
            </w:r>
            <w:r w:rsidR="00286E14">
              <w:rPr>
                <w:lang w:val="nl-NL"/>
              </w:rPr>
              <w:instrText xml:space="preserve"> ADDIN ZOTERO_ITEM CSL_CITATION {"citationID":"FBQdBFxQ","properties":{"formattedCitation":"[68]","plainCitation":"[68]","noteIndex":0},"citationItems":[{"id":3287,"uris":["http://zotero.org/users/11154241/items/HLMZURNN"],"itemData":{"id":3287,"type":"article-journal","abstract":"The Janus kinase (JAK)–inhibitor ruxolitinib decreases constitutional symptoms and spleen size of myelofibrosis (MF) patients by mechanisms distinct from its anticlonal activity. Here we investigated whether ruxolitinib affects dendritic cell (DC) biology. The in vitro development of monocyte-derived DCs was almost completely blocked when the compound was added throughout the differentiation period. Furthermore, when applied solely during the final lipopolysaccharide-induced maturation step, ruxolitinib reduced DC activation as demonstrated by decreased interleukin-12 production and attenuated expression of activation markers. Ruxolitinib also impaired both in vitro and in vivo DC migration. Dysfunction of ruxolitinib-exposed DCs was further underlined by their impaired induction of allogeneic and antigen-specific T-cell responses. Ruxolitinib-treated mice immunized with ovalbumin (OVA)/CpG induced markedly reduced in vivo activation and proliferation of OVA-specific CD8+ T cells compared with vehicle-treated controls. Finally, using an adenoviral infection model, we show that ruxolitinib-exposed mice exhibit delayed adenoviral clearance. Our results demonstrate that ruxolitinib significantly affects DC differentiation and function leading to impaired T-cell activation. DC dysfunction may result in increased infection rates in ruxolitinib-treated patients. However, our findings may also explain the outstanding anti-inflammatory and immunomodulating activity of JAK inhibitors currently used in the treatment of MF and autoimmune diseases.","container-title":"Blood","DOI":"10.1182/blood-2013-03-484642","ISSN":"0006-4971","issue":"7","journalAbbreviation":"Blood","page":"1192-1202","source":"Silverchair","title":"The JAK-inhibitor ruxolitinib impairs dendritic cell function in vitro and in vivo","volume":"122","author":[{"family":"Heine","given":"Annkristin"},{"family":"Held","given":"Stefanie Andrea Erika"},{"family":"Daecke","given":"Solveig Nora"},{"family":"Wallner","given":"Stephanie"},{"family":"Yajnanarayana","given":"Sowmya Parampalli"},{"family":"Kurts","given":"Christian"},{"family":"Wolf","given":"Dominik"},{"family":"Brossart","given":"Peter"}],"issued":{"date-parts":[["2013",8,15]]}}}],"schema":"https://github.com/citation-style-language/schema/raw/master/csl-citation.json"} </w:instrText>
            </w:r>
            <w:r w:rsidR="00A70FD2">
              <w:fldChar w:fldCharType="separate"/>
            </w:r>
            <w:r w:rsidR="00286E14" w:rsidRPr="00286E14">
              <w:rPr>
                <w:rFonts w:cs="Times New Roman"/>
              </w:rPr>
              <w:t>[68]</w:t>
            </w:r>
            <w:r w:rsidR="00A70FD2">
              <w:fldChar w:fldCharType="end"/>
            </w:r>
          </w:p>
        </w:tc>
        <w:tc>
          <w:tcPr>
            <w:tcW w:w="3081" w:type="dxa"/>
            <w:vAlign w:val="center"/>
          </w:tcPr>
          <w:p w14:paraId="791ED689" w14:textId="72BE79A1" w:rsidR="00922EF2" w:rsidRDefault="00922EF2" w:rsidP="00320D96">
            <w:pPr>
              <w:jc w:val="center"/>
            </w:pPr>
            <w:r>
              <w:t>0.1 – 10 uM</w:t>
            </w:r>
          </w:p>
        </w:tc>
      </w:tr>
      <w:tr w:rsidR="00922EF2" w14:paraId="55564F7A" w14:textId="77777777" w:rsidTr="005720E5">
        <w:tc>
          <w:tcPr>
            <w:tcW w:w="3080" w:type="dxa"/>
            <w:vMerge/>
            <w:vAlign w:val="center"/>
          </w:tcPr>
          <w:p w14:paraId="5C05A147" w14:textId="77777777" w:rsidR="00922EF2" w:rsidRDefault="00922EF2" w:rsidP="00580623">
            <w:pPr>
              <w:jc w:val="center"/>
            </w:pPr>
          </w:p>
        </w:tc>
        <w:tc>
          <w:tcPr>
            <w:tcW w:w="3081" w:type="dxa"/>
            <w:vAlign w:val="center"/>
          </w:tcPr>
          <w:p w14:paraId="5F08FDC7" w14:textId="309A877C" w:rsidR="00922EF2" w:rsidRDefault="00922EF2" w:rsidP="00286E14">
            <w:pPr>
              <w:jc w:val="center"/>
            </w:pPr>
            <w:r>
              <w:t>McCann et al 2021</w:t>
            </w:r>
            <w:r w:rsidR="00F25C95">
              <w:t xml:space="preserve"> </w:t>
            </w:r>
            <w:r w:rsidR="00F25C95">
              <w:fldChar w:fldCharType="begin"/>
            </w:r>
            <w:r w:rsidR="00286E14">
              <w:instrText xml:space="preserve"> ADDIN ZOTERO_ITEM CSL_CITATION {"citationID":"soTETFuS","properties":{"formattedCitation":"[69]","plainCitation":"[69]","noteIndex":0},"citationItems":[{"id":3288,"uris":["http://zotero.org/users/11154241/items/ST4RH8Z8"],"itemData":{"id":3288,"type":"article-journal","abstract":"Keloids are a type of disordered scar formation which not only show heterogeneity between individuals and within the scar itself, but also share common features of hyperproliferation, abnormal extra-cellular matrix deposition and degradation, as well as altered expression of the molecular markers of wound healing. Numerous reports have established that cells from keloid scars display Warburg metabolism—a form of JAK2/STAT3-induced metabolic adaptation typical of rapidly dividing cells in which glycolysis becomes the predominant source of ATP over oxidative phosphorylation (OxPhos). Using the JAK1/2 inhibitor ruxolitinib, along with cells from patients with STAT3 loss of function (STA3 LOF; autosomal dominant hyper IgE syndrome) we examined the role of JAK/STAT signaling in the hyperproliferation and metabolic dysregulation seen in keloid fibroblasts. Although ruxolitinib inhibited hyperactivity in the scratch assay in keloid fibroblasts, it paradoxically exacerbated the hyper-glycolytic state, possibly by further limiting OxPhos via alterations in mitochondrial phosphorylated STAT3 (pSTAT3Ser727). In healthy volunteer fibroblasts, folic acid exposure recapitulated the exaggerated closure and hyper-glycolytic state of keloid fibroblasts through JAK1/2- and STAT3-dependent pathways. Although additional studies are needed before extrapolating from a representative cell line to keloids writ large, our results provide novel insights into the metabolic consequences of STAT3 dysfunction, suggest a possible role for folate metabolism in the pathogenesis of keloid scars, and offer in vitro pre-clinical data supporting considerations of clinical trials for ruxolitinib in keloid disorder.","container-title":"PLOS ONE","DOI":"10.1371/journal.pone.0248011","ISSN":"1932-6203","issue":"3","journalAbbreviation":"PLOS ONE","language":"en","note":"publisher: Public Library of Science","page":"e0248011","source":"PLoS Journals","title":"Differential responses to folic acid in an established keloid fibroblast cell line are mediated by JAK1/2 and STAT3","volume":"16","author":[{"family":"McCann","given":"Katelyn J."},{"family":"Yadav","given":"Manoj"},{"family":"Alishahedani","given":"Mohammadali E."},{"family":"Freeman","given":"Alexandra F."},{"family":"Myles","given":"Ian A."}],"issued":{"date-parts":[["2021",3,4]]}}}],"schema":"https://github.com/citation-style-language/schema/raw/master/csl-citation.json"} </w:instrText>
            </w:r>
            <w:r w:rsidR="00F25C95">
              <w:fldChar w:fldCharType="separate"/>
            </w:r>
            <w:r w:rsidR="00286E14" w:rsidRPr="00286E14">
              <w:rPr>
                <w:rFonts w:cs="Times New Roman"/>
              </w:rPr>
              <w:t>[69]</w:t>
            </w:r>
            <w:r w:rsidR="00F25C95">
              <w:fldChar w:fldCharType="end"/>
            </w:r>
          </w:p>
        </w:tc>
        <w:tc>
          <w:tcPr>
            <w:tcW w:w="3081" w:type="dxa"/>
            <w:vAlign w:val="center"/>
          </w:tcPr>
          <w:p w14:paraId="76FCA517" w14:textId="4A95FADE" w:rsidR="00922EF2" w:rsidRDefault="00922EF2" w:rsidP="00320D96">
            <w:pPr>
              <w:jc w:val="center"/>
            </w:pPr>
            <w:r>
              <w:t>1 mM</w:t>
            </w:r>
          </w:p>
        </w:tc>
      </w:tr>
      <w:tr w:rsidR="00922EF2" w14:paraId="423AB87F" w14:textId="77777777" w:rsidTr="005720E5">
        <w:tc>
          <w:tcPr>
            <w:tcW w:w="3080" w:type="dxa"/>
            <w:vMerge/>
            <w:tcBorders>
              <w:bottom w:val="single" w:sz="4" w:space="0" w:color="auto"/>
            </w:tcBorders>
            <w:vAlign w:val="center"/>
          </w:tcPr>
          <w:p w14:paraId="6B33D95A" w14:textId="77777777" w:rsidR="00922EF2" w:rsidRDefault="00922EF2" w:rsidP="00580623">
            <w:pPr>
              <w:jc w:val="center"/>
            </w:pPr>
          </w:p>
        </w:tc>
        <w:tc>
          <w:tcPr>
            <w:tcW w:w="3081" w:type="dxa"/>
            <w:vAlign w:val="center"/>
          </w:tcPr>
          <w:p w14:paraId="3F265053" w14:textId="746E0B0B" w:rsidR="00922EF2" w:rsidRPr="00F25C95" w:rsidRDefault="00922EF2" w:rsidP="00286E14">
            <w:pPr>
              <w:jc w:val="center"/>
              <w:rPr>
                <w:lang w:val="fr-FR"/>
              </w:rPr>
            </w:pPr>
            <w:r w:rsidRPr="00F25C95">
              <w:rPr>
                <w:lang w:val="fr-FR"/>
              </w:rPr>
              <w:t>Song et al 2022</w:t>
            </w:r>
            <w:r w:rsidR="00F25C95" w:rsidRPr="00F25C95">
              <w:rPr>
                <w:lang w:val="fr-FR"/>
              </w:rPr>
              <w:t xml:space="preserve"> </w:t>
            </w:r>
            <w:r w:rsidR="00F25C95">
              <w:fldChar w:fldCharType="begin"/>
            </w:r>
            <w:r w:rsidR="00286E14">
              <w:rPr>
                <w:lang w:val="fr-FR"/>
              </w:rPr>
              <w:instrText xml:space="preserve"> ADDIN ZOTERO_ITEM CSL_CITATION {"citationID":"cWNIwi1Z","properties":{"formattedCitation":"[70]","plainCitation":"[70]","noteIndex":0},"citationItems":[{"id":3291,"uris":["http://zotero.org/users/11154241/items/72MZC2WN"],"itemData":{"id":3291,"type":"article-journal","abstract":"JAK1 and JAK2 have been implicated in fibrosis and cancer as a fibroblast-related marker; however, their role in liver fibrosis has not been elucidated. Here, we aim to determine the effect and underlying mechanism of JAK1/2 inhibition on liver fibrosis and hepatic stellate cells (HSCs) and further explore the therapeutic efficacy of Ruxolitinib, a JAK1/2 selective inhibitor, on preventing and reversing liver fibrosis in mice.","container-title":"Journal of Translational Medicine","DOI":"10.1186/s12967-022-03366-y","ISSN":"1479-5876","issue":"1","journalAbbreviation":"J Transl Med","language":"en","page":"157","source":"Springer Link","title":"Ruxolitinib suppresses liver fibrosis progression and accelerates fibrosis reversal via selectively targeting Janus kinase 1/2","volume":"20","author":[{"family":"Song","given":"Zhenghui"},{"family":"Liu","given":"Xinhui"},{"family":"Zhang","given":"Wan"},{"family":"Luo","given":"Yue"},{"family":"Xiao","given":"Hua"},{"family":"Liu","given":"Yun"},{"family":"Dai","given":"Guanqi"},{"family":"Hong","given":"Jian"},{"family":"Li","given":"Aimin"}],"issued":{"date-parts":[["2022",4,5]]}}}],"schema":"https://github.com/citation-style-language/schema/raw/master/csl-citation.json"} </w:instrText>
            </w:r>
            <w:r w:rsidR="00F25C95">
              <w:fldChar w:fldCharType="separate"/>
            </w:r>
            <w:r w:rsidR="00286E14" w:rsidRPr="00286E14">
              <w:rPr>
                <w:rFonts w:cs="Times New Roman"/>
              </w:rPr>
              <w:t>[70]</w:t>
            </w:r>
            <w:r w:rsidR="00F25C95">
              <w:fldChar w:fldCharType="end"/>
            </w:r>
          </w:p>
        </w:tc>
        <w:tc>
          <w:tcPr>
            <w:tcW w:w="3081" w:type="dxa"/>
            <w:vAlign w:val="center"/>
          </w:tcPr>
          <w:p w14:paraId="3BE45918" w14:textId="150F9BEF" w:rsidR="00922EF2" w:rsidRPr="00922EF2" w:rsidRDefault="00922EF2" w:rsidP="00922EF2">
            <w:pPr>
              <w:pStyle w:val="ListParagraph"/>
              <w:numPr>
                <w:ilvl w:val="1"/>
                <w:numId w:val="4"/>
              </w:numPr>
              <w:jc w:val="center"/>
            </w:pPr>
            <w:r>
              <w:t>–</w:t>
            </w:r>
            <w:r w:rsidRPr="00922EF2">
              <w:t xml:space="preserve"> 1</w:t>
            </w:r>
            <w:r>
              <w:t>00 uM</w:t>
            </w:r>
          </w:p>
        </w:tc>
      </w:tr>
      <w:tr w:rsidR="00AB18BE" w14:paraId="7C7C24DD" w14:textId="77777777" w:rsidTr="005720E5">
        <w:tc>
          <w:tcPr>
            <w:tcW w:w="3080" w:type="dxa"/>
            <w:vMerge w:val="restart"/>
            <w:vAlign w:val="center"/>
          </w:tcPr>
          <w:p w14:paraId="78F92819" w14:textId="4E8B88C1" w:rsidR="00AB18BE" w:rsidRDefault="00AB18BE" w:rsidP="00580623">
            <w:pPr>
              <w:jc w:val="center"/>
            </w:pPr>
            <w:r>
              <w:t>Fedratinib</w:t>
            </w:r>
          </w:p>
        </w:tc>
        <w:tc>
          <w:tcPr>
            <w:tcW w:w="3081" w:type="dxa"/>
            <w:vAlign w:val="center"/>
          </w:tcPr>
          <w:p w14:paraId="09843A66" w14:textId="3D427BD5" w:rsidR="00AB18BE" w:rsidRPr="00F25C95" w:rsidRDefault="00AB18BE" w:rsidP="00286E14">
            <w:pPr>
              <w:jc w:val="center"/>
              <w:rPr>
                <w:lang w:val="nl-NL"/>
              </w:rPr>
            </w:pPr>
            <w:proofErr w:type="spellStart"/>
            <w:r w:rsidRPr="00F25C95">
              <w:rPr>
                <w:lang w:val="nl-NL"/>
              </w:rPr>
              <w:t>Wernig</w:t>
            </w:r>
            <w:proofErr w:type="spellEnd"/>
            <w:r w:rsidRPr="00F25C95">
              <w:rPr>
                <w:lang w:val="nl-NL"/>
              </w:rPr>
              <w:t xml:space="preserve"> et al </w:t>
            </w:r>
            <w:r w:rsidR="005720E5" w:rsidRPr="00F25C95">
              <w:rPr>
                <w:lang w:val="nl-NL"/>
              </w:rPr>
              <w:t>2008</w:t>
            </w:r>
            <w:r w:rsidR="00F25C95" w:rsidRPr="00F25C95">
              <w:rPr>
                <w:lang w:val="nl-NL"/>
              </w:rPr>
              <w:t xml:space="preserve"> </w:t>
            </w:r>
            <w:r w:rsidR="00F25C95">
              <w:fldChar w:fldCharType="begin"/>
            </w:r>
            <w:r w:rsidR="00286E14">
              <w:rPr>
                <w:lang w:val="nl-NL"/>
              </w:rPr>
              <w:instrText xml:space="preserve"> ADDIN ZOTERO_ITEM CSL_CITATION {"citationID":"S67ey0DL","properties":{"formattedCitation":"[71]","plainCitation":"[71]","noteIndex":0},"citationItems":[{"id":3304,"uris":["http://zotero.org/users/11154241/items/JVDP2KME"],"itemData":{"id":3304,"type":"article-journal","abstract":"We report that TG101348, a selective small-molecule inhibitor of JAK2 with an in vitro IC50 of  3 nM, shows therapeutic efﬁcacy in a murine model of myeloproliferative disease induced by the JAK2V617F mutation. In treated animals, there was a statistically signiﬁcant reduction in hematocrit and leukocyte count, a dose-dependent reduction/elimination of extramedullary hematopoiesis, and, at least in some instances, evidence for attenuation of myeloﬁbrosis. There were no apparent toxicities and no effect on T cell number. In vivo responses were correlated with surrogate endpoints, including reduction/elimination of JAK2V617F disease burden assessed by quantitative genomic PCR, suppression of endogenous erythroid colony formation, and in vivo inhibition of JAK-STAT signal transduction as assessed by ﬂow cytometric measurement of phosphorylated Stat5.","container-title":"Cancer Cell","DOI":"10.1016/j.ccr.2008.02.009","ISSN":"15356108","issue":"4","journalAbbreviation":"Cancer Cell","language":"en","page":"311-320","source":"DOI.org (Crossref)","title":"Efficacy of TG101348, a Selective JAK2 Inhibitor, in Treatment of a Murine Model of JAK2V617F-Induced Polycythemia Vera","volume":"13","author":[{"family":"Wernig","given":"Gerlinde"},{"family":"Kharas","given":"Michael G."},{"family":"Okabe","given":"Rachel"},{"family":"Moore","given":"Sandra A."},{"family":"Leeman","given":"Dena S."},{"family":"Cullen","given":"Dana E."},{"family":"Gozo","given":"Maricel"},{"family":"McDowell","given":"Elizabeth P."},{"family":"Levine","given":"Ross L."},{"family":"Doukas","given":"John"},{"family":"Mak","given":"Chi Ching"},{"family":"Noronha","given":"Glenn"},{"family":"Martin","given":"Michael"},{"family":"Ko","given":"Yon D."},{"family":"Lee","given":"Benjamin H."},{"family":"Soll","given":"Richard M."},{"family":"Tefferi","given":"Ayalew"},{"family":"Hood","given":"John D."},{"family":"Gilliland","given":"D. Gary"}],"issued":{"date-parts":[["2008",4]]}}}],"schema":"https://github.com/citation-style-language/schema/raw/master/csl-citation.json"} </w:instrText>
            </w:r>
            <w:r w:rsidR="00F25C95">
              <w:fldChar w:fldCharType="separate"/>
            </w:r>
            <w:r w:rsidR="00286E14" w:rsidRPr="00286E14">
              <w:rPr>
                <w:rFonts w:cs="Times New Roman"/>
              </w:rPr>
              <w:t>[71]</w:t>
            </w:r>
            <w:r w:rsidR="00F25C95">
              <w:fldChar w:fldCharType="end"/>
            </w:r>
          </w:p>
        </w:tc>
        <w:tc>
          <w:tcPr>
            <w:tcW w:w="3081" w:type="dxa"/>
            <w:vAlign w:val="center"/>
          </w:tcPr>
          <w:p w14:paraId="30C12383" w14:textId="32C1EDDE" w:rsidR="00AB18BE" w:rsidRDefault="00AB18BE" w:rsidP="00320D96">
            <w:pPr>
              <w:jc w:val="center"/>
            </w:pPr>
            <w:r>
              <w:t>0.003 uM</w:t>
            </w:r>
          </w:p>
        </w:tc>
      </w:tr>
      <w:tr w:rsidR="005720E5" w14:paraId="4D51E09B" w14:textId="77777777" w:rsidTr="005720E5">
        <w:tc>
          <w:tcPr>
            <w:tcW w:w="3080" w:type="dxa"/>
            <w:vMerge/>
            <w:vAlign w:val="center"/>
          </w:tcPr>
          <w:p w14:paraId="419F2F0A" w14:textId="77777777" w:rsidR="005720E5" w:rsidRDefault="005720E5" w:rsidP="00580623">
            <w:pPr>
              <w:jc w:val="center"/>
            </w:pPr>
          </w:p>
        </w:tc>
        <w:tc>
          <w:tcPr>
            <w:tcW w:w="3081" w:type="dxa"/>
            <w:vAlign w:val="center"/>
          </w:tcPr>
          <w:p w14:paraId="12DC7D1C" w14:textId="6BAAE731" w:rsidR="005720E5" w:rsidRPr="00B11153" w:rsidRDefault="005720E5" w:rsidP="00286E14">
            <w:pPr>
              <w:jc w:val="center"/>
              <w:rPr>
                <w:lang w:val="fr-FR"/>
              </w:rPr>
            </w:pPr>
            <w:proofErr w:type="spellStart"/>
            <w:r w:rsidRPr="00B11153">
              <w:rPr>
                <w:lang w:val="fr-FR"/>
              </w:rPr>
              <w:t>Ruan</w:t>
            </w:r>
            <w:proofErr w:type="spellEnd"/>
            <w:r w:rsidRPr="00B11153">
              <w:rPr>
                <w:lang w:val="fr-FR"/>
              </w:rPr>
              <w:t xml:space="preserve"> et al 2021</w:t>
            </w:r>
            <w:r w:rsidR="00B11153" w:rsidRPr="00B11153">
              <w:rPr>
                <w:lang w:val="fr-FR"/>
              </w:rPr>
              <w:t xml:space="preserve"> </w:t>
            </w:r>
            <w:r w:rsidR="00B11153">
              <w:fldChar w:fldCharType="begin"/>
            </w:r>
            <w:r w:rsidR="00286E14">
              <w:rPr>
                <w:lang w:val="fr-FR"/>
              </w:rPr>
              <w:instrText xml:space="preserve"> ADDIN ZOTERO_ITEM CSL_CITATION {"citationID":"v1Pzdq36","properties":{"formattedCitation":"[72]","plainCitation":"[72]","noteIndex":0},"citationItems":[{"id":3305,"uris":["http://zotero.org/users/11154241/items/7UUPL7LQ"],"itemData":{"id":3305,"type":"article-journal","abstract":"Idiopathic pulmonary fibrosis (IPF) is a chronic, progressive interstitial lung disease with multiple causes, characterized by excessive myofibrocyte aggregation and extracellular matrix deposition. Related studies have shown that transforming growth factor-β1 (TGF-β1) is a key cytokine causing fibrosis, promoting abnormal epithelial–mesenchymal communication and fibroblast-to-myofibroblast transition. Fedratinib (Fed) is a marketed drug for the treatment of primary and secondary myelofibrosis, targeting selective JAK2 tyrosine kinase inhibitors. However, its role in pulmonary fibrosis remains unclear. In this study, we investigated the potential effects and mechanisms of Fed on pulmonary fibrosis in vitro and in vivo. In vitro studies have shown that Fed attenuates TGF-β1- and IL-6-induced myofibroblast activation and inflammatory response by regulating the JAK2/STAT3 signaling pathway. In vivo studies have shown that Fed can reduce bleomycin-induced inflammation and collagen deposition and improve lung function. In conclusion, Fed inhibited inflammation and fibrosis processes induced by TGF-β1 and IL-6 by targeting the JAK2 receptor.","container-title":"Molecules","DOI":"10.3390/molecules26154491","ISSN":"1420-3049","issue":"15","language":"en","license":"http://creativecommons.org/licenses/by/3.0/","note":"number: 15\npublisher: Multidisciplinary Digital Publishing Institute","page":"4491","source":"www.mdpi.com","title":"Fedratinib Attenuates Bleomycin-Induced Pulmonary Fibrosis via the JAK2/STAT3 and TGF-β1 Signaling Pathway","volume":"26","author":[{"family":"Ruan","given":"Hao"},{"family":"Luan","given":"Jiaoyan"},{"family":"Gao","given":"Shaoyan"},{"family":"Li","given":"Shuangling"},{"family":"Jiang","given":"Qiuyan"},{"family":"Liu","given":"Rui"},{"family":"Liang","given":"Qing"},{"family":"Zhang","given":"Ruiqin"},{"family":"Zhang","given":"Fangxia"},{"family":"Li","given":"Xiaohe"},{"family":"Zhou","given":"Honggang"},{"family":"Yang","given":"Cheng"}],"issued":{"date-parts":[["2021",1]]}}}],"schema":"https://github.com/citation-style-language/schema/raw/master/csl-citation.json"} </w:instrText>
            </w:r>
            <w:r w:rsidR="00B11153">
              <w:fldChar w:fldCharType="separate"/>
            </w:r>
            <w:r w:rsidR="00286E14" w:rsidRPr="00286E14">
              <w:rPr>
                <w:rFonts w:cs="Times New Roman"/>
              </w:rPr>
              <w:t>[72]</w:t>
            </w:r>
            <w:r w:rsidR="00B11153">
              <w:fldChar w:fldCharType="end"/>
            </w:r>
          </w:p>
        </w:tc>
        <w:tc>
          <w:tcPr>
            <w:tcW w:w="3081" w:type="dxa"/>
            <w:vAlign w:val="center"/>
          </w:tcPr>
          <w:p w14:paraId="2FB852EB" w14:textId="00A563A0" w:rsidR="005720E5" w:rsidRDefault="005720E5" w:rsidP="00320D96">
            <w:pPr>
              <w:jc w:val="center"/>
            </w:pPr>
            <w:r>
              <w:t>0.5, 1, 2 uM</w:t>
            </w:r>
          </w:p>
        </w:tc>
      </w:tr>
      <w:tr w:rsidR="005720E5" w14:paraId="698D71AC" w14:textId="77777777" w:rsidTr="005720E5">
        <w:tc>
          <w:tcPr>
            <w:tcW w:w="3080" w:type="dxa"/>
            <w:vMerge/>
            <w:vAlign w:val="center"/>
          </w:tcPr>
          <w:p w14:paraId="050A636F" w14:textId="77777777" w:rsidR="005720E5" w:rsidRDefault="005720E5" w:rsidP="00580623">
            <w:pPr>
              <w:jc w:val="center"/>
            </w:pPr>
          </w:p>
        </w:tc>
        <w:tc>
          <w:tcPr>
            <w:tcW w:w="3081" w:type="dxa"/>
            <w:vAlign w:val="center"/>
          </w:tcPr>
          <w:p w14:paraId="7A954AD9" w14:textId="46D644B1" w:rsidR="005720E5" w:rsidRPr="00B11153" w:rsidRDefault="00D844A7" w:rsidP="00286E14">
            <w:pPr>
              <w:jc w:val="center"/>
              <w:rPr>
                <w:lang w:val="fr-FR"/>
              </w:rPr>
            </w:pPr>
            <w:proofErr w:type="spellStart"/>
            <w:r w:rsidRPr="00B11153">
              <w:rPr>
                <w:lang w:val="fr-FR"/>
              </w:rPr>
              <w:t>Beckman</w:t>
            </w:r>
            <w:proofErr w:type="spellEnd"/>
            <w:r w:rsidRPr="00B11153">
              <w:rPr>
                <w:lang w:val="fr-FR"/>
              </w:rPr>
              <w:t xml:space="preserve"> et al 2023</w:t>
            </w:r>
            <w:r w:rsidR="00B11153" w:rsidRPr="00B11153">
              <w:rPr>
                <w:lang w:val="fr-FR"/>
              </w:rPr>
              <w:t xml:space="preserve"> </w:t>
            </w:r>
            <w:r w:rsidR="00B11153">
              <w:fldChar w:fldCharType="begin"/>
            </w:r>
            <w:r w:rsidR="00286E14">
              <w:rPr>
                <w:lang w:val="fr-FR"/>
              </w:rPr>
              <w:instrText xml:space="preserve"> ADDIN ZOTERO_ITEM CSL_CITATION {"citationID":"cMJcg8y1","properties":{"unsorted":true,"formattedCitation":"[67]","plainCitation":"[67]","noteIndex":0},"citationItems":[{"id":3286,"uris":["http://zotero.org/users/11154241/items/UYQ4GXUY"],"itemData":{"id":3286,"type":"article-journal","abstract":"Background\nVascular activation is characterized by increased proinflammatory, pro thrombotic, and proadhesive signaling. Several chronic and acute conditions, including Bcr-abl-negative myeloproliferative neoplasms (MPNs), graft-vs-host disease, and COVID-19 have been noted to have increased activation of the janus kinase (JAK)-signal transducer and downstream activator of transcription (STAT) pathways. Two notable inhibitors of the JAK-STAT pathway are ruxolitinib (JAK1/2 inhibitor) and fedratinib (JAK2 inhibitor), which are currently used to treat MPN patients. However, in some conditions, it has been noted that JAK inhibitors can increase the risk of thromboembolic complications.\nObjectives\nWe sought to define the anti-inflammatory and antithrombotic effects of JAK-STAT inhibitors in vascular endothelial cells.\nMethods\nWe assessed endothelial activation in the presence or absence of ruxolitinib or fedratinib by using immunoblots, immunofluorescence, qRT-PCR, and function coagulation assays. Finally, we used endothelialized microfluidics perfused with blood from normal and JAK2V617F+ individuals to evaluate whether ruxolitinib and fedratinib changed cell adhesion.\nResults\nWe found that both ruxolitinib and fedratinib reduced endothelial cell phospho-STAT1 and STAT3 signaling and attenuated nuclear phospho-NK-κB and phospho-c-Jun localization. JAK-STAT inhibition also limited secretion of proadhesive and procoagulant P-selectin and von Willebrand factor and proinflammatory IL-6. Likewise, we found that JAK-STAT inhibition reduced endothelial tissue factor and urokinase plasminogen activator expression and activity.\nConclusions\nBy using endothelialized microfluidics perfused with whole blood samples, we demonstrated that endothelial treatment with JAK-STAT inhibitors prevented rolling of both healthy control and JAK2V617F MPN leukocytes. Together, these findings demonstrate that JAK-STAT inhibitors reduce the upregulation of critical prothrombotic pathways and prevent increased leukocyte–endothelial adhesion.","container-title":"Journal of Thrombosis and Haemostasis","DOI":"10.1016/j.jtha.2023.01.027","ISSN":"1538-7836","issue":"5","journalAbbreviation":"Journal of Thrombosis and Haemostasis","page":"1366-1380","source":"ScienceDirect","title":"JAK-STAT inhibition reduces endothelial prothrombotic activation and leukocyte–endothelial proadhesive interactions","volume":"21","author":[{"family":"Beckman","given":"Joan D."},{"family":"DaSilva","given":"Angelica"},{"family":"Aronovich","given":"Elena"},{"family":"Nguyen","given":"Aithanh"},{"family":"Nguyen","given":"Julia"},{"family":"Hargis","given":"Geneva"},{"family":"Reynolds","given":"David"},{"family":"Vercellotti","given":"Gregory M."},{"family":"Betts","given":"Brian"},{"family":"Wood","given":"David K."}],"issued":{"date-parts":[["2023",5,1]]}}}],"schema":"https://github.com/citation-style-language/schema/raw/master/csl-citation.json"} </w:instrText>
            </w:r>
            <w:r w:rsidR="00B11153">
              <w:fldChar w:fldCharType="separate"/>
            </w:r>
            <w:r w:rsidR="00286E14" w:rsidRPr="00286E14">
              <w:rPr>
                <w:rFonts w:cs="Times New Roman"/>
              </w:rPr>
              <w:t>[67]</w:t>
            </w:r>
            <w:r w:rsidR="00B11153">
              <w:fldChar w:fldCharType="end"/>
            </w:r>
          </w:p>
        </w:tc>
        <w:tc>
          <w:tcPr>
            <w:tcW w:w="3081" w:type="dxa"/>
            <w:vAlign w:val="center"/>
          </w:tcPr>
          <w:p w14:paraId="4C656982" w14:textId="55E0A322" w:rsidR="005720E5" w:rsidRDefault="005720E5" w:rsidP="00320D96">
            <w:pPr>
              <w:jc w:val="center"/>
            </w:pPr>
            <w:r>
              <w:t xml:space="preserve">1 </w:t>
            </w:r>
            <w:proofErr w:type="spellStart"/>
            <w:r>
              <w:t>uM</w:t>
            </w:r>
            <w:proofErr w:type="spellEnd"/>
          </w:p>
        </w:tc>
      </w:tr>
      <w:tr w:rsidR="00D844A7" w14:paraId="1E57925B" w14:textId="77777777" w:rsidTr="005720E5">
        <w:tc>
          <w:tcPr>
            <w:tcW w:w="3080" w:type="dxa"/>
            <w:vMerge w:val="restart"/>
            <w:vAlign w:val="center"/>
          </w:tcPr>
          <w:p w14:paraId="59226EFA" w14:textId="638178A8" w:rsidR="00D844A7" w:rsidRDefault="00D844A7" w:rsidP="00580623">
            <w:pPr>
              <w:jc w:val="center"/>
            </w:pPr>
            <w:r>
              <w:t>Upadacitinib</w:t>
            </w:r>
          </w:p>
        </w:tc>
        <w:tc>
          <w:tcPr>
            <w:tcW w:w="3081" w:type="dxa"/>
            <w:vAlign w:val="center"/>
          </w:tcPr>
          <w:p w14:paraId="19085067" w14:textId="3C19D590" w:rsidR="00D844A7" w:rsidRPr="00B11153" w:rsidRDefault="00B17BCE" w:rsidP="00286E14">
            <w:pPr>
              <w:jc w:val="center"/>
              <w:rPr>
                <w:lang w:val="fr-FR"/>
              </w:rPr>
            </w:pPr>
            <w:r w:rsidRPr="00B11153">
              <w:rPr>
                <w:lang w:val="fr-FR"/>
              </w:rPr>
              <w:t>Zhao et al 2021</w:t>
            </w:r>
            <w:r w:rsidR="00B11153" w:rsidRPr="00B11153">
              <w:rPr>
                <w:lang w:val="fr-FR"/>
              </w:rPr>
              <w:t xml:space="preserve"> </w:t>
            </w:r>
            <w:r w:rsidR="00B11153">
              <w:fldChar w:fldCharType="begin"/>
            </w:r>
            <w:r w:rsidR="00286E14">
              <w:rPr>
                <w:lang w:val="fr-FR"/>
              </w:rPr>
              <w:instrText xml:space="preserve"> ADDIN ZOTERO_ITEM CSL_CITATION {"citationID":"LVzo7TFg","properties":{"formattedCitation":"[73]","plainCitation":"[73]","noteIndex":0},"citationItems":[{"id":3295,"uris":["http://zotero.org/users/11154241/items/7V5QYXX6"],"itemData":{"id":3295,"type":"article-journal","abstract":"Objective Findings from recent transcriptome analyses of the synovium of patients with rheumatoid arthritis (RA) have revealed that 15-fold expanded HLA–DR+CD90+ synovial fibroblasts potentially act as key mediators of inflammation. The reasons for the expansion of HLA–DR+CD90+ synovial fibroblasts are unclear, but genetic signatures indicate that interferon-γ (IFNγ) plays a central role in the generation of this fibroblast subset. The present study was undertaken to investigate the generation, function and therapeutically intended blockage of HLA–DR+CD90+ synovial fibroblasts. Methods We combined functional assays using primary human materials and focused bioinformatic analyses of mass cytometry and transcriptomics patient data sets. Results We detected enriched and activated Fcγ receptor type IIIa–positive (CD16+) NK cells in the synovial tissue from patients with active RA. Soluble immune complexes were recognized by CD16 in a newly described reporter cell model, a mechanism that could be contributing to the activation of natural killer (NK) cells in RA. In vitro, NK cell–derived IFNγ induced HLA–DR on CD90+ synovial fibroblasts, leading to an inflammatory, cytokine-secreting HLA–DR+CD90+ phenotype. HLA–DR+CD90+ synovial fibroblasts consecutively activated CD4+ T cells upon receptor crosslinking via superantigens. HLA–DR+CD90+ synovial fibroblasts also activated CD4+ T cells in the absence of superantigens, an effect that was initiated by NK cell–derived IFNγ and that was 4 times stronger in patients with RA compared to patients with osteoarthritis. Finally, JAK inhibition in synovial fibroblasts prevented HLA–DR induction and blocked proinflammatory signals to T cells. Conclusion The HLA–DR+CD90+ phenotype represents an activation state of synovial fibroblasts during the process of inflammation in RA that can be induced by IFNγ, likely generated from infiltrating leukocytes such as activated NK cells. The induction of these proinflammatory, interleukin-6–producing, and likely antigen-presenting synovial fibroblasts can be targeted by JAK inhibition.","container-title":"Arthritis &amp; Rheumatology","DOI":"10.1002/art.41958","ISSN":"2326-5205","issue":"3","language":"en","license":"© 2022 The Authors. Arthritis &amp; Rheumatology published by Wiley Periodicals LLC on behalf of American College of Rheumatology.","note":"_eprint: https://onlinelibrary.wiley.com/doi/pdf/10.1002/art.41958","page":"441-452","source":"Wiley Online Library","title":"Effect of JAK Inhibition on the Induction of Proinflammatory HLA–DR+CD90+ Rheumatoid Arthritis Synovial Fibroblasts by Interferon-γ","volume":"74","author":[{"family":"Zhao","given":"Shuyang"},{"family":"Grieshaber-Bouyer","given":"Ricardo"},{"family":"Rao","given":"Deepak A."},{"family":"Kolb","given":"Philipp"},{"family":"Chen","given":"Haizhang"},{"family":"Andreeva","given":"Ivana"},{"family":"Tretter","given":"Theresa"},{"family":"Lorenz","given":"Hanns-Martin"},{"family":"Watzl","given":"Carsten"},{"family":"Wabnitz","given":"Guido"},{"family":"Tykocinski","given":"Lars-Oliver"},{"family":"Merkt","given":"Wolfgang"}],"issued":{"date-parts":[["2022"]]}}}],"schema":"https://github.com/citation-style-language/schema/raw/master/csl-citation.json"} </w:instrText>
            </w:r>
            <w:r w:rsidR="00B11153">
              <w:fldChar w:fldCharType="separate"/>
            </w:r>
            <w:r w:rsidR="00286E14" w:rsidRPr="00286E14">
              <w:rPr>
                <w:rFonts w:cs="Times New Roman"/>
              </w:rPr>
              <w:t>[73]</w:t>
            </w:r>
            <w:r w:rsidR="00B11153">
              <w:fldChar w:fldCharType="end"/>
            </w:r>
          </w:p>
        </w:tc>
        <w:tc>
          <w:tcPr>
            <w:tcW w:w="3081" w:type="dxa"/>
            <w:vAlign w:val="center"/>
          </w:tcPr>
          <w:p w14:paraId="6F014240" w14:textId="77777777" w:rsidR="00D844A7" w:rsidRDefault="00192B4B" w:rsidP="00320D96">
            <w:pPr>
              <w:jc w:val="center"/>
            </w:pPr>
            <w:r>
              <w:t>4 uM</w:t>
            </w:r>
          </w:p>
        </w:tc>
      </w:tr>
      <w:tr w:rsidR="00D844A7" w14:paraId="3CAE2308" w14:textId="77777777" w:rsidTr="005720E5">
        <w:tc>
          <w:tcPr>
            <w:tcW w:w="3080" w:type="dxa"/>
            <w:vMerge/>
          </w:tcPr>
          <w:p w14:paraId="20965F56" w14:textId="77777777" w:rsidR="00D844A7" w:rsidRDefault="00D844A7" w:rsidP="009C7D56"/>
        </w:tc>
        <w:tc>
          <w:tcPr>
            <w:tcW w:w="3081" w:type="dxa"/>
            <w:vAlign w:val="center"/>
          </w:tcPr>
          <w:p w14:paraId="43D43B83" w14:textId="18C11C90" w:rsidR="00D844A7" w:rsidRDefault="00B17BCE" w:rsidP="00286E14">
            <w:pPr>
              <w:jc w:val="center"/>
            </w:pPr>
            <w:r>
              <w:t>Reddig et al 2021</w:t>
            </w:r>
            <w:r w:rsidR="00B11153">
              <w:t xml:space="preserve"> </w:t>
            </w:r>
            <w:r w:rsidR="00B11153">
              <w:fldChar w:fldCharType="begin"/>
            </w:r>
            <w:r w:rsidR="00286E14">
              <w:instrText xml:space="preserve"> ADDIN ZOTERO_ITEM CSL_CITATION {"citationID":"rTomWXyA","properties":{"formattedCitation":"[74]","plainCitation":"[74]","noteIndex":0},"citationItems":[{"id":3297,"uris":["http://zotero.org/users/11154241/items/45SWEHV6"],"itemData":{"id":3297,"type":"article-journal","abstract":"Janus kinase inhibitors (JAKis) represent a new strategy in rheumatoid arthritis (RA) therapy. Still, data directly comparing different JAKis are rare. In the present in vitro study, we investigated the immunomodulatory potential of four JAKis (tofacitinib, baricitinib, upadacitinib, and filgotinib) currently approved for RA treatment by the European Medicines Agency. Increasing concentrations of JAKi or methotrexate, conventionally used in RA therapy, were either added to freshly mitogen-stimulated or preactivated peripheral blood mononuclear cells (PBMC), isolated from healthy volunteers. A comparable, dose-dependent inhibition of lymphocyte proliferation was observed in samples treated with tofacitinib, baricitinib, and upadacitinib, while dosage of filgotinib had to be two orders of magnitude higher. In contrast, antiproliferative effects were strongly attenuated when JAKi were added to preactivated PBMCs. High dosage of upadacitinib and filgotinib also affected cell viability. Further, analyses of DNA double-strand break markers γH2AX and 53BP1 indicated an enhanced level of DNA damage in cells incubated with high concentrations of filgotinib and a dose-dependent reduction in clearance of radiation-induced γH2AX foci in the presence of tofacitinib or baricitinib. Thereby, our study demonstrated a broad comparability of immunomodulatory effects induced by different JAKi and provided first indications, that (pan)JAKi may impair DNA damage repair in irradiated PBMCs.","container-title":"Journal of Clinical Medicine","DOI":"10.3390/jcm10071431","ISSN":"2077-0383","issue":"7","language":"en","license":"http://creativecommons.org/licenses/by/3.0/","note":"number: 7\npublisher: Multidisciplinary Digital Publishing Institute","page":"1431","source":"www.mdpi.com","title":"Impact of Different JAK Inhibitors and Methotrexate on Lymphocyte Proliferation and DNA Damage","volume":"10","author":[{"family":"Reddig","given":"Annika"},{"family":"Voss","given":"Linda"},{"family":"Guttek","given":"Karina"},{"family":"Roggenbuck","given":"Dirk"},{"family":"Feist","given":"Eugen"},{"family":"Reinhold","given":"Dirk"}],"issued":{"date-parts":[["2021",1]]}}}],"schema":"https://github.com/citation-style-language/schema/raw/master/csl-citation.json"} </w:instrText>
            </w:r>
            <w:r w:rsidR="00B11153">
              <w:fldChar w:fldCharType="separate"/>
            </w:r>
            <w:r w:rsidR="00286E14" w:rsidRPr="00286E14">
              <w:rPr>
                <w:rFonts w:cs="Times New Roman"/>
              </w:rPr>
              <w:t>[74]</w:t>
            </w:r>
            <w:r w:rsidR="00B11153">
              <w:fldChar w:fldCharType="end"/>
            </w:r>
          </w:p>
        </w:tc>
        <w:tc>
          <w:tcPr>
            <w:tcW w:w="3081" w:type="dxa"/>
            <w:vAlign w:val="center"/>
          </w:tcPr>
          <w:p w14:paraId="3FFBDF31" w14:textId="6B8E0B81" w:rsidR="00D844A7" w:rsidRDefault="00192B4B" w:rsidP="00320D96">
            <w:pPr>
              <w:jc w:val="center"/>
            </w:pPr>
            <w:r>
              <w:t>0.001 - 10 uM</w:t>
            </w:r>
          </w:p>
        </w:tc>
      </w:tr>
      <w:tr w:rsidR="00D844A7" w14:paraId="5470EE79" w14:textId="77777777" w:rsidTr="005720E5">
        <w:tc>
          <w:tcPr>
            <w:tcW w:w="3080" w:type="dxa"/>
            <w:vMerge/>
          </w:tcPr>
          <w:p w14:paraId="42C596B7" w14:textId="77777777" w:rsidR="00D844A7" w:rsidRDefault="00D844A7" w:rsidP="009C7D56"/>
        </w:tc>
        <w:tc>
          <w:tcPr>
            <w:tcW w:w="3081" w:type="dxa"/>
            <w:vAlign w:val="center"/>
          </w:tcPr>
          <w:p w14:paraId="3133BF60" w14:textId="0F92D611" w:rsidR="00D844A7" w:rsidRPr="00602465" w:rsidRDefault="00443940" w:rsidP="00286E14">
            <w:pPr>
              <w:jc w:val="center"/>
              <w:rPr>
                <w:lang w:val="fr-FR"/>
              </w:rPr>
            </w:pPr>
            <w:proofErr w:type="spellStart"/>
            <w:r w:rsidRPr="00602465">
              <w:rPr>
                <w:lang w:val="fr-FR"/>
              </w:rPr>
              <w:t>Joyo</w:t>
            </w:r>
            <w:proofErr w:type="spellEnd"/>
            <w:r w:rsidRPr="00602465">
              <w:rPr>
                <w:lang w:val="fr-FR"/>
              </w:rPr>
              <w:t xml:space="preserve"> et al 2022</w:t>
            </w:r>
            <w:r w:rsidR="00602465" w:rsidRPr="00602465">
              <w:rPr>
                <w:lang w:val="fr-FR"/>
              </w:rPr>
              <w:t xml:space="preserve"> </w:t>
            </w:r>
            <w:r w:rsidR="00602465">
              <w:fldChar w:fldCharType="begin"/>
            </w:r>
            <w:r w:rsidR="00286E14">
              <w:rPr>
                <w:lang w:val="fr-FR"/>
              </w:rPr>
              <w:instrText xml:space="preserve"> ADDIN ZOTERO_ITEM CSL_CITATION {"citationID":"Jm42YvAy","properties":{"formattedCitation":"[75]","plainCitation":"[75]","noteIndex":0},"citationItems":[{"id":3299,"uris":["http://zotero.org/users/11154241/items/D4JSZF3F"],"itemData":{"id":3299,"type":"article-journal","abstract":"Gliostatin/thymidine phosphorylase (GLS/TP) is known to have angiogenic and arthritogenic activities in the pathogenesis of rheumatoid arthritis (RA). The novel oral Janus kinase (JAK) inhibitor baricitinib has demonstrated high efficacy in RA. However, the effect of baricitinib on fibroblast-like synoviocytes (FLSs), a key component of invasive synovitis, has not been still elucidated. This study investigated whether GLS/TP production could be regulated by JAK/signal transducers and activators of transcription (STAT) signaling in FLSs derived from patients with RA. FLSs were cultured and stimulated by interferon (IFN)γ in the presence of baricitinib. Expression levels of GLS/TP were determined using reverse transcription-polymerase chain reaction (RT-PCR), enzyme-linked immunosorbent assay (ELISA), and immunocytochemistry. Phosphorylation of STAT proteins was investigated by Western blot. In cultured FLSs, GLS/TP mRNA and protein levels were significantly induced by treatment with IFNγ and these inductions were suppressed by baricitinib treatment. Baricitinib inhibited IFNγ-induced STAT1 phosphorylation, while JAK/STAT activation played a pivotal role in IFNγ-mediated GLS/TP upregulation in RA. These results suggested that baricitinib suppressed IFNγ-induced GLS/TP expression by inhibiting JAK/STAT signaling, resulting in the attenuation of neovascularization, synovial inflammation, and cartilage destruction.","container-title":"Immunologic Research","DOI":"10.1007/s12026-022-09261-4","ISSN":"0257-277X","issue":"2","journalAbbreviation":"Immunol Res","note":"PMID: 35014010\nPMCID: PMC8917024","page":"208-215","source":"PubMed Central","title":"The Janus kinase inhibitor (baricitinib) suppresses the rheumatoid arthritis active marker gliostatin/thymidine phosphorylase in human fibroblast-like synoviocytes","volume":"70","author":[{"family":"Joyo","given":"Yuji"},{"family":"Kawaguchi","given":"Yohei"},{"family":"Yonezu","given":"Hiroki"},{"family":"Senda","given":"Hiroya"},{"family":"Yasuma","given":"Sanshiro"},{"family":"Shiraga","given":"Hiroo"},{"family":"Nozaki","given":"Masahiro"},{"family":"Aoyama","given":"Mineyoshi"},{"family":"Asai","given":"Kiyofumi"},{"family":"Murakami","given":"Hideki"},{"family":"Waguri-Nagaya","given":"Yuko"}],"issued":{"date-parts":[["2022"]]}}}],"schema":"https://github.com/citation-style-language/schema/raw/master/csl-citation.json"} </w:instrText>
            </w:r>
            <w:r w:rsidR="00602465">
              <w:fldChar w:fldCharType="separate"/>
            </w:r>
            <w:r w:rsidR="00286E14" w:rsidRPr="00286E14">
              <w:rPr>
                <w:rFonts w:cs="Times New Roman"/>
              </w:rPr>
              <w:t>[75]</w:t>
            </w:r>
            <w:r w:rsidR="00602465">
              <w:fldChar w:fldCharType="end"/>
            </w:r>
          </w:p>
        </w:tc>
        <w:tc>
          <w:tcPr>
            <w:tcW w:w="3081" w:type="dxa"/>
            <w:vAlign w:val="center"/>
          </w:tcPr>
          <w:p w14:paraId="29419800" w14:textId="6F28B8F2" w:rsidR="00D844A7" w:rsidRDefault="00192B4B" w:rsidP="00320D96">
            <w:pPr>
              <w:jc w:val="center"/>
            </w:pPr>
            <w:r>
              <w:t>0.1 - 1 uM</w:t>
            </w:r>
          </w:p>
        </w:tc>
      </w:tr>
      <w:tr w:rsidR="00D844A7" w14:paraId="24A44A10" w14:textId="77777777" w:rsidTr="005720E5">
        <w:tc>
          <w:tcPr>
            <w:tcW w:w="3080" w:type="dxa"/>
            <w:vMerge/>
          </w:tcPr>
          <w:p w14:paraId="0B7973D3" w14:textId="77777777" w:rsidR="00D844A7" w:rsidRDefault="00D844A7" w:rsidP="009C7D56"/>
        </w:tc>
        <w:tc>
          <w:tcPr>
            <w:tcW w:w="3081" w:type="dxa"/>
            <w:vAlign w:val="center"/>
          </w:tcPr>
          <w:p w14:paraId="4D5D0D4A" w14:textId="71F307B0" w:rsidR="00D844A7" w:rsidRPr="00602465" w:rsidRDefault="00443940" w:rsidP="00286E14">
            <w:pPr>
              <w:jc w:val="center"/>
              <w:rPr>
                <w:lang w:val="fr-FR"/>
              </w:rPr>
            </w:pPr>
            <w:r w:rsidRPr="00602465">
              <w:rPr>
                <w:lang w:val="fr-FR"/>
              </w:rPr>
              <w:t>Yu et al 2023</w:t>
            </w:r>
            <w:r w:rsidR="00602465" w:rsidRPr="00602465">
              <w:rPr>
                <w:lang w:val="fr-FR"/>
              </w:rPr>
              <w:t xml:space="preserve"> </w:t>
            </w:r>
            <w:r w:rsidR="00602465">
              <w:fldChar w:fldCharType="begin"/>
            </w:r>
            <w:r w:rsidR="00286E14">
              <w:rPr>
                <w:lang w:val="fr-FR"/>
              </w:rPr>
              <w:instrText xml:space="preserve"> ADDIN ZOTERO_ITEM CSL_CITATION {"citationID":"UulXoVVJ","properties":{"formattedCitation":"[76]","plainCitation":"[76]","noteIndex":0},"citationItems":[{"id":3302,"uris":["http://zotero.org/users/11154241/items/87YY98QX"],"itemData":{"id":3302,"type":"article-journal","abstract":"Alkali burn-induced corneal inflammation and subsequent corneal neovascularization (CNV) are major causes of corneal opacity and vision loss. M1 macrophages play a central role in inflammation and CNV. Therefore, modulation of M1 macrophage polarization is a promising strategy for corneal alkali burns. Here, we illustrate the effect and underlying mechanisms of upadacitinib on corneal inflammation and CNV induced by alkali burns in mice. The corneas of BALB/c mice were administered with 1 M NaOH for 30 s and randomly assigned to the vehicle group and the upadacitinib-treated group. Corneal opacity and corneal epithelial defects were assessed clinically. Quantitative real-time PCR (qRT-PCR), immunohistochemistry, and western blot analysis were performed to detect M1 macrophage polarization and CD31+ corneal blood vessels. The results showed that upadacitinib notably decreased corneal opacity, and promoted corneal wound healing. On day 7 and 14 after alkali burns, upadacitinib significantly suppressed CNV. Corneal alkali injury caused M1 macrophage recruitment in the cornea. In contrast to the vehicle, upadacitinib suppressed M1 macrophage infiltration and decreased the mRNA expression levels of inducible nitric oxide synthase (iNOS), monocyte chemotactic protein-1 (MCP-1), tumor necrosis factor-alpha (TNF-α), interleukin (IL)-6, IL-1β, and vascular endothelial growth factor A (VEGF-A) in alkali-injured corneas. Moreover, upadacitinib dose-dependently inhibited M1 macrophage polarization by suppressing interferon (IFN)-γ-/lipopolysaccharide-stimulated STAT1 activation in vitro. Our findings reveal that upadacitinib can efficiently alleviate alkali-induced corneal inflammation and neovascularization by inhibiting M1 macrophage infiltration. These data demonstrate that upadacitinib is an effective drug for the treatment of corneal alkali burns.","container-title":"International Immunopharmacology","DOI":"10.1016/j.intimp.2023.109680","ISSN":"1567-5769","journalAbbreviation":"International Immunopharmacology","page":"109680","source":"ScienceDirect","title":"Upadacitinib inhibits corneal inflammation and neovascularization by suppressing M1 macrophage infiltration in the corneal alkali burn model","volume":"116","author":[{"family":"Yu","given":"Jianfeng"},{"family":"Shen","given":"Yao"},{"family":"Luo","given":"Jiawei"},{"family":"Jin","given":"Juan"},{"family":"Li","given":"Pengfei"},{"family":"Feng","given":"Peida"},{"family":"Guan","given":"Huaijin"}],"issued":{"date-parts":[["2023",3,1]]}}}],"schema":"https://github.com/citation-style-language/schema/raw/master/csl-citation.json"} </w:instrText>
            </w:r>
            <w:r w:rsidR="00602465">
              <w:fldChar w:fldCharType="separate"/>
            </w:r>
            <w:r w:rsidR="00286E14" w:rsidRPr="00286E14">
              <w:rPr>
                <w:rFonts w:cs="Times New Roman"/>
              </w:rPr>
              <w:t>[76]</w:t>
            </w:r>
            <w:r w:rsidR="00602465">
              <w:fldChar w:fldCharType="end"/>
            </w:r>
          </w:p>
        </w:tc>
        <w:tc>
          <w:tcPr>
            <w:tcW w:w="3081" w:type="dxa"/>
            <w:vAlign w:val="center"/>
          </w:tcPr>
          <w:p w14:paraId="05D3AD19" w14:textId="28E7122C" w:rsidR="00D844A7" w:rsidRDefault="00192B4B" w:rsidP="00320D96">
            <w:pPr>
              <w:jc w:val="center"/>
            </w:pPr>
            <w:r>
              <w:t>0.1 - 10 uM</w:t>
            </w:r>
          </w:p>
        </w:tc>
      </w:tr>
    </w:tbl>
    <w:p w14:paraId="46A8F9FD" w14:textId="77777777" w:rsidR="009C7D56" w:rsidRDefault="009C7D56" w:rsidP="009C7D56"/>
    <w:p w14:paraId="15522B5B" w14:textId="3A717CBD" w:rsidR="00F16C3A" w:rsidRDefault="00715424" w:rsidP="00F16C3A">
      <w:pPr>
        <w:pStyle w:val="Caption"/>
        <w:keepNext/>
      </w:pPr>
      <w:r w:rsidRPr="00895C8A">
        <w:rPr>
          <w:b/>
          <w:bCs/>
        </w:rPr>
        <w:t>Table</w:t>
      </w:r>
      <w:r w:rsidRPr="00715424">
        <w:rPr>
          <w:b/>
          <w:bCs/>
        </w:rPr>
        <w:t>.S</w:t>
      </w:r>
      <w:r w:rsidR="00F16C3A" w:rsidRPr="00715424">
        <w:rPr>
          <w:b/>
          <w:bCs/>
        </w:rPr>
        <w:fldChar w:fldCharType="begin"/>
      </w:r>
      <w:r w:rsidR="00F16C3A" w:rsidRPr="00715424">
        <w:rPr>
          <w:b/>
          <w:bCs/>
        </w:rPr>
        <w:instrText xml:space="preserve"> SEQ Table \* ARABIC </w:instrText>
      </w:r>
      <w:r w:rsidR="00F16C3A" w:rsidRPr="00715424">
        <w:rPr>
          <w:b/>
          <w:bCs/>
        </w:rPr>
        <w:fldChar w:fldCharType="separate"/>
      </w:r>
      <w:r w:rsidR="00F16C3A" w:rsidRPr="00715424">
        <w:rPr>
          <w:b/>
          <w:bCs/>
          <w:noProof/>
        </w:rPr>
        <w:t>2</w:t>
      </w:r>
      <w:r w:rsidR="00F16C3A" w:rsidRPr="00715424">
        <w:rPr>
          <w:b/>
          <w:bCs/>
        </w:rPr>
        <w:fldChar w:fldCharType="end"/>
      </w:r>
      <w:r w:rsidR="00F16C3A">
        <w:t xml:space="preserve"> Exposures applied</w:t>
      </w:r>
    </w:p>
    <w:tbl>
      <w:tblPr>
        <w:tblStyle w:val="TableGrid"/>
        <w:tblW w:w="0" w:type="auto"/>
        <w:tblLook w:val="04A0" w:firstRow="1" w:lastRow="0" w:firstColumn="1" w:lastColumn="0" w:noHBand="0" w:noVBand="1"/>
      </w:tblPr>
      <w:tblGrid>
        <w:gridCol w:w="3080"/>
        <w:gridCol w:w="3081"/>
        <w:gridCol w:w="3081"/>
      </w:tblGrid>
      <w:tr w:rsidR="009C2A60" w14:paraId="0D8A66F0" w14:textId="77777777" w:rsidTr="009C2A60">
        <w:tc>
          <w:tcPr>
            <w:tcW w:w="3080" w:type="dxa"/>
            <w:vAlign w:val="center"/>
          </w:tcPr>
          <w:p w14:paraId="66BE71A8" w14:textId="4BB65076" w:rsidR="009C2A60" w:rsidRPr="009C2A60" w:rsidRDefault="009C2A60" w:rsidP="009C2A60">
            <w:pPr>
              <w:jc w:val="center"/>
              <w:rPr>
                <w:b/>
                <w:bCs/>
                <w:sz w:val="24"/>
                <w:szCs w:val="24"/>
              </w:rPr>
            </w:pPr>
            <w:r>
              <w:rPr>
                <w:b/>
                <w:bCs/>
                <w:sz w:val="24"/>
                <w:szCs w:val="24"/>
              </w:rPr>
              <w:t>Primary Antibody</w:t>
            </w:r>
          </w:p>
        </w:tc>
        <w:tc>
          <w:tcPr>
            <w:tcW w:w="3081" w:type="dxa"/>
            <w:vAlign w:val="center"/>
          </w:tcPr>
          <w:p w14:paraId="331B3836" w14:textId="471D201F" w:rsidR="009C2A60" w:rsidRPr="009C2A60" w:rsidRDefault="00F16C3A" w:rsidP="009C2A60">
            <w:pPr>
              <w:jc w:val="center"/>
              <w:rPr>
                <w:b/>
                <w:bCs/>
                <w:sz w:val="24"/>
                <w:szCs w:val="24"/>
              </w:rPr>
            </w:pPr>
            <w:r>
              <w:rPr>
                <w:b/>
                <w:bCs/>
                <w:sz w:val="24"/>
                <w:szCs w:val="24"/>
              </w:rPr>
              <w:t>Wavelength</w:t>
            </w:r>
            <w:r w:rsidR="00F707C4">
              <w:rPr>
                <w:b/>
                <w:bCs/>
                <w:sz w:val="24"/>
                <w:szCs w:val="24"/>
              </w:rPr>
              <w:t xml:space="preserve"> nm</w:t>
            </w:r>
          </w:p>
        </w:tc>
        <w:tc>
          <w:tcPr>
            <w:tcW w:w="3081" w:type="dxa"/>
            <w:vAlign w:val="center"/>
          </w:tcPr>
          <w:p w14:paraId="364844F6" w14:textId="130A83D9" w:rsidR="009C2A60" w:rsidRPr="009C2A60" w:rsidRDefault="00F16C3A" w:rsidP="009C2A60">
            <w:pPr>
              <w:jc w:val="center"/>
              <w:rPr>
                <w:b/>
                <w:bCs/>
                <w:sz w:val="24"/>
                <w:szCs w:val="24"/>
              </w:rPr>
            </w:pPr>
            <w:r>
              <w:rPr>
                <w:b/>
                <w:bCs/>
                <w:sz w:val="24"/>
                <w:szCs w:val="24"/>
              </w:rPr>
              <w:t>Exposure</w:t>
            </w:r>
            <w:r w:rsidR="00F707C4">
              <w:rPr>
                <w:b/>
                <w:bCs/>
                <w:sz w:val="24"/>
                <w:szCs w:val="24"/>
              </w:rPr>
              <w:t xml:space="preserve"> ms</w:t>
            </w:r>
          </w:p>
        </w:tc>
      </w:tr>
      <w:tr w:rsidR="009C2A60" w14:paraId="5EC833EF" w14:textId="77777777" w:rsidTr="009C2A60">
        <w:tc>
          <w:tcPr>
            <w:tcW w:w="3080" w:type="dxa"/>
          </w:tcPr>
          <w:p w14:paraId="119BC94D" w14:textId="3F80030F" w:rsidR="009C2A60" w:rsidRDefault="00443940" w:rsidP="00443940">
            <w:pPr>
              <w:jc w:val="center"/>
            </w:pPr>
            <w:r>
              <w:t>Vimentin</w:t>
            </w:r>
          </w:p>
        </w:tc>
        <w:tc>
          <w:tcPr>
            <w:tcW w:w="3081" w:type="dxa"/>
          </w:tcPr>
          <w:p w14:paraId="208646B9" w14:textId="51AA3FE2" w:rsidR="009C2A60" w:rsidRDefault="00FE4936" w:rsidP="00FE4936">
            <w:pPr>
              <w:jc w:val="center"/>
            </w:pPr>
            <w:r>
              <w:t>488</w:t>
            </w:r>
          </w:p>
        </w:tc>
        <w:tc>
          <w:tcPr>
            <w:tcW w:w="3081" w:type="dxa"/>
          </w:tcPr>
          <w:p w14:paraId="5A53E014" w14:textId="337E399E" w:rsidR="009C2A60" w:rsidRDefault="00F707C4" w:rsidP="00F707C4">
            <w:pPr>
              <w:jc w:val="center"/>
            </w:pPr>
            <w:r>
              <w:t>300</w:t>
            </w:r>
          </w:p>
        </w:tc>
      </w:tr>
      <w:tr w:rsidR="009C2A60" w14:paraId="004ABE5C" w14:textId="77777777" w:rsidTr="009C2A60">
        <w:tc>
          <w:tcPr>
            <w:tcW w:w="3080" w:type="dxa"/>
          </w:tcPr>
          <w:p w14:paraId="417D3B67" w14:textId="6EDAD59F" w:rsidR="009C2A60" w:rsidRDefault="00443940" w:rsidP="00443940">
            <w:pPr>
              <w:jc w:val="center"/>
            </w:pPr>
            <w:r>
              <w:t>S100B</w:t>
            </w:r>
          </w:p>
        </w:tc>
        <w:tc>
          <w:tcPr>
            <w:tcW w:w="3081" w:type="dxa"/>
          </w:tcPr>
          <w:p w14:paraId="7C5CC79D" w14:textId="13B851F2" w:rsidR="009C2A60" w:rsidRDefault="00FE4936" w:rsidP="00FE4936">
            <w:pPr>
              <w:jc w:val="center"/>
            </w:pPr>
            <w:r>
              <w:t>488</w:t>
            </w:r>
          </w:p>
        </w:tc>
        <w:tc>
          <w:tcPr>
            <w:tcW w:w="3081" w:type="dxa"/>
          </w:tcPr>
          <w:p w14:paraId="0E62D324" w14:textId="157DE8DA" w:rsidR="009C2A60" w:rsidRDefault="00F707C4" w:rsidP="00F707C4">
            <w:pPr>
              <w:jc w:val="center"/>
            </w:pPr>
            <w:r>
              <w:t>300</w:t>
            </w:r>
          </w:p>
        </w:tc>
      </w:tr>
      <w:tr w:rsidR="009C2A60" w14:paraId="114744E5" w14:textId="77777777" w:rsidTr="009C2A60">
        <w:tc>
          <w:tcPr>
            <w:tcW w:w="3080" w:type="dxa"/>
          </w:tcPr>
          <w:p w14:paraId="4E757E54" w14:textId="2C8A7A7B" w:rsidR="009C2A60" w:rsidRDefault="00443940" w:rsidP="00443940">
            <w:pPr>
              <w:jc w:val="center"/>
            </w:pPr>
            <w:r>
              <w:t>CellROX</w:t>
            </w:r>
          </w:p>
        </w:tc>
        <w:tc>
          <w:tcPr>
            <w:tcW w:w="3081" w:type="dxa"/>
          </w:tcPr>
          <w:p w14:paraId="0C7C2B1F" w14:textId="6E0E0A93" w:rsidR="009C2A60" w:rsidRDefault="00FE4936" w:rsidP="00FE4936">
            <w:pPr>
              <w:jc w:val="center"/>
            </w:pPr>
            <w:r>
              <w:t>488</w:t>
            </w:r>
          </w:p>
        </w:tc>
        <w:tc>
          <w:tcPr>
            <w:tcW w:w="3081" w:type="dxa"/>
          </w:tcPr>
          <w:p w14:paraId="128EF485" w14:textId="44400AF5" w:rsidR="009C2A60" w:rsidRDefault="00F707C4" w:rsidP="00F707C4">
            <w:pPr>
              <w:jc w:val="center"/>
            </w:pPr>
            <w:r>
              <w:t>300</w:t>
            </w:r>
          </w:p>
        </w:tc>
      </w:tr>
      <w:tr w:rsidR="009C2A60" w14:paraId="3FF1BDDF" w14:textId="77777777" w:rsidTr="009C2A60">
        <w:tc>
          <w:tcPr>
            <w:tcW w:w="3080" w:type="dxa"/>
          </w:tcPr>
          <w:p w14:paraId="762ACFF8" w14:textId="508EC1D8" w:rsidR="009C2A60" w:rsidRDefault="00FE4936" w:rsidP="00443940">
            <w:pPr>
              <w:jc w:val="center"/>
            </w:pPr>
            <w:r>
              <w:t>DAPI</w:t>
            </w:r>
          </w:p>
        </w:tc>
        <w:tc>
          <w:tcPr>
            <w:tcW w:w="3081" w:type="dxa"/>
          </w:tcPr>
          <w:p w14:paraId="63794192" w14:textId="53A0D863" w:rsidR="009C2A60" w:rsidRDefault="00F707C4" w:rsidP="00FE4936">
            <w:pPr>
              <w:jc w:val="center"/>
            </w:pPr>
            <w:r>
              <w:t>461</w:t>
            </w:r>
          </w:p>
        </w:tc>
        <w:tc>
          <w:tcPr>
            <w:tcW w:w="3081" w:type="dxa"/>
          </w:tcPr>
          <w:p w14:paraId="3DD56E35" w14:textId="4E87F69B" w:rsidR="009C2A60" w:rsidRDefault="00F707C4" w:rsidP="00F707C4">
            <w:pPr>
              <w:jc w:val="center"/>
            </w:pPr>
            <w:r>
              <w:t>240</w:t>
            </w:r>
          </w:p>
        </w:tc>
      </w:tr>
    </w:tbl>
    <w:p w14:paraId="56A069A1" w14:textId="77777777" w:rsidR="00CA3D8A" w:rsidRDefault="00CA3D8A" w:rsidP="009C7D56"/>
    <w:p w14:paraId="2022ABB0" w14:textId="297355DD" w:rsidR="00E8460B" w:rsidRDefault="001934A6" w:rsidP="001934A6">
      <w:pPr>
        <w:keepNext/>
        <w:spacing w:after="0"/>
      </w:pPr>
      <w:r w:rsidRPr="001934A6">
        <w:rPr>
          <w:noProof/>
        </w:rPr>
        <w:drawing>
          <wp:inline distT="0" distB="0" distL="0" distR="0" wp14:anchorId="48B1D886" wp14:editId="769F6C25">
            <wp:extent cx="5731510" cy="2403475"/>
            <wp:effectExtent l="0" t="0" r="0" b="0"/>
            <wp:docPr id="17" name="Picture 3" descr="A collage of images of a plane&#10;&#10;Description automatically generated with medium confidence">
              <a:extLst xmlns:a="http://schemas.openxmlformats.org/drawingml/2006/main">
                <a:ext uri="{FF2B5EF4-FFF2-40B4-BE49-F238E27FC236}">
                  <a16:creationId xmlns:a16="http://schemas.microsoft.com/office/drawing/2014/main" id="{6931B7FA-5C8B-1106-8635-9F5E75FE8B4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3" descr="A collage of images of a plane&#10;&#10;Description automatically generated with medium confidence">
                      <a:extLst>
                        <a:ext uri="{FF2B5EF4-FFF2-40B4-BE49-F238E27FC236}">
                          <a16:creationId xmlns:a16="http://schemas.microsoft.com/office/drawing/2014/main" id="{6931B7FA-5C8B-1106-8635-9F5E75FE8B41}"/>
                        </a:ext>
                      </a:extLst>
                    </pic:cNvPr>
                    <pic:cNvPicPr>
                      <a:picLocks noChangeAspect="1"/>
                    </pic:cNvPicPr>
                  </pic:nvPicPr>
                  <pic:blipFill>
                    <a:blip r:embed="rId8"/>
                    <a:stretch>
                      <a:fillRect/>
                    </a:stretch>
                  </pic:blipFill>
                  <pic:spPr>
                    <a:xfrm>
                      <a:off x="0" y="0"/>
                      <a:ext cx="5731510" cy="2403475"/>
                    </a:xfrm>
                    <a:prstGeom prst="rect">
                      <a:avLst/>
                    </a:prstGeom>
                  </pic:spPr>
                </pic:pic>
              </a:graphicData>
            </a:graphic>
          </wp:inline>
        </w:drawing>
      </w:r>
    </w:p>
    <w:p w14:paraId="5B594112" w14:textId="377A3B1D" w:rsidR="00D0492B" w:rsidRDefault="00895C8A" w:rsidP="00E8460B">
      <w:pPr>
        <w:pStyle w:val="Caption"/>
      </w:pPr>
      <w:r>
        <w:rPr>
          <w:b/>
          <w:bCs/>
          <w:kern w:val="0"/>
          <w14:ligatures w14:val="none"/>
        </w:rPr>
        <w:t>Fig.</w:t>
      </w:r>
      <w:r w:rsidRPr="00895C8A">
        <w:rPr>
          <w:b/>
          <w:bCs/>
          <w:kern w:val="0"/>
          <w14:ligatures w14:val="none"/>
        </w:rPr>
        <w:t>S</w:t>
      </w:r>
      <w:r w:rsidR="00E8460B" w:rsidRPr="00895C8A">
        <w:rPr>
          <w:b/>
          <w:bCs/>
        </w:rPr>
        <w:t>1</w:t>
      </w:r>
      <w:r w:rsidR="00E8460B">
        <w:t xml:space="preserve"> </w:t>
      </w:r>
      <w:r w:rsidR="00B834B5">
        <w:t>(A) Gating strategy for the astrocytes.</w:t>
      </w:r>
      <w:r w:rsidR="00054FB2">
        <w:t xml:space="preserve"> (B) </w:t>
      </w:r>
      <w:r w:rsidR="00D65863">
        <w:t>Cell Annexin V response measured for cell apoptosis. Q</w:t>
      </w:r>
      <w:r w:rsidR="00200DF1">
        <w:t>1 necrotic cells, Q2 late apoptotic cells, Q3</w:t>
      </w:r>
      <w:r w:rsidR="00AC58D3">
        <w:t xml:space="preserve"> </w:t>
      </w:r>
      <w:r w:rsidR="00A5636D">
        <w:t>normal cells, Q4 early apoptotic cells. Astrocytes showed no difference in all percentages of LMC media</w:t>
      </w:r>
      <w:r w:rsidR="00131BF6">
        <w:t xml:space="preserve"> in comparison to the 0% LMC media control</w:t>
      </w:r>
    </w:p>
    <w:p w14:paraId="6B8EDC2F" w14:textId="77777777" w:rsidR="00131BF6" w:rsidRDefault="00131BF6" w:rsidP="00131BF6"/>
    <w:p w14:paraId="14838D00" w14:textId="77777777" w:rsidR="00DD45B3" w:rsidRDefault="00176320" w:rsidP="00DD45B3">
      <w:pPr>
        <w:keepNext/>
        <w:spacing w:after="0"/>
      </w:pPr>
      <w:r w:rsidRPr="00176320">
        <w:rPr>
          <w:noProof/>
        </w:rPr>
        <w:drawing>
          <wp:inline distT="0" distB="0" distL="0" distR="0" wp14:anchorId="627FA0EE" wp14:editId="35D65A2F">
            <wp:extent cx="5731510" cy="5105400"/>
            <wp:effectExtent l="0" t="0" r="0" b="0"/>
            <wp:docPr id="18" name="Picture 1" descr="A plastic container with clear plastic containers&#10;&#10;Description automatically generated with medium confidence">
              <a:extLst xmlns:a="http://schemas.openxmlformats.org/drawingml/2006/main">
                <a:ext uri="{FF2B5EF4-FFF2-40B4-BE49-F238E27FC236}">
                  <a16:creationId xmlns:a16="http://schemas.microsoft.com/office/drawing/2014/main" id="{00F21BC9-A3D8-E128-1090-6EE26CECE8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 descr="A plastic container with clear plastic containers&#10;&#10;Description automatically generated with medium confidence">
                      <a:extLst>
                        <a:ext uri="{FF2B5EF4-FFF2-40B4-BE49-F238E27FC236}">
                          <a16:creationId xmlns:a16="http://schemas.microsoft.com/office/drawing/2014/main" id="{00F21BC9-A3D8-E128-1090-6EE26CECE8A1}"/>
                        </a:ext>
                      </a:extLst>
                    </pic:cNvPr>
                    <pic:cNvPicPr>
                      <a:picLocks noChangeAspect="1"/>
                    </pic:cNvPicPr>
                  </pic:nvPicPr>
                  <pic:blipFill rotWithShape="1">
                    <a:blip r:embed="rId9"/>
                    <a:srcRect b="2261"/>
                    <a:stretch/>
                  </pic:blipFill>
                  <pic:spPr bwMode="auto">
                    <a:xfrm>
                      <a:off x="0" y="0"/>
                      <a:ext cx="5731510" cy="5105400"/>
                    </a:xfrm>
                    <a:prstGeom prst="rect">
                      <a:avLst/>
                    </a:prstGeom>
                    <a:ln>
                      <a:noFill/>
                    </a:ln>
                    <a:extLst>
                      <a:ext uri="{53640926-AAD7-44D8-BBD7-CCE9431645EC}">
                        <a14:shadowObscured xmlns:a14="http://schemas.microsoft.com/office/drawing/2010/main"/>
                      </a:ext>
                    </a:extLst>
                  </pic:spPr>
                </pic:pic>
              </a:graphicData>
            </a:graphic>
          </wp:inline>
        </w:drawing>
      </w:r>
    </w:p>
    <w:p w14:paraId="22E1C6FC" w14:textId="26D47249" w:rsidR="00131BF6" w:rsidRDefault="00895C8A" w:rsidP="00DD45B3">
      <w:pPr>
        <w:pStyle w:val="Caption"/>
      </w:pPr>
      <w:r>
        <w:rPr>
          <w:b/>
          <w:bCs/>
          <w:kern w:val="0"/>
          <w14:ligatures w14:val="none"/>
        </w:rPr>
        <w:t>Fig.</w:t>
      </w:r>
      <w:r w:rsidRPr="00895C8A">
        <w:rPr>
          <w:b/>
          <w:bCs/>
          <w:kern w:val="0"/>
          <w14:ligatures w14:val="none"/>
        </w:rPr>
        <w:t>S</w:t>
      </w:r>
      <w:r w:rsidR="00DD45B3" w:rsidRPr="00895C8A">
        <w:rPr>
          <w:b/>
          <w:bCs/>
        </w:rPr>
        <w:t>2</w:t>
      </w:r>
      <w:r w:rsidR="00DD45B3">
        <w:t xml:space="preserve"> ELISA kit </w:t>
      </w:r>
      <w:r w:rsidR="0078220A">
        <w:t>to test presence of A</w:t>
      </w:r>
      <w:r w:rsidR="0078220A">
        <w:rPr>
          <w:rFonts w:cs="Times New Roman"/>
        </w:rPr>
        <w:t xml:space="preserve">β in the LMC conditioned media. </w:t>
      </w:r>
      <w:r w:rsidR="00816EB4">
        <w:rPr>
          <w:rFonts w:cs="Times New Roman"/>
        </w:rPr>
        <w:t xml:space="preserve">Positive AB control stained blue. While the LMC conditioned media did not stain indicating no </w:t>
      </w:r>
      <w:r w:rsidR="00816EB4">
        <w:t>A</w:t>
      </w:r>
      <w:r w:rsidR="00816EB4">
        <w:rPr>
          <w:rFonts w:cs="Times New Roman"/>
        </w:rPr>
        <w:t>β</w:t>
      </w:r>
      <w:r w:rsidR="00236D8E">
        <w:rPr>
          <w:rFonts w:cs="Times New Roman"/>
        </w:rPr>
        <w:t xml:space="preserve"> presence in the media</w:t>
      </w:r>
    </w:p>
    <w:p w14:paraId="15E1CAA5" w14:textId="77777777" w:rsidR="00DD45B3" w:rsidRPr="00DD45B3" w:rsidRDefault="00DD45B3" w:rsidP="00DD45B3"/>
    <w:p w14:paraId="71C53ACB" w14:textId="011AFA97" w:rsidR="008F2CEE" w:rsidRDefault="00790DBD" w:rsidP="00790DBD">
      <w:pPr>
        <w:keepNext/>
      </w:pPr>
      <w:r w:rsidRPr="00790DBD">
        <w:rPr>
          <w:noProof/>
        </w:rPr>
        <w:lastRenderedPageBreak/>
        <w:drawing>
          <wp:inline distT="0" distB="0" distL="0" distR="0" wp14:anchorId="030C1BFF" wp14:editId="13B870CF">
            <wp:extent cx="5731510" cy="2407285"/>
            <wp:effectExtent l="0" t="0" r="0" b="0"/>
            <wp:docPr id="15" name="Picture 1" descr="A screenshot of a computer&#10;&#10;Description automatically generated">
              <a:extLst xmlns:a="http://schemas.openxmlformats.org/drawingml/2006/main">
                <a:ext uri="{FF2B5EF4-FFF2-40B4-BE49-F238E27FC236}">
                  <a16:creationId xmlns:a16="http://schemas.microsoft.com/office/drawing/2014/main" id="{CAB5B895-1BBA-6B41-7019-7E5E45750C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 descr="A screenshot of a computer&#10;&#10;Description automatically generated">
                      <a:extLst>
                        <a:ext uri="{FF2B5EF4-FFF2-40B4-BE49-F238E27FC236}">
                          <a16:creationId xmlns:a16="http://schemas.microsoft.com/office/drawing/2014/main" id="{CAB5B895-1BBA-6B41-7019-7E5E45750C7A}"/>
                        </a:ext>
                      </a:extLst>
                    </pic:cNvPr>
                    <pic:cNvPicPr>
                      <a:picLocks noChangeAspect="1"/>
                    </pic:cNvPicPr>
                  </pic:nvPicPr>
                  <pic:blipFill>
                    <a:blip r:embed="rId10"/>
                    <a:stretch>
                      <a:fillRect/>
                    </a:stretch>
                  </pic:blipFill>
                  <pic:spPr>
                    <a:xfrm>
                      <a:off x="0" y="0"/>
                      <a:ext cx="5731510" cy="2407285"/>
                    </a:xfrm>
                    <a:prstGeom prst="rect">
                      <a:avLst/>
                    </a:prstGeom>
                  </pic:spPr>
                </pic:pic>
              </a:graphicData>
            </a:graphic>
          </wp:inline>
        </w:drawing>
      </w:r>
    </w:p>
    <w:p w14:paraId="273E3E6B" w14:textId="54CD289E" w:rsidR="00F16C3A" w:rsidRDefault="00895C8A" w:rsidP="008F2CEE">
      <w:pPr>
        <w:pStyle w:val="Caption"/>
      </w:pPr>
      <w:r>
        <w:rPr>
          <w:b/>
          <w:bCs/>
          <w:kern w:val="0"/>
          <w14:ligatures w14:val="none"/>
        </w:rPr>
        <w:t>Fig.</w:t>
      </w:r>
      <w:r w:rsidRPr="00895C8A">
        <w:rPr>
          <w:b/>
          <w:bCs/>
          <w:kern w:val="0"/>
          <w14:ligatures w14:val="none"/>
        </w:rPr>
        <w:t>S</w:t>
      </w:r>
      <w:r w:rsidR="00D0492B" w:rsidRPr="00895C8A">
        <w:rPr>
          <w:b/>
          <w:bCs/>
        </w:rPr>
        <w:t>3</w:t>
      </w:r>
      <w:r w:rsidR="008F2CEE">
        <w:t xml:space="preserve"> </w:t>
      </w:r>
      <w:r w:rsidR="00E34B83">
        <w:t>Overview on the plate layout of the RT</w:t>
      </w:r>
      <w:r w:rsidR="00E34B83">
        <w:rPr>
          <w:vertAlign w:val="superscript"/>
        </w:rPr>
        <w:t>2</w:t>
      </w:r>
      <w:r w:rsidR="00E34B83">
        <w:t>-Profiler assays</w:t>
      </w:r>
    </w:p>
    <w:p w14:paraId="29D2064F" w14:textId="77777777" w:rsidR="00D832D4" w:rsidRDefault="00D832D4" w:rsidP="00D832D4">
      <w:pPr>
        <w:keepNext/>
      </w:pPr>
      <w:r w:rsidRPr="00D832D4">
        <w:rPr>
          <w:noProof/>
        </w:rPr>
        <w:drawing>
          <wp:inline distT="0" distB="0" distL="0" distR="0" wp14:anchorId="0C264664" wp14:editId="67F3F1E5">
            <wp:extent cx="5731510" cy="3044190"/>
            <wp:effectExtent l="0" t="0" r="0" b="0"/>
            <wp:docPr id="5" name="Picture 1" descr="A screenshot of a computer screen&#10;&#10;Description automatically generated">
              <a:extLst xmlns:a="http://schemas.openxmlformats.org/drawingml/2006/main">
                <a:ext uri="{FF2B5EF4-FFF2-40B4-BE49-F238E27FC236}">
                  <a16:creationId xmlns:a16="http://schemas.microsoft.com/office/drawing/2014/main" id="{6DBFD139-C15A-B855-C037-882E9A6383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A screenshot of a computer screen&#10;&#10;Description automatically generated">
                      <a:extLst>
                        <a:ext uri="{FF2B5EF4-FFF2-40B4-BE49-F238E27FC236}">
                          <a16:creationId xmlns:a16="http://schemas.microsoft.com/office/drawing/2014/main" id="{6DBFD139-C15A-B855-C037-882E9A63838C}"/>
                        </a:ext>
                      </a:extLst>
                    </pic:cNvPr>
                    <pic:cNvPicPr>
                      <a:picLocks noChangeAspect="1"/>
                    </pic:cNvPicPr>
                  </pic:nvPicPr>
                  <pic:blipFill>
                    <a:blip r:embed="rId11"/>
                    <a:stretch>
                      <a:fillRect/>
                    </a:stretch>
                  </pic:blipFill>
                  <pic:spPr>
                    <a:xfrm>
                      <a:off x="0" y="0"/>
                      <a:ext cx="5731510" cy="3044190"/>
                    </a:xfrm>
                    <a:prstGeom prst="rect">
                      <a:avLst/>
                    </a:prstGeom>
                  </pic:spPr>
                </pic:pic>
              </a:graphicData>
            </a:graphic>
          </wp:inline>
        </w:drawing>
      </w:r>
    </w:p>
    <w:p w14:paraId="396B6595" w14:textId="65238E42" w:rsidR="00E34B83" w:rsidRPr="00325C6A" w:rsidRDefault="00895C8A" w:rsidP="00D832D4">
      <w:pPr>
        <w:pStyle w:val="Caption"/>
      </w:pPr>
      <w:r w:rsidRPr="009E23D6">
        <w:rPr>
          <w:b/>
          <w:bCs/>
          <w:kern w:val="0"/>
          <w:lang w:val="fr-FR"/>
          <w14:ligatures w14:val="none"/>
        </w:rPr>
        <w:t>Fig.S</w:t>
      </w:r>
      <w:r w:rsidR="00D832D4" w:rsidRPr="00895C8A">
        <w:rPr>
          <w:b/>
          <w:bCs/>
          <w:lang w:val="fr-FR"/>
        </w:rPr>
        <w:t>4</w:t>
      </w:r>
      <w:r w:rsidR="00D832D4" w:rsidRPr="00325C6A">
        <w:rPr>
          <w:lang w:val="fr-FR"/>
        </w:rPr>
        <w:t xml:space="preserve"> (A) </w:t>
      </w:r>
      <w:proofErr w:type="spellStart"/>
      <w:r w:rsidR="00D832D4" w:rsidRPr="00325C6A">
        <w:rPr>
          <w:lang w:val="fr-FR"/>
        </w:rPr>
        <w:t>mRNA</w:t>
      </w:r>
      <w:proofErr w:type="spellEnd"/>
      <w:r w:rsidR="00D832D4" w:rsidRPr="00325C6A">
        <w:rPr>
          <w:lang w:val="fr-FR"/>
        </w:rPr>
        <w:t xml:space="preserve"> </w:t>
      </w:r>
      <w:proofErr w:type="spellStart"/>
      <w:r w:rsidR="00D832D4" w:rsidRPr="00325C6A">
        <w:rPr>
          <w:lang w:val="fr-FR"/>
        </w:rPr>
        <w:t>qPCR</w:t>
      </w:r>
      <w:proofErr w:type="spellEnd"/>
      <w:r w:rsidR="00D832D4" w:rsidRPr="00325C6A">
        <w:rPr>
          <w:lang w:val="fr-FR"/>
        </w:rPr>
        <w:t xml:space="preserve"> values. (B) </w:t>
      </w:r>
      <w:proofErr w:type="spellStart"/>
      <w:r w:rsidR="00325C6A" w:rsidRPr="00325C6A">
        <w:rPr>
          <w:lang w:val="fr-FR"/>
        </w:rPr>
        <w:t>Lumin</w:t>
      </w:r>
      <w:r w:rsidR="00325C6A">
        <w:rPr>
          <w:lang w:val="fr-FR"/>
        </w:rPr>
        <w:t>ex</w:t>
      </w:r>
      <w:proofErr w:type="spellEnd"/>
      <w:r w:rsidR="00325C6A">
        <w:rPr>
          <w:lang w:val="fr-FR"/>
        </w:rPr>
        <w:t xml:space="preserve"> plate values. </w:t>
      </w:r>
      <w:r w:rsidR="00325C6A" w:rsidRPr="00325C6A">
        <w:t>Green highlights outliers identified a</w:t>
      </w:r>
      <w:r w:rsidR="00325C6A">
        <w:t>nd removed before analysis</w:t>
      </w:r>
    </w:p>
    <w:p w14:paraId="14A34FC7" w14:textId="77777777" w:rsidR="00E34B83" w:rsidRPr="00325C6A" w:rsidRDefault="00E34B83" w:rsidP="00E34B83"/>
    <w:sectPr w:rsidR="00E34B83" w:rsidRPr="00325C6A" w:rsidSect="00275386">
      <w:footerReference w:type="default" r:id="rId12"/>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69897D" w14:textId="77777777" w:rsidR="00275386" w:rsidRDefault="00275386" w:rsidP="003D660F">
      <w:pPr>
        <w:spacing w:after="0" w:line="240" w:lineRule="auto"/>
      </w:pPr>
      <w:r>
        <w:separator/>
      </w:r>
    </w:p>
  </w:endnote>
  <w:endnote w:type="continuationSeparator" w:id="0">
    <w:p w14:paraId="6BBCA0B9" w14:textId="77777777" w:rsidR="00275386" w:rsidRDefault="00275386" w:rsidP="003D66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5783070"/>
      <w:docPartObj>
        <w:docPartGallery w:val="Page Numbers (Bottom of Page)"/>
        <w:docPartUnique/>
      </w:docPartObj>
    </w:sdtPr>
    <w:sdtEndPr>
      <w:rPr>
        <w:noProof/>
      </w:rPr>
    </w:sdtEndPr>
    <w:sdtContent>
      <w:p w14:paraId="5AC3DCDA" w14:textId="3F8BC0CB" w:rsidR="003D660F" w:rsidRDefault="003D660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9DE7E71" w14:textId="77777777" w:rsidR="003D660F" w:rsidRDefault="003D66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63A65" w14:textId="77777777" w:rsidR="00275386" w:rsidRDefault="00275386" w:rsidP="003D660F">
      <w:pPr>
        <w:spacing w:after="0" w:line="240" w:lineRule="auto"/>
      </w:pPr>
      <w:r>
        <w:separator/>
      </w:r>
    </w:p>
  </w:footnote>
  <w:footnote w:type="continuationSeparator" w:id="0">
    <w:p w14:paraId="0C8372A3" w14:textId="77777777" w:rsidR="00275386" w:rsidRDefault="00275386" w:rsidP="003D66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6C27CF"/>
    <w:multiLevelType w:val="hybridMultilevel"/>
    <w:tmpl w:val="C11AA33C"/>
    <w:lvl w:ilvl="0" w:tplc="87986EDE">
      <w:numFmt w:val="bullet"/>
      <w:lvlText w:val="-"/>
      <w:lvlJc w:val="left"/>
      <w:pPr>
        <w:ind w:left="720" w:hanging="360"/>
      </w:pPr>
      <w:rPr>
        <w:rFonts w:ascii="Times New Roman" w:eastAsiaTheme="minorHAnsi" w:hAnsi="Times New Roman" w:cs="Times New Roman"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52AF44DC"/>
    <w:multiLevelType w:val="hybridMultilevel"/>
    <w:tmpl w:val="95848B42"/>
    <w:lvl w:ilvl="0" w:tplc="389C467C">
      <w:numFmt w:val="bullet"/>
      <w:lvlText w:val="-"/>
      <w:lvlJc w:val="left"/>
      <w:pPr>
        <w:ind w:left="720" w:hanging="360"/>
      </w:pPr>
      <w:rPr>
        <w:rFonts w:ascii="Times New Roman" w:eastAsiaTheme="minorHAns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68317621"/>
    <w:multiLevelType w:val="hybridMultilevel"/>
    <w:tmpl w:val="75D85D28"/>
    <w:lvl w:ilvl="0" w:tplc="608C4160">
      <w:start w:val="5"/>
      <w:numFmt w:val="bullet"/>
      <w:lvlText w:val="-"/>
      <w:lvlJc w:val="left"/>
      <w:pPr>
        <w:ind w:left="720" w:hanging="360"/>
      </w:pPr>
      <w:rPr>
        <w:rFonts w:ascii="Times New Roman" w:eastAsiaTheme="minorHAns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7CC272A9"/>
    <w:multiLevelType w:val="multilevel"/>
    <w:tmpl w:val="24120F0C"/>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885025477">
    <w:abstractNumId w:val="1"/>
  </w:num>
  <w:num w:numId="2" w16cid:durableId="1282960799">
    <w:abstractNumId w:val="0"/>
  </w:num>
  <w:num w:numId="3" w16cid:durableId="382749952">
    <w:abstractNumId w:val="2"/>
  </w:num>
  <w:num w:numId="4" w16cid:durableId="12106131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17163"/>
    <w:rsid w:val="000028DC"/>
    <w:rsid w:val="00003646"/>
    <w:rsid w:val="00003848"/>
    <w:rsid w:val="00003E9E"/>
    <w:rsid w:val="0000466C"/>
    <w:rsid w:val="000055E0"/>
    <w:rsid w:val="000075FA"/>
    <w:rsid w:val="00007901"/>
    <w:rsid w:val="00007C0A"/>
    <w:rsid w:val="0001037A"/>
    <w:rsid w:val="0001054B"/>
    <w:rsid w:val="00010A17"/>
    <w:rsid w:val="00010AF8"/>
    <w:rsid w:val="00011497"/>
    <w:rsid w:val="00013BDF"/>
    <w:rsid w:val="00013C52"/>
    <w:rsid w:val="00014494"/>
    <w:rsid w:val="00014A0F"/>
    <w:rsid w:val="00014EE0"/>
    <w:rsid w:val="0001526F"/>
    <w:rsid w:val="00015729"/>
    <w:rsid w:val="00021E56"/>
    <w:rsid w:val="00021EC6"/>
    <w:rsid w:val="000223AE"/>
    <w:rsid w:val="000234E2"/>
    <w:rsid w:val="00023A34"/>
    <w:rsid w:val="0002554F"/>
    <w:rsid w:val="0002571B"/>
    <w:rsid w:val="00031220"/>
    <w:rsid w:val="000329CD"/>
    <w:rsid w:val="00032A04"/>
    <w:rsid w:val="00032FC4"/>
    <w:rsid w:val="00034332"/>
    <w:rsid w:val="0003466C"/>
    <w:rsid w:val="0003507C"/>
    <w:rsid w:val="000362A9"/>
    <w:rsid w:val="00036447"/>
    <w:rsid w:val="00036BD4"/>
    <w:rsid w:val="0004209D"/>
    <w:rsid w:val="0004443B"/>
    <w:rsid w:val="00044722"/>
    <w:rsid w:val="0005185E"/>
    <w:rsid w:val="00054FB2"/>
    <w:rsid w:val="00055297"/>
    <w:rsid w:val="00057452"/>
    <w:rsid w:val="0005794B"/>
    <w:rsid w:val="00057AA7"/>
    <w:rsid w:val="00057DDB"/>
    <w:rsid w:val="000602C2"/>
    <w:rsid w:val="00061286"/>
    <w:rsid w:val="0006128F"/>
    <w:rsid w:val="00062C9D"/>
    <w:rsid w:val="0006336B"/>
    <w:rsid w:val="00065B1F"/>
    <w:rsid w:val="000723A0"/>
    <w:rsid w:val="00073B21"/>
    <w:rsid w:val="0007569E"/>
    <w:rsid w:val="00075D71"/>
    <w:rsid w:val="0007664C"/>
    <w:rsid w:val="00076D5F"/>
    <w:rsid w:val="0008007F"/>
    <w:rsid w:val="0008112F"/>
    <w:rsid w:val="0008271D"/>
    <w:rsid w:val="000842EE"/>
    <w:rsid w:val="00086173"/>
    <w:rsid w:val="000864E5"/>
    <w:rsid w:val="00086A07"/>
    <w:rsid w:val="00086F62"/>
    <w:rsid w:val="00087894"/>
    <w:rsid w:val="00090A6D"/>
    <w:rsid w:val="000919D6"/>
    <w:rsid w:val="00091E77"/>
    <w:rsid w:val="00092B9D"/>
    <w:rsid w:val="000937F8"/>
    <w:rsid w:val="00096D5E"/>
    <w:rsid w:val="000A0C60"/>
    <w:rsid w:val="000A1666"/>
    <w:rsid w:val="000A1F56"/>
    <w:rsid w:val="000A47F1"/>
    <w:rsid w:val="000A5B6D"/>
    <w:rsid w:val="000A6D90"/>
    <w:rsid w:val="000B033D"/>
    <w:rsid w:val="000B2210"/>
    <w:rsid w:val="000B2F7D"/>
    <w:rsid w:val="000B3C73"/>
    <w:rsid w:val="000B6745"/>
    <w:rsid w:val="000B67D1"/>
    <w:rsid w:val="000B7A4D"/>
    <w:rsid w:val="000C0935"/>
    <w:rsid w:val="000C10E9"/>
    <w:rsid w:val="000C1B83"/>
    <w:rsid w:val="000C3C3D"/>
    <w:rsid w:val="000C7F72"/>
    <w:rsid w:val="000D0FDE"/>
    <w:rsid w:val="000D44B8"/>
    <w:rsid w:val="000D494A"/>
    <w:rsid w:val="000D4B9E"/>
    <w:rsid w:val="000D60C6"/>
    <w:rsid w:val="000D6348"/>
    <w:rsid w:val="000D71A7"/>
    <w:rsid w:val="000D75D9"/>
    <w:rsid w:val="000D7A31"/>
    <w:rsid w:val="000E111E"/>
    <w:rsid w:val="000E1801"/>
    <w:rsid w:val="000E267D"/>
    <w:rsid w:val="000E2B8F"/>
    <w:rsid w:val="000E34CB"/>
    <w:rsid w:val="000E35AB"/>
    <w:rsid w:val="000E3C10"/>
    <w:rsid w:val="000E632C"/>
    <w:rsid w:val="000E68D6"/>
    <w:rsid w:val="000E7F97"/>
    <w:rsid w:val="000F01E6"/>
    <w:rsid w:val="000F081B"/>
    <w:rsid w:val="000F1F0C"/>
    <w:rsid w:val="000F2C76"/>
    <w:rsid w:val="000F371D"/>
    <w:rsid w:val="000F414E"/>
    <w:rsid w:val="000F4DBC"/>
    <w:rsid w:val="000F542D"/>
    <w:rsid w:val="000F5A79"/>
    <w:rsid w:val="000F6DC8"/>
    <w:rsid w:val="00100027"/>
    <w:rsid w:val="00101EBB"/>
    <w:rsid w:val="00105DBD"/>
    <w:rsid w:val="0010634E"/>
    <w:rsid w:val="00106466"/>
    <w:rsid w:val="001117C7"/>
    <w:rsid w:val="00111B0D"/>
    <w:rsid w:val="0011231F"/>
    <w:rsid w:val="00113737"/>
    <w:rsid w:val="00114A55"/>
    <w:rsid w:val="00114F81"/>
    <w:rsid w:val="0011682B"/>
    <w:rsid w:val="00116C27"/>
    <w:rsid w:val="00117163"/>
    <w:rsid w:val="00121495"/>
    <w:rsid w:val="001217A3"/>
    <w:rsid w:val="00122395"/>
    <w:rsid w:val="00122FDC"/>
    <w:rsid w:val="00123331"/>
    <w:rsid w:val="00123AD0"/>
    <w:rsid w:val="00125565"/>
    <w:rsid w:val="00125EF8"/>
    <w:rsid w:val="00126378"/>
    <w:rsid w:val="0012706B"/>
    <w:rsid w:val="001271D0"/>
    <w:rsid w:val="00127651"/>
    <w:rsid w:val="001276D0"/>
    <w:rsid w:val="001305D8"/>
    <w:rsid w:val="00131421"/>
    <w:rsid w:val="00131BF6"/>
    <w:rsid w:val="0013248D"/>
    <w:rsid w:val="00133557"/>
    <w:rsid w:val="001361B6"/>
    <w:rsid w:val="00136735"/>
    <w:rsid w:val="0013721A"/>
    <w:rsid w:val="00137E27"/>
    <w:rsid w:val="0014020F"/>
    <w:rsid w:val="0014062F"/>
    <w:rsid w:val="00140B22"/>
    <w:rsid w:val="00141588"/>
    <w:rsid w:val="001428D2"/>
    <w:rsid w:val="00142957"/>
    <w:rsid w:val="001431E3"/>
    <w:rsid w:val="00143369"/>
    <w:rsid w:val="00143F50"/>
    <w:rsid w:val="00143FD7"/>
    <w:rsid w:val="00144328"/>
    <w:rsid w:val="00144A84"/>
    <w:rsid w:val="00144D87"/>
    <w:rsid w:val="00145488"/>
    <w:rsid w:val="001455C5"/>
    <w:rsid w:val="00145B8F"/>
    <w:rsid w:val="00146607"/>
    <w:rsid w:val="00146832"/>
    <w:rsid w:val="00146FCE"/>
    <w:rsid w:val="00147798"/>
    <w:rsid w:val="00152607"/>
    <w:rsid w:val="00152B96"/>
    <w:rsid w:val="00152FD3"/>
    <w:rsid w:val="0015637D"/>
    <w:rsid w:val="00156FB4"/>
    <w:rsid w:val="00157864"/>
    <w:rsid w:val="001608BB"/>
    <w:rsid w:val="00161141"/>
    <w:rsid w:val="00161A6D"/>
    <w:rsid w:val="001623DB"/>
    <w:rsid w:val="00163D7E"/>
    <w:rsid w:val="00164C76"/>
    <w:rsid w:val="0016593E"/>
    <w:rsid w:val="00166571"/>
    <w:rsid w:val="00167A79"/>
    <w:rsid w:val="00172918"/>
    <w:rsid w:val="00176320"/>
    <w:rsid w:val="00181B18"/>
    <w:rsid w:val="00182BB7"/>
    <w:rsid w:val="001831FB"/>
    <w:rsid w:val="00185440"/>
    <w:rsid w:val="00186754"/>
    <w:rsid w:val="001869A0"/>
    <w:rsid w:val="00187182"/>
    <w:rsid w:val="0018767F"/>
    <w:rsid w:val="00187EFA"/>
    <w:rsid w:val="0019038A"/>
    <w:rsid w:val="00192B4B"/>
    <w:rsid w:val="001934A6"/>
    <w:rsid w:val="00194C67"/>
    <w:rsid w:val="00195F59"/>
    <w:rsid w:val="001A1809"/>
    <w:rsid w:val="001A1CB3"/>
    <w:rsid w:val="001A1E48"/>
    <w:rsid w:val="001A28C1"/>
    <w:rsid w:val="001A41A7"/>
    <w:rsid w:val="001A42A9"/>
    <w:rsid w:val="001B01DB"/>
    <w:rsid w:val="001B0FB9"/>
    <w:rsid w:val="001B18B8"/>
    <w:rsid w:val="001B1BB8"/>
    <w:rsid w:val="001B2266"/>
    <w:rsid w:val="001B22DC"/>
    <w:rsid w:val="001B27CE"/>
    <w:rsid w:val="001B29C8"/>
    <w:rsid w:val="001B3751"/>
    <w:rsid w:val="001B4BA2"/>
    <w:rsid w:val="001B4E32"/>
    <w:rsid w:val="001B51A6"/>
    <w:rsid w:val="001B55B2"/>
    <w:rsid w:val="001B5BE6"/>
    <w:rsid w:val="001B5F94"/>
    <w:rsid w:val="001B71D1"/>
    <w:rsid w:val="001B7641"/>
    <w:rsid w:val="001C08EF"/>
    <w:rsid w:val="001C1AB4"/>
    <w:rsid w:val="001C2016"/>
    <w:rsid w:val="001C2809"/>
    <w:rsid w:val="001C5B5D"/>
    <w:rsid w:val="001C6186"/>
    <w:rsid w:val="001C6707"/>
    <w:rsid w:val="001D13A5"/>
    <w:rsid w:val="001D1887"/>
    <w:rsid w:val="001D191F"/>
    <w:rsid w:val="001D20E3"/>
    <w:rsid w:val="001D33AB"/>
    <w:rsid w:val="001D3D14"/>
    <w:rsid w:val="001D406B"/>
    <w:rsid w:val="001D6A96"/>
    <w:rsid w:val="001E0065"/>
    <w:rsid w:val="001E1151"/>
    <w:rsid w:val="001E173C"/>
    <w:rsid w:val="001E295C"/>
    <w:rsid w:val="001E2BFA"/>
    <w:rsid w:val="001E3212"/>
    <w:rsid w:val="001E4674"/>
    <w:rsid w:val="001E4D65"/>
    <w:rsid w:val="001E728A"/>
    <w:rsid w:val="001E7B17"/>
    <w:rsid w:val="001F1E68"/>
    <w:rsid w:val="001F37B5"/>
    <w:rsid w:val="001F3A87"/>
    <w:rsid w:val="001F4029"/>
    <w:rsid w:val="001F4086"/>
    <w:rsid w:val="001F5C82"/>
    <w:rsid w:val="001F5E68"/>
    <w:rsid w:val="001F61D5"/>
    <w:rsid w:val="001F723D"/>
    <w:rsid w:val="001F74E7"/>
    <w:rsid w:val="00200DF1"/>
    <w:rsid w:val="00201A9A"/>
    <w:rsid w:val="00203908"/>
    <w:rsid w:val="00204025"/>
    <w:rsid w:val="00204BC6"/>
    <w:rsid w:val="002052FC"/>
    <w:rsid w:val="002067FB"/>
    <w:rsid w:val="00207174"/>
    <w:rsid w:val="00207262"/>
    <w:rsid w:val="00210227"/>
    <w:rsid w:val="00210E16"/>
    <w:rsid w:val="00213648"/>
    <w:rsid w:val="00213D8C"/>
    <w:rsid w:val="00214040"/>
    <w:rsid w:val="002141BB"/>
    <w:rsid w:val="00215547"/>
    <w:rsid w:val="0021592C"/>
    <w:rsid w:val="00216A54"/>
    <w:rsid w:val="0021764A"/>
    <w:rsid w:val="002207EA"/>
    <w:rsid w:val="00221E5C"/>
    <w:rsid w:val="002220F6"/>
    <w:rsid w:val="0022369E"/>
    <w:rsid w:val="00223BF4"/>
    <w:rsid w:val="00223C5A"/>
    <w:rsid w:val="0022468C"/>
    <w:rsid w:val="00224988"/>
    <w:rsid w:val="00224AC3"/>
    <w:rsid w:val="0022504C"/>
    <w:rsid w:val="0022745C"/>
    <w:rsid w:val="002309C3"/>
    <w:rsid w:val="00230C99"/>
    <w:rsid w:val="00230F67"/>
    <w:rsid w:val="00231DB0"/>
    <w:rsid w:val="0023342C"/>
    <w:rsid w:val="00234F31"/>
    <w:rsid w:val="00234FB5"/>
    <w:rsid w:val="00235349"/>
    <w:rsid w:val="00236840"/>
    <w:rsid w:val="00236B09"/>
    <w:rsid w:val="00236D8E"/>
    <w:rsid w:val="00237A85"/>
    <w:rsid w:val="00237E05"/>
    <w:rsid w:val="00240858"/>
    <w:rsid w:val="00241765"/>
    <w:rsid w:val="0024203D"/>
    <w:rsid w:val="00242A32"/>
    <w:rsid w:val="00244E8A"/>
    <w:rsid w:val="00250218"/>
    <w:rsid w:val="00253FED"/>
    <w:rsid w:val="002546B9"/>
    <w:rsid w:val="002552F8"/>
    <w:rsid w:val="00256B74"/>
    <w:rsid w:val="00256F9D"/>
    <w:rsid w:val="00257716"/>
    <w:rsid w:val="002613B7"/>
    <w:rsid w:val="00261B28"/>
    <w:rsid w:val="00262750"/>
    <w:rsid w:val="00263E3C"/>
    <w:rsid w:val="00264D02"/>
    <w:rsid w:val="00264FD8"/>
    <w:rsid w:val="002661A0"/>
    <w:rsid w:val="00267AEF"/>
    <w:rsid w:val="00271A8F"/>
    <w:rsid w:val="00271F69"/>
    <w:rsid w:val="00273408"/>
    <w:rsid w:val="0027358A"/>
    <w:rsid w:val="002735B7"/>
    <w:rsid w:val="00275386"/>
    <w:rsid w:val="002755AA"/>
    <w:rsid w:val="0027641D"/>
    <w:rsid w:val="00276A8A"/>
    <w:rsid w:val="00277A2C"/>
    <w:rsid w:val="00281672"/>
    <w:rsid w:val="002827CB"/>
    <w:rsid w:val="00283DE4"/>
    <w:rsid w:val="00283FB5"/>
    <w:rsid w:val="0028504A"/>
    <w:rsid w:val="00285E34"/>
    <w:rsid w:val="00286E14"/>
    <w:rsid w:val="00287A5E"/>
    <w:rsid w:val="002901A6"/>
    <w:rsid w:val="0029204A"/>
    <w:rsid w:val="00293AC0"/>
    <w:rsid w:val="002941A0"/>
    <w:rsid w:val="00294ABA"/>
    <w:rsid w:val="00297404"/>
    <w:rsid w:val="002A0C3A"/>
    <w:rsid w:val="002A250F"/>
    <w:rsid w:val="002A4912"/>
    <w:rsid w:val="002A49E1"/>
    <w:rsid w:val="002A4B58"/>
    <w:rsid w:val="002A5278"/>
    <w:rsid w:val="002A7F32"/>
    <w:rsid w:val="002B034C"/>
    <w:rsid w:val="002B16CD"/>
    <w:rsid w:val="002B2585"/>
    <w:rsid w:val="002B4A26"/>
    <w:rsid w:val="002B5428"/>
    <w:rsid w:val="002B7CB1"/>
    <w:rsid w:val="002C0732"/>
    <w:rsid w:val="002C0D70"/>
    <w:rsid w:val="002C0F20"/>
    <w:rsid w:val="002C1F5F"/>
    <w:rsid w:val="002C2DEB"/>
    <w:rsid w:val="002C2F52"/>
    <w:rsid w:val="002C3436"/>
    <w:rsid w:val="002C4625"/>
    <w:rsid w:val="002C5626"/>
    <w:rsid w:val="002C6BC3"/>
    <w:rsid w:val="002D09EE"/>
    <w:rsid w:val="002D1296"/>
    <w:rsid w:val="002D1D1F"/>
    <w:rsid w:val="002D1E62"/>
    <w:rsid w:val="002D5907"/>
    <w:rsid w:val="002D7E90"/>
    <w:rsid w:val="002E0240"/>
    <w:rsid w:val="002E10D4"/>
    <w:rsid w:val="002E3AA3"/>
    <w:rsid w:val="002E4D83"/>
    <w:rsid w:val="002E51A8"/>
    <w:rsid w:val="002E550F"/>
    <w:rsid w:val="002E5C45"/>
    <w:rsid w:val="002E6AC8"/>
    <w:rsid w:val="002F00B8"/>
    <w:rsid w:val="002F0EC2"/>
    <w:rsid w:val="002F2B1E"/>
    <w:rsid w:val="002F5827"/>
    <w:rsid w:val="002F7D4F"/>
    <w:rsid w:val="00300356"/>
    <w:rsid w:val="00301A82"/>
    <w:rsid w:val="003026AC"/>
    <w:rsid w:val="00302BBF"/>
    <w:rsid w:val="003035F4"/>
    <w:rsid w:val="00304046"/>
    <w:rsid w:val="0030595E"/>
    <w:rsid w:val="00306854"/>
    <w:rsid w:val="00306982"/>
    <w:rsid w:val="003072DA"/>
    <w:rsid w:val="0030755B"/>
    <w:rsid w:val="00307D93"/>
    <w:rsid w:val="00311D89"/>
    <w:rsid w:val="00312678"/>
    <w:rsid w:val="00312B46"/>
    <w:rsid w:val="00315239"/>
    <w:rsid w:val="003157AF"/>
    <w:rsid w:val="0031701E"/>
    <w:rsid w:val="00317EED"/>
    <w:rsid w:val="00320A53"/>
    <w:rsid w:val="00320D96"/>
    <w:rsid w:val="003233A7"/>
    <w:rsid w:val="00324BDD"/>
    <w:rsid w:val="003256D7"/>
    <w:rsid w:val="00325C6A"/>
    <w:rsid w:val="003277BF"/>
    <w:rsid w:val="003312CB"/>
    <w:rsid w:val="003328E9"/>
    <w:rsid w:val="00333D60"/>
    <w:rsid w:val="00334A92"/>
    <w:rsid w:val="00334D12"/>
    <w:rsid w:val="00336A73"/>
    <w:rsid w:val="00342166"/>
    <w:rsid w:val="00342418"/>
    <w:rsid w:val="003438BB"/>
    <w:rsid w:val="00343ACD"/>
    <w:rsid w:val="003448F7"/>
    <w:rsid w:val="00346359"/>
    <w:rsid w:val="0034669B"/>
    <w:rsid w:val="00346E8C"/>
    <w:rsid w:val="00347FC7"/>
    <w:rsid w:val="003510FC"/>
    <w:rsid w:val="00351981"/>
    <w:rsid w:val="0035212A"/>
    <w:rsid w:val="003540FD"/>
    <w:rsid w:val="003565C5"/>
    <w:rsid w:val="003567DF"/>
    <w:rsid w:val="0036083E"/>
    <w:rsid w:val="00360BE6"/>
    <w:rsid w:val="00360E51"/>
    <w:rsid w:val="003617D0"/>
    <w:rsid w:val="00362277"/>
    <w:rsid w:val="00366EB1"/>
    <w:rsid w:val="00367FC7"/>
    <w:rsid w:val="00371120"/>
    <w:rsid w:val="00371431"/>
    <w:rsid w:val="00371ACE"/>
    <w:rsid w:val="003723EC"/>
    <w:rsid w:val="0037468A"/>
    <w:rsid w:val="0037685E"/>
    <w:rsid w:val="00376B59"/>
    <w:rsid w:val="003800CF"/>
    <w:rsid w:val="00382784"/>
    <w:rsid w:val="00382802"/>
    <w:rsid w:val="00382CAC"/>
    <w:rsid w:val="00383CB1"/>
    <w:rsid w:val="00384432"/>
    <w:rsid w:val="003857EA"/>
    <w:rsid w:val="00385A0E"/>
    <w:rsid w:val="00385AAF"/>
    <w:rsid w:val="003867A6"/>
    <w:rsid w:val="00387224"/>
    <w:rsid w:val="00387C9E"/>
    <w:rsid w:val="003914E5"/>
    <w:rsid w:val="0039190C"/>
    <w:rsid w:val="00392ACD"/>
    <w:rsid w:val="00394FA4"/>
    <w:rsid w:val="003A594A"/>
    <w:rsid w:val="003A6DC2"/>
    <w:rsid w:val="003A6EA3"/>
    <w:rsid w:val="003A7823"/>
    <w:rsid w:val="003B3EE3"/>
    <w:rsid w:val="003B470D"/>
    <w:rsid w:val="003B5247"/>
    <w:rsid w:val="003B5526"/>
    <w:rsid w:val="003B5A56"/>
    <w:rsid w:val="003B743C"/>
    <w:rsid w:val="003B747F"/>
    <w:rsid w:val="003B772E"/>
    <w:rsid w:val="003B7E9E"/>
    <w:rsid w:val="003C1443"/>
    <w:rsid w:val="003C4712"/>
    <w:rsid w:val="003C4922"/>
    <w:rsid w:val="003D0D09"/>
    <w:rsid w:val="003D141F"/>
    <w:rsid w:val="003D42B1"/>
    <w:rsid w:val="003D4AB2"/>
    <w:rsid w:val="003D4C5D"/>
    <w:rsid w:val="003D5C1C"/>
    <w:rsid w:val="003D5C81"/>
    <w:rsid w:val="003D630C"/>
    <w:rsid w:val="003D660F"/>
    <w:rsid w:val="003D67F1"/>
    <w:rsid w:val="003D6E51"/>
    <w:rsid w:val="003D7332"/>
    <w:rsid w:val="003E0321"/>
    <w:rsid w:val="003E13CA"/>
    <w:rsid w:val="003E202D"/>
    <w:rsid w:val="003E22DD"/>
    <w:rsid w:val="003E2996"/>
    <w:rsid w:val="003E5959"/>
    <w:rsid w:val="003E5DE4"/>
    <w:rsid w:val="003E6613"/>
    <w:rsid w:val="003E6A2E"/>
    <w:rsid w:val="003E6A5A"/>
    <w:rsid w:val="003F16E7"/>
    <w:rsid w:val="003F27E4"/>
    <w:rsid w:val="003F4396"/>
    <w:rsid w:val="003F4860"/>
    <w:rsid w:val="003F4B46"/>
    <w:rsid w:val="003F5D1D"/>
    <w:rsid w:val="003F6D08"/>
    <w:rsid w:val="003F6E51"/>
    <w:rsid w:val="003F7E35"/>
    <w:rsid w:val="00401EDC"/>
    <w:rsid w:val="0040286B"/>
    <w:rsid w:val="004032D3"/>
    <w:rsid w:val="00403743"/>
    <w:rsid w:val="00404567"/>
    <w:rsid w:val="004052BE"/>
    <w:rsid w:val="00406C49"/>
    <w:rsid w:val="00407042"/>
    <w:rsid w:val="00410B67"/>
    <w:rsid w:val="00412161"/>
    <w:rsid w:val="00412C26"/>
    <w:rsid w:val="00413235"/>
    <w:rsid w:val="00415506"/>
    <w:rsid w:val="004170D3"/>
    <w:rsid w:val="004173A4"/>
    <w:rsid w:val="0042105B"/>
    <w:rsid w:val="00421C83"/>
    <w:rsid w:val="004226F4"/>
    <w:rsid w:val="00422A05"/>
    <w:rsid w:val="00426E4E"/>
    <w:rsid w:val="00427A3D"/>
    <w:rsid w:val="0043058B"/>
    <w:rsid w:val="00430DD7"/>
    <w:rsid w:val="00432A81"/>
    <w:rsid w:val="00433357"/>
    <w:rsid w:val="00434EF6"/>
    <w:rsid w:val="00435195"/>
    <w:rsid w:val="00440595"/>
    <w:rsid w:val="00442F89"/>
    <w:rsid w:val="00443940"/>
    <w:rsid w:val="00444D38"/>
    <w:rsid w:val="00445B81"/>
    <w:rsid w:val="0044602A"/>
    <w:rsid w:val="00450771"/>
    <w:rsid w:val="00450C08"/>
    <w:rsid w:val="00450D02"/>
    <w:rsid w:val="00451A8A"/>
    <w:rsid w:val="00451D57"/>
    <w:rsid w:val="00452204"/>
    <w:rsid w:val="004522AA"/>
    <w:rsid w:val="00452E9F"/>
    <w:rsid w:val="00454AB4"/>
    <w:rsid w:val="00454D34"/>
    <w:rsid w:val="0045622C"/>
    <w:rsid w:val="004617A9"/>
    <w:rsid w:val="00462397"/>
    <w:rsid w:val="00463DDB"/>
    <w:rsid w:val="004655D5"/>
    <w:rsid w:val="00466724"/>
    <w:rsid w:val="0046755A"/>
    <w:rsid w:val="00467912"/>
    <w:rsid w:val="00470CB8"/>
    <w:rsid w:val="00471A0E"/>
    <w:rsid w:val="00472628"/>
    <w:rsid w:val="00474315"/>
    <w:rsid w:val="00474F8A"/>
    <w:rsid w:val="00475E81"/>
    <w:rsid w:val="00476468"/>
    <w:rsid w:val="00476E86"/>
    <w:rsid w:val="00477648"/>
    <w:rsid w:val="00477911"/>
    <w:rsid w:val="00480709"/>
    <w:rsid w:val="00480D8D"/>
    <w:rsid w:val="00480D91"/>
    <w:rsid w:val="004827C6"/>
    <w:rsid w:val="004830A5"/>
    <w:rsid w:val="00483217"/>
    <w:rsid w:val="00483697"/>
    <w:rsid w:val="00483B7D"/>
    <w:rsid w:val="004864F3"/>
    <w:rsid w:val="004865F3"/>
    <w:rsid w:val="004866DC"/>
    <w:rsid w:val="0048688C"/>
    <w:rsid w:val="00486A1C"/>
    <w:rsid w:val="0048757F"/>
    <w:rsid w:val="00487CF0"/>
    <w:rsid w:val="00490828"/>
    <w:rsid w:val="00490D5E"/>
    <w:rsid w:val="00491DB1"/>
    <w:rsid w:val="00491DD9"/>
    <w:rsid w:val="004928B0"/>
    <w:rsid w:val="0049339D"/>
    <w:rsid w:val="004935FA"/>
    <w:rsid w:val="004940A7"/>
    <w:rsid w:val="00494809"/>
    <w:rsid w:val="004955EF"/>
    <w:rsid w:val="00496151"/>
    <w:rsid w:val="004970FD"/>
    <w:rsid w:val="004A0342"/>
    <w:rsid w:val="004A247B"/>
    <w:rsid w:val="004A3CC5"/>
    <w:rsid w:val="004A4059"/>
    <w:rsid w:val="004A4DF1"/>
    <w:rsid w:val="004A51AA"/>
    <w:rsid w:val="004A5423"/>
    <w:rsid w:val="004A5ABB"/>
    <w:rsid w:val="004A71E0"/>
    <w:rsid w:val="004A7215"/>
    <w:rsid w:val="004A778D"/>
    <w:rsid w:val="004A7FCD"/>
    <w:rsid w:val="004B0D37"/>
    <w:rsid w:val="004B1637"/>
    <w:rsid w:val="004B26E3"/>
    <w:rsid w:val="004B2803"/>
    <w:rsid w:val="004B3A5B"/>
    <w:rsid w:val="004B3AFE"/>
    <w:rsid w:val="004B3BDC"/>
    <w:rsid w:val="004B3DB0"/>
    <w:rsid w:val="004B41D9"/>
    <w:rsid w:val="004B575C"/>
    <w:rsid w:val="004B67D9"/>
    <w:rsid w:val="004B69EF"/>
    <w:rsid w:val="004B785E"/>
    <w:rsid w:val="004C0D62"/>
    <w:rsid w:val="004C1651"/>
    <w:rsid w:val="004C1886"/>
    <w:rsid w:val="004C2FCD"/>
    <w:rsid w:val="004C4E4E"/>
    <w:rsid w:val="004C6D1F"/>
    <w:rsid w:val="004D1C34"/>
    <w:rsid w:val="004D244E"/>
    <w:rsid w:val="004D4725"/>
    <w:rsid w:val="004D71B2"/>
    <w:rsid w:val="004D790F"/>
    <w:rsid w:val="004E1E4D"/>
    <w:rsid w:val="004E3286"/>
    <w:rsid w:val="004E455B"/>
    <w:rsid w:val="004E492A"/>
    <w:rsid w:val="004E4C71"/>
    <w:rsid w:val="004E4EED"/>
    <w:rsid w:val="004E5F34"/>
    <w:rsid w:val="004F0F0E"/>
    <w:rsid w:val="004F1596"/>
    <w:rsid w:val="004F269D"/>
    <w:rsid w:val="004F27CE"/>
    <w:rsid w:val="004F27E3"/>
    <w:rsid w:val="004F3E87"/>
    <w:rsid w:val="004F4A72"/>
    <w:rsid w:val="004F569C"/>
    <w:rsid w:val="004F7A9A"/>
    <w:rsid w:val="00500FE7"/>
    <w:rsid w:val="00501A88"/>
    <w:rsid w:val="00501B28"/>
    <w:rsid w:val="00502CF6"/>
    <w:rsid w:val="00503538"/>
    <w:rsid w:val="00504A28"/>
    <w:rsid w:val="00507F30"/>
    <w:rsid w:val="0051039F"/>
    <w:rsid w:val="00511D18"/>
    <w:rsid w:val="00511DB5"/>
    <w:rsid w:val="00512B6F"/>
    <w:rsid w:val="00513430"/>
    <w:rsid w:val="005138F4"/>
    <w:rsid w:val="005143B8"/>
    <w:rsid w:val="00514B8D"/>
    <w:rsid w:val="005156B5"/>
    <w:rsid w:val="00515A2A"/>
    <w:rsid w:val="00516297"/>
    <w:rsid w:val="00521986"/>
    <w:rsid w:val="00521BB4"/>
    <w:rsid w:val="00521F52"/>
    <w:rsid w:val="005224C2"/>
    <w:rsid w:val="0052420A"/>
    <w:rsid w:val="00524AA1"/>
    <w:rsid w:val="00524CA4"/>
    <w:rsid w:val="00526B1B"/>
    <w:rsid w:val="005271AD"/>
    <w:rsid w:val="00527798"/>
    <w:rsid w:val="00527E3E"/>
    <w:rsid w:val="00530DFB"/>
    <w:rsid w:val="00534770"/>
    <w:rsid w:val="00534AC4"/>
    <w:rsid w:val="00535EEF"/>
    <w:rsid w:val="0053682D"/>
    <w:rsid w:val="0054046A"/>
    <w:rsid w:val="005408C1"/>
    <w:rsid w:val="00540C48"/>
    <w:rsid w:val="00541F03"/>
    <w:rsid w:val="00542AB5"/>
    <w:rsid w:val="00543C13"/>
    <w:rsid w:val="005444B7"/>
    <w:rsid w:val="00544CDA"/>
    <w:rsid w:val="00545195"/>
    <w:rsid w:val="00545317"/>
    <w:rsid w:val="00545915"/>
    <w:rsid w:val="00545FCD"/>
    <w:rsid w:val="00547FB2"/>
    <w:rsid w:val="00553F54"/>
    <w:rsid w:val="0055627D"/>
    <w:rsid w:val="0055671C"/>
    <w:rsid w:val="00560EF3"/>
    <w:rsid w:val="00561D6D"/>
    <w:rsid w:val="00562583"/>
    <w:rsid w:val="00562D2C"/>
    <w:rsid w:val="00562F07"/>
    <w:rsid w:val="005630B5"/>
    <w:rsid w:val="00563615"/>
    <w:rsid w:val="00564D05"/>
    <w:rsid w:val="00565172"/>
    <w:rsid w:val="005655D7"/>
    <w:rsid w:val="005655DB"/>
    <w:rsid w:val="00565D17"/>
    <w:rsid w:val="005675DA"/>
    <w:rsid w:val="00570B3A"/>
    <w:rsid w:val="00570F00"/>
    <w:rsid w:val="005720E5"/>
    <w:rsid w:val="00572931"/>
    <w:rsid w:val="005734F9"/>
    <w:rsid w:val="0057361F"/>
    <w:rsid w:val="00573D27"/>
    <w:rsid w:val="00573ECA"/>
    <w:rsid w:val="0057422F"/>
    <w:rsid w:val="00575768"/>
    <w:rsid w:val="0057605D"/>
    <w:rsid w:val="0057706E"/>
    <w:rsid w:val="0057747E"/>
    <w:rsid w:val="00577A6B"/>
    <w:rsid w:val="00580623"/>
    <w:rsid w:val="00580940"/>
    <w:rsid w:val="005817AE"/>
    <w:rsid w:val="00581BDA"/>
    <w:rsid w:val="00581D69"/>
    <w:rsid w:val="00583638"/>
    <w:rsid w:val="005840B3"/>
    <w:rsid w:val="0058419E"/>
    <w:rsid w:val="0058451A"/>
    <w:rsid w:val="005860FA"/>
    <w:rsid w:val="0058612B"/>
    <w:rsid w:val="005862F8"/>
    <w:rsid w:val="00586717"/>
    <w:rsid w:val="00587192"/>
    <w:rsid w:val="0059210F"/>
    <w:rsid w:val="00592DDC"/>
    <w:rsid w:val="0059351A"/>
    <w:rsid w:val="00593ACE"/>
    <w:rsid w:val="00596202"/>
    <w:rsid w:val="00596B88"/>
    <w:rsid w:val="005A0717"/>
    <w:rsid w:val="005A1EE3"/>
    <w:rsid w:val="005A3839"/>
    <w:rsid w:val="005A3AF9"/>
    <w:rsid w:val="005A4B75"/>
    <w:rsid w:val="005A6490"/>
    <w:rsid w:val="005A7F33"/>
    <w:rsid w:val="005B2094"/>
    <w:rsid w:val="005B2411"/>
    <w:rsid w:val="005B35E1"/>
    <w:rsid w:val="005B3E4C"/>
    <w:rsid w:val="005B412C"/>
    <w:rsid w:val="005B416E"/>
    <w:rsid w:val="005B4ADB"/>
    <w:rsid w:val="005B6AFE"/>
    <w:rsid w:val="005C1E08"/>
    <w:rsid w:val="005C3ECC"/>
    <w:rsid w:val="005C72CF"/>
    <w:rsid w:val="005C789F"/>
    <w:rsid w:val="005C7E85"/>
    <w:rsid w:val="005D01B6"/>
    <w:rsid w:val="005D2CD7"/>
    <w:rsid w:val="005D4B79"/>
    <w:rsid w:val="005D51BA"/>
    <w:rsid w:val="005D5539"/>
    <w:rsid w:val="005D64E2"/>
    <w:rsid w:val="005D684D"/>
    <w:rsid w:val="005E0A5D"/>
    <w:rsid w:val="005E1BA4"/>
    <w:rsid w:val="005E5CD0"/>
    <w:rsid w:val="005E6E53"/>
    <w:rsid w:val="005E779F"/>
    <w:rsid w:val="005F064C"/>
    <w:rsid w:val="005F51FB"/>
    <w:rsid w:val="00600709"/>
    <w:rsid w:val="006017D4"/>
    <w:rsid w:val="00601859"/>
    <w:rsid w:val="00602465"/>
    <w:rsid w:val="0060252C"/>
    <w:rsid w:val="00602DF9"/>
    <w:rsid w:val="006031DD"/>
    <w:rsid w:val="0060412E"/>
    <w:rsid w:val="006056CC"/>
    <w:rsid w:val="00606F31"/>
    <w:rsid w:val="00607A0B"/>
    <w:rsid w:val="00607C83"/>
    <w:rsid w:val="00613490"/>
    <w:rsid w:val="00613689"/>
    <w:rsid w:val="00615B78"/>
    <w:rsid w:val="00616FF1"/>
    <w:rsid w:val="00617CAD"/>
    <w:rsid w:val="0062183D"/>
    <w:rsid w:val="00626B98"/>
    <w:rsid w:val="00627C7B"/>
    <w:rsid w:val="00630604"/>
    <w:rsid w:val="00630AB4"/>
    <w:rsid w:val="00631DE9"/>
    <w:rsid w:val="006324DD"/>
    <w:rsid w:val="00632F06"/>
    <w:rsid w:val="00633358"/>
    <w:rsid w:val="00633CD8"/>
    <w:rsid w:val="00637183"/>
    <w:rsid w:val="00640B4C"/>
    <w:rsid w:val="006411B2"/>
    <w:rsid w:val="00642240"/>
    <w:rsid w:val="0064235F"/>
    <w:rsid w:val="00645D09"/>
    <w:rsid w:val="00647029"/>
    <w:rsid w:val="0064761B"/>
    <w:rsid w:val="00647E64"/>
    <w:rsid w:val="00651B0D"/>
    <w:rsid w:val="006528E0"/>
    <w:rsid w:val="006528FE"/>
    <w:rsid w:val="00652C12"/>
    <w:rsid w:val="0065318A"/>
    <w:rsid w:val="00653694"/>
    <w:rsid w:val="006549D8"/>
    <w:rsid w:val="00654BFA"/>
    <w:rsid w:val="00655349"/>
    <w:rsid w:val="006554BC"/>
    <w:rsid w:val="00655612"/>
    <w:rsid w:val="00656C7F"/>
    <w:rsid w:val="00657F92"/>
    <w:rsid w:val="00660B93"/>
    <w:rsid w:val="00662123"/>
    <w:rsid w:val="0066232A"/>
    <w:rsid w:val="006623F1"/>
    <w:rsid w:val="00663814"/>
    <w:rsid w:val="0066469A"/>
    <w:rsid w:val="0066530E"/>
    <w:rsid w:val="00667F9E"/>
    <w:rsid w:val="00670C55"/>
    <w:rsid w:val="006716FD"/>
    <w:rsid w:val="006722E9"/>
    <w:rsid w:val="00672951"/>
    <w:rsid w:val="00672A71"/>
    <w:rsid w:val="006735BE"/>
    <w:rsid w:val="00673ACD"/>
    <w:rsid w:val="00674580"/>
    <w:rsid w:val="0067525C"/>
    <w:rsid w:val="00675405"/>
    <w:rsid w:val="00676D21"/>
    <w:rsid w:val="0067714E"/>
    <w:rsid w:val="0068023C"/>
    <w:rsid w:val="00681066"/>
    <w:rsid w:val="00682024"/>
    <w:rsid w:val="006824B6"/>
    <w:rsid w:val="00682A90"/>
    <w:rsid w:val="00682E8B"/>
    <w:rsid w:val="006836C0"/>
    <w:rsid w:val="00683B2C"/>
    <w:rsid w:val="00684F59"/>
    <w:rsid w:val="0068551B"/>
    <w:rsid w:val="00685686"/>
    <w:rsid w:val="006867AD"/>
    <w:rsid w:val="00686CC8"/>
    <w:rsid w:val="00687964"/>
    <w:rsid w:val="00690625"/>
    <w:rsid w:val="0069138E"/>
    <w:rsid w:val="006920EC"/>
    <w:rsid w:val="00692233"/>
    <w:rsid w:val="00692C9C"/>
    <w:rsid w:val="00692CEE"/>
    <w:rsid w:val="0069510B"/>
    <w:rsid w:val="00696DC4"/>
    <w:rsid w:val="00697CDD"/>
    <w:rsid w:val="006A1143"/>
    <w:rsid w:val="006A3DD3"/>
    <w:rsid w:val="006A6F0A"/>
    <w:rsid w:val="006A76BA"/>
    <w:rsid w:val="006A796D"/>
    <w:rsid w:val="006A7AD3"/>
    <w:rsid w:val="006B05EB"/>
    <w:rsid w:val="006B1875"/>
    <w:rsid w:val="006B18AD"/>
    <w:rsid w:val="006B2015"/>
    <w:rsid w:val="006B275B"/>
    <w:rsid w:val="006B357D"/>
    <w:rsid w:val="006B3EFB"/>
    <w:rsid w:val="006B45EA"/>
    <w:rsid w:val="006B46F5"/>
    <w:rsid w:val="006B597A"/>
    <w:rsid w:val="006B603D"/>
    <w:rsid w:val="006C1E2C"/>
    <w:rsid w:val="006C30A3"/>
    <w:rsid w:val="006C45B6"/>
    <w:rsid w:val="006C5D4B"/>
    <w:rsid w:val="006C5E2F"/>
    <w:rsid w:val="006C617C"/>
    <w:rsid w:val="006C7108"/>
    <w:rsid w:val="006C71FF"/>
    <w:rsid w:val="006C7471"/>
    <w:rsid w:val="006C7BF1"/>
    <w:rsid w:val="006D1066"/>
    <w:rsid w:val="006D1122"/>
    <w:rsid w:val="006D481E"/>
    <w:rsid w:val="006D531B"/>
    <w:rsid w:val="006D5F82"/>
    <w:rsid w:val="006D600C"/>
    <w:rsid w:val="006D6E7E"/>
    <w:rsid w:val="006E00D1"/>
    <w:rsid w:val="006E1863"/>
    <w:rsid w:val="006E1BA5"/>
    <w:rsid w:val="006E1D73"/>
    <w:rsid w:val="006E1F2C"/>
    <w:rsid w:val="006E20D6"/>
    <w:rsid w:val="006E2EDE"/>
    <w:rsid w:val="006E36AE"/>
    <w:rsid w:val="006E3F8D"/>
    <w:rsid w:val="006E4124"/>
    <w:rsid w:val="006E589D"/>
    <w:rsid w:val="006E7028"/>
    <w:rsid w:val="006E7EAB"/>
    <w:rsid w:val="006F1E7F"/>
    <w:rsid w:val="006F3FC8"/>
    <w:rsid w:val="006F7950"/>
    <w:rsid w:val="00700EEE"/>
    <w:rsid w:val="007022C4"/>
    <w:rsid w:val="00702C19"/>
    <w:rsid w:val="0070347B"/>
    <w:rsid w:val="007038C0"/>
    <w:rsid w:val="00704C48"/>
    <w:rsid w:val="00704F5C"/>
    <w:rsid w:val="00705A9D"/>
    <w:rsid w:val="00706953"/>
    <w:rsid w:val="0071108E"/>
    <w:rsid w:val="007112F1"/>
    <w:rsid w:val="007141F0"/>
    <w:rsid w:val="00715424"/>
    <w:rsid w:val="007158B6"/>
    <w:rsid w:val="00717202"/>
    <w:rsid w:val="00717C3D"/>
    <w:rsid w:val="00721E6C"/>
    <w:rsid w:val="00723A3C"/>
    <w:rsid w:val="00723C79"/>
    <w:rsid w:val="00723CA2"/>
    <w:rsid w:val="00724944"/>
    <w:rsid w:val="00724F46"/>
    <w:rsid w:val="00725246"/>
    <w:rsid w:val="00730672"/>
    <w:rsid w:val="0073252F"/>
    <w:rsid w:val="00732ADB"/>
    <w:rsid w:val="007332E3"/>
    <w:rsid w:val="007345ED"/>
    <w:rsid w:val="00734832"/>
    <w:rsid w:val="00741230"/>
    <w:rsid w:val="00741E4C"/>
    <w:rsid w:val="00742DBB"/>
    <w:rsid w:val="007433B5"/>
    <w:rsid w:val="007442E5"/>
    <w:rsid w:val="00746325"/>
    <w:rsid w:val="0074734B"/>
    <w:rsid w:val="007501F7"/>
    <w:rsid w:val="00750D4D"/>
    <w:rsid w:val="0075116F"/>
    <w:rsid w:val="0075120A"/>
    <w:rsid w:val="00752A39"/>
    <w:rsid w:val="007553F9"/>
    <w:rsid w:val="0075594D"/>
    <w:rsid w:val="00756C6C"/>
    <w:rsid w:val="007611A8"/>
    <w:rsid w:val="00761336"/>
    <w:rsid w:val="00761A24"/>
    <w:rsid w:val="00762194"/>
    <w:rsid w:val="007628B7"/>
    <w:rsid w:val="0076351A"/>
    <w:rsid w:val="00763BDE"/>
    <w:rsid w:val="00764188"/>
    <w:rsid w:val="007647C7"/>
    <w:rsid w:val="00765021"/>
    <w:rsid w:val="007653EB"/>
    <w:rsid w:val="00765AAA"/>
    <w:rsid w:val="0076633B"/>
    <w:rsid w:val="007663BA"/>
    <w:rsid w:val="00766723"/>
    <w:rsid w:val="007668E6"/>
    <w:rsid w:val="00767C81"/>
    <w:rsid w:val="00770992"/>
    <w:rsid w:val="007717EB"/>
    <w:rsid w:val="00771BAE"/>
    <w:rsid w:val="00773314"/>
    <w:rsid w:val="00773755"/>
    <w:rsid w:val="0077398D"/>
    <w:rsid w:val="00774D26"/>
    <w:rsid w:val="0077523B"/>
    <w:rsid w:val="00775B66"/>
    <w:rsid w:val="007760AB"/>
    <w:rsid w:val="007763F5"/>
    <w:rsid w:val="00777A97"/>
    <w:rsid w:val="00780636"/>
    <w:rsid w:val="00781E03"/>
    <w:rsid w:val="0078220A"/>
    <w:rsid w:val="00782E7F"/>
    <w:rsid w:val="00783946"/>
    <w:rsid w:val="00784111"/>
    <w:rsid w:val="00784A02"/>
    <w:rsid w:val="00786151"/>
    <w:rsid w:val="007862F2"/>
    <w:rsid w:val="007864DE"/>
    <w:rsid w:val="00786695"/>
    <w:rsid w:val="00790133"/>
    <w:rsid w:val="00790DBD"/>
    <w:rsid w:val="007920F3"/>
    <w:rsid w:val="00792682"/>
    <w:rsid w:val="0079349B"/>
    <w:rsid w:val="00795D8B"/>
    <w:rsid w:val="007A205A"/>
    <w:rsid w:val="007A3FFC"/>
    <w:rsid w:val="007A5451"/>
    <w:rsid w:val="007A6950"/>
    <w:rsid w:val="007A6D2A"/>
    <w:rsid w:val="007A6D46"/>
    <w:rsid w:val="007B162D"/>
    <w:rsid w:val="007B5F42"/>
    <w:rsid w:val="007B5F6D"/>
    <w:rsid w:val="007B6E19"/>
    <w:rsid w:val="007B6E39"/>
    <w:rsid w:val="007B73D3"/>
    <w:rsid w:val="007C0234"/>
    <w:rsid w:val="007C1487"/>
    <w:rsid w:val="007C1538"/>
    <w:rsid w:val="007C3FDA"/>
    <w:rsid w:val="007C4FA2"/>
    <w:rsid w:val="007C5541"/>
    <w:rsid w:val="007C5B0A"/>
    <w:rsid w:val="007C5E7D"/>
    <w:rsid w:val="007C703D"/>
    <w:rsid w:val="007D05DD"/>
    <w:rsid w:val="007D0E8E"/>
    <w:rsid w:val="007D1215"/>
    <w:rsid w:val="007D1267"/>
    <w:rsid w:val="007D2C2E"/>
    <w:rsid w:val="007D2DD4"/>
    <w:rsid w:val="007D30C4"/>
    <w:rsid w:val="007D47B3"/>
    <w:rsid w:val="007D5446"/>
    <w:rsid w:val="007D6771"/>
    <w:rsid w:val="007D6A9D"/>
    <w:rsid w:val="007D7374"/>
    <w:rsid w:val="007E0588"/>
    <w:rsid w:val="007E1979"/>
    <w:rsid w:val="007F028C"/>
    <w:rsid w:val="007F0DD3"/>
    <w:rsid w:val="007F1311"/>
    <w:rsid w:val="007F160B"/>
    <w:rsid w:val="007F46F6"/>
    <w:rsid w:val="007F4F47"/>
    <w:rsid w:val="007F5652"/>
    <w:rsid w:val="007F659F"/>
    <w:rsid w:val="007F71EB"/>
    <w:rsid w:val="008002F7"/>
    <w:rsid w:val="00800B4E"/>
    <w:rsid w:val="00800FA8"/>
    <w:rsid w:val="00803D23"/>
    <w:rsid w:val="00803D90"/>
    <w:rsid w:val="0080476D"/>
    <w:rsid w:val="00806070"/>
    <w:rsid w:val="00811EE7"/>
    <w:rsid w:val="00811FB9"/>
    <w:rsid w:val="0081262D"/>
    <w:rsid w:val="0081291F"/>
    <w:rsid w:val="00814025"/>
    <w:rsid w:val="00814A8B"/>
    <w:rsid w:val="00815999"/>
    <w:rsid w:val="00815FFC"/>
    <w:rsid w:val="00816EB4"/>
    <w:rsid w:val="00820045"/>
    <w:rsid w:val="00821A81"/>
    <w:rsid w:val="00824F23"/>
    <w:rsid w:val="00825B07"/>
    <w:rsid w:val="0082635A"/>
    <w:rsid w:val="00827184"/>
    <w:rsid w:val="00830015"/>
    <w:rsid w:val="00830EEF"/>
    <w:rsid w:val="00830EFF"/>
    <w:rsid w:val="0083146A"/>
    <w:rsid w:val="0083363E"/>
    <w:rsid w:val="00833948"/>
    <w:rsid w:val="00833A85"/>
    <w:rsid w:val="008365A7"/>
    <w:rsid w:val="0084022F"/>
    <w:rsid w:val="00840DB0"/>
    <w:rsid w:val="00841487"/>
    <w:rsid w:val="00841B41"/>
    <w:rsid w:val="0084282E"/>
    <w:rsid w:val="00843719"/>
    <w:rsid w:val="008438B9"/>
    <w:rsid w:val="008439A3"/>
    <w:rsid w:val="0084428D"/>
    <w:rsid w:val="0084794B"/>
    <w:rsid w:val="0085280C"/>
    <w:rsid w:val="00852BC3"/>
    <w:rsid w:val="008549E9"/>
    <w:rsid w:val="00855749"/>
    <w:rsid w:val="00860E07"/>
    <w:rsid w:val="00866E78"/>
    <w:rsid w:val="00867C7A"/>
    <w:rsid w:val="00867DF9"/>
    <w:rsid w:val="00871D52"/>
    <w:rsid w:val="00872B6B"/>
    <w:rsid w:val="00873AF4"/>
    <w:rsid w:val="00873D26"/>
    <w:rsid w:val="00873DAD"/>
    <w:rsid w:val="00875032"/>
    <w:rsid w:val="0087560A"/>
    <w:rsid w:val="00880D3C"/>
    <w:rsid w:val="00881BE5"/>
    <w:rsid w:val="008826E8"/>
    <w:rsid w:val="00882950"/>
    <w:rsid w:val="0088377D"/>
    <w:rsid w:val="00883F93"/>
    <w:rsid w:val="008845E1"/>
    <w:rsid w:val="0088626E"/>
    <w:rsid w:val="008870D3"/>
    <w:rsid w:val="00890489"/>
    <w:rsid w:val="00890D2D"/>
    <w:rsid w:val="00891377"/>
    <w:rsid w:val="00892B11"/>
    <w:rsid w:val="00893C91"/>
    <w:rsid w:val="00893DBF"/>
    <w:rsid w:val="00895C8A"/>
    <w:rsid w:val="00896016"/>
    <w:rsid w:val="008A008A"/>
    <w:rsid w:val="008A16E0"/>
    <w:rsid w:val="008A43AC"/>
    <w:rsid w:val="008A5443"/>
    <w:rsid w:val="008A7074"/>
    <w:rsid w:val="008A766D"/>
    <w:rsid w:val="008A79B0"/>
    <w:rsid w:val="008B0484"/>
    <w:rsid w:val="008B0AD5"/>
    <w:rsid w:val="008B10AF"/>
    <w:rsid w:val="008B1463"/>
    <w:rsid w:val="008B29D3"/>
    <w:rsid w:val="008B4369"/>
    <w:rsid w:val="008B7057"/>
    <w:rsid w:val="008B7C63"/>
    <w:rsid w:val="008B7DEB"/>
    <w:rsid w:val="008C39D3"/>
    <w:rsid w:val="008C667D"/>
    <w:rsid w:val="008C7D38"/>
    <w:rsid w:val="008C7F23"/>
    <w:rsid w:val="008D5670"/>
    <w:rsid w:val="008D6712"/>
    <w:rsid w:val="008D722A"/>
    <w:rsid w:val="008D76F8"/>
    <w:rsid w:val="008D799D"/>
    <w:rsid w:val="008E0C0A"/>
    <w:rsid w:val="008E0F14"/>
    <w:rsid w:val="008E1652"/>
    <w:rsid w:val="008E20A2"/>
    <w:rsid w:val="008E3A96"/>
    <w:rsid w:val="008E4546"/>
    <w:rsid w:val="008E54FB"/>
    <w:rsid w:val="008E7217"/>
    <w:rsid w:val="008F1491"/>
    <w:rsid w:val="008F190F"/>
    <w:rsid w:val="008F2CEE"/>
    <w:rsid w:val="008F4445"/>
    <w:rsid w:val="008F53B1"/>
    <w:rsid w:val="009003F6"/>
    <w:rsid w:val="00902D69"/>
    <w:rsid w:val="009030FE"/>
    <w:rsid w:val="00903275"/>
    <w:rsid w:val="00904011"/>
    <w:rsid w:val="009058C5"/>
    <w:rsid w:val="0090612F"/>
    <w:rsid w:val="0091105B"/>
    <w:rsid w:val="00912C74"/>
    <w:rsid w:val="0091324B"/>
    <w:rsid w:val="009134DF"/>
    <w:rsid w:val="009149F9"/>
    <w:rsid w:val="009154D3"/>
    <w:rsid w:val="00917215"/>
    <w:rsid w:val="00920EC0"/>
    <w:rsid w:val="009214AF"/>
    <w:rsid w:val="009215DA"/>
    <w:rsid w:val="00922EF2"/>
    <w:rsid w:val="00923503"/>
    <w:rsid w:val="00924582"/>
    <w:rsid w:val="009245F8"/>
    <w:rsid w:val="0092478E"/>
    <w:rsid w:val="00924B85"/>
    <w:rsid w:val="00924BF6"/>
    <w:rsid w:val="0092527D"/>
    <w:rsid w:val="0092666C"/>
    <w:rsid w:val="00926843"/>
    <w:rsid w:val="00926E35"/>
    <w:rsid w:val="0093002C"/>
    <w:rsid w:val="00930CCE"/>
    <w:rsid w:val="00931B7D"/>
    <w:rsid w:val="00932009"/>
    <w:rsid w:val="00934AA1"/>
    <w:rsid w:val="00934B41"/>
    <w:rsid w:val="00934DAE"/>
    <w:rsid w:val="00935257"/>
    <w:rsid w:val="00936E12"/>
    <w:rsid w:val="009418E1"/>
    <w:rsid w:val="0094236E"/>
    <w:rsid w:val="009439CC"/>
    <w:rsid w:val="009439EE"/>
    <w:rsid w:val="00944089"/>
    <w:rsid w:val="00945537"/>
    <w:rsid w:val="0094597E"/>
    <w:rsid w:val="00952854"/>
    <w:rsid w:val="00953EEE"/>
    <w:rsid w:val="009548C3"/>
    <w:rsid w:val="009561E6"/>
    <w:rsid w:val="00957450"/>
    <w:rsid w:val="009600C4"/>
    <w:rsid w:val="009624EE"/>
    <w:rsid w:val="00966002"/>
    <w:rsid w:val="00966578"/>
    <w:rsid w:val="00966D69"/>
    <w:rsid w:val="0096715F"/>
    <w:rsid w:val="00973240"/>
    <w:rsid w:val="00973647"/>
    <w:rsid w:val="009747DF"/>
    <w:rsid w:val="009751A0"/>
    <w:rsid w:val="0097542C"/>
    <w:rsid w:val="00975CE6"/>
    <w:rsid w:val="00975F9B"/>
    <w:rsid w:val="0097657C"/>
    <w:rsid w:val="009767B6"/>
    <w:rsid w:val="0097710D"/>
    <w:rsid w:val="009808B2"/>
    <w:rsid w:val="0098226E"/>
    <w:rsid w:val="0098256E"/>
    <w:rsid w:val="00982C9A"/>
    <w:rsid w:val="00982FD8"/>
    <w:rsid w:val="00984FC3"/>
    <w:rsid w:val="0098678D"/>
    <w:rsid w:val="00986ADA"/>
    <w:rsid w:val="0099203B"/>
    <w:rsid w:val="009922B3"/>
    <w:rsid w:val="009925A5"/>
    <w:rsid w:val="0099275D"/>
    <w:rsid w:val="009954F3"/>
    <w:rsid w:val="00995D95"/>
    <w:rsid w:val="00996498"/>
    <w:rsid w:val="009A088C"/>
    <w:rsid w:val="009A18F5"/>
    <w:rsid w:val="009A1E1F"/>
    <w:rsid w:val="009A1EFE"/>
    <w:rsid w:val="009A5738"/>
    <w:rsid w:val="009A7134"/>
    <w:rsid w:val="009B042F"/>
    <w:rsid w:val="009B1B91"/>
    <w:rsid w:val="009B1BD4"/>
    <w:rsid w:val="009B26DF"/>
    <w:rsid w:val="009B28E4"/>
    <w:rsid w:val="009B3009"/>
    <w:rsid w:val="009B4AA7"/>
    <w:rsid w:val="009B6CD6"/>
    <w:rsid w:val="009C0091"/>
    <w:rsid w:val="009C0279"/>
    <w:rsid w:val="009C0FAF"/>
    <w:rsid w:val="009C2208"/>
    <w:rsid w:val="009C2A60"/>
    <w:rsid w:val="009C36D4"/>
    <w:rsid w:val="009C3A13"/>
    <w:rsid w:val="009C44AE"/>
    <w:rsid w:val="009C4A46"/>
    <w:rsid w:val="009C4DA7"/>
    <w:rsid w:val="009C573B"/>
    <w:rsid w:val="009C5C53"/>
    <w:rsid w:val="009C6522"/>
    <w:rsid w:val="009C7862"/>
    <w:rsid w:val="009C7A43"/>
    <w:rsid w:val="009C7D56"/>
    <w:rsid w:val="009D2248"/>
    <w:rsid w:val="009D3BF8"/>
    <w:rsid w:val="009D4A68"/>
    <w:rsid w:val="009D52D4"/>
    <w:rsid w:val="009D558B"/>
    <w:rsid w:val="009D558F"/>
    <w:rsid w:val="009D6729"/>
    <w:rsid w:val="009D6F9A"/>
    <w:rsid w:val="009D72EC"/>
    <w:rsid w:val="009D7CDF"/>
    <w:rsid w:val="009D7E95"/>
    <w:rsid w:val="009E23D6"/>
    <w:rsid w:val="009E4911"/>
    <w:rsid w:val="009E558E"/>
    <w:rsid w:val="009E55CD"/>
    <w:rsid w:val="009E65BA"/>
    <w:rsid w:val="009E6E33"/>
    <w:rsid w:val="009E7544"/>
    <w:rsid w:val="009E7C0D"/>
    <w:rsid w:val="009F0B7E"/>
    <w:rsid w:val="009F0F77"/>
    <w:rsid w:val="009F3900"/>
    <w:rsid w:val="009F3B59"/>
    <w:rsid w:val="009F457A"/>
    <w:rsid w:val="009F4B5C"/>
    <w:rsid w:val="009F4B80"/>
    <w:rsid w:val="009F5FA6"/>
    <w:rsid w:val="009F6FD0"/>
    <w:rsid w:val="00A00D4A"/>
    <w:rsid w:val="00A031F9"/>
    <w:rsid w:val="00A03A6E"/>
    <w:rsid w:val="00A03B65"/>
    <w:rsid w:val="00A03EB5"/>
    <w:rsid w:val="00A046AE"/>
    <w:rsid w:val="00A05C13"/>
    <w:rsid w:val="00A05EC9"/>
    <w:rsid w:val="00A12413"/>
    <w:rsid w:val="00A124F5"/>
    <w:rsid w:val="00A143B8"/>
    <w:rsid w:val="00A15A36"/>
    <w:rsid w:val="00A15D33"/>
    <w:rsid w:val="00A16D5A"/>
    <w:rsid w:val="00A17A60"/>
    <w:rsid w:val="00A20966"/>
    <w:rsid w:val="00A21F47"/>
    <w:rsid w:val="00A2231C"/>
    <w:rsid w:val="00A240BC"/>
    <w:rsid w:val="00A2437E"/>
    <w:rsid w:val="00A30C1B"/>
    <w:rsid w:val="00A332F7"/>
    <w:rsid w:val="00A40086"/>
    <w:rsid w:val="00A40E51"/>
    <w:rsid w:val="00A421EE"/>
    <w:rsid w:val="00A42D34"/>
    <w:rsid w:val="00A446A9"/>
    <w:rsid w:val="00A4477D"/>
    <w:rsid w:val="00A44C72"/>
    <w:rsid w:val="00A44F5B"/>
    <w:rsid w:val="00A45980"/>
    <w:rsid w:val="00A460E4"/>
    <w:rsid w:val="00A46DD4"/>
    <w:rsid w:val="00A470B0"/>
    <w:rsid w:val="00A51360"/>
    <w:rsid w:val="00A51776"/>
    <w:rsid w:val="00A52A91"/>
    <w:rsid w:val="00A541F9"/>
    <w:rsid w:val="00A5636D"/>
    <w:rsid w:val="00A5719B"/>
    <w:rsid w:val="00A60432"/>
    <w:rsid w:val="00A6171D"/>
    <w:rsid w:val="00A625CF"/>
    <w:rsid w:val="00A62ED9"/>
    <w:rsid w:val="00A6435B"/>
    <w:rsid w:val="00A66A60"/>
    <w:rsid w:val="00A66EEC"/>
    <w:rsid w:val="00A70FD2"/>
    <w:rsid w:val="00A714C4"/>
    <w:rsid w:val="00A71A26"/>
    <w:rsid w:val="00A73294"/>
    <w:rsid w:val="00A75ABC"/>
    <w:rsid w:val="00A75BBB"/>
    <w:rsid w:val="00A774A2"/>
    <w:rsid w:val="00A804E0"/>
    <w:rsid w:val="00A80CA8"/>
    <w:rsid w:val="00A8259F"/>
    <w:rsid w:val="00A8276B"/>
    <w:rsid w:val="00A85146"/>
    <w:rsid w:val="00A8712C"/>
    <w:rsid w:val="00A87299"/>
    <w:rsid w:val="00A91768"/>
    <w:rsid w:val="00A9380A"/>
    <w:rsid w:val="00A946BA"/>
    <w:rsid w:val="00A96858"/>
    <w:rsid w:val="00AA0CBE"/>
    <w:rsid w:val="00AA154A"/>
    <w:rsid w:val="00AA3789"/>
    <w:rsid w:val="00AA3D48"/>
    <w:rsid w:val="00AA40A1"/>
    <w:rsid w:val="00AA4ADA"/>
    <w:rsid w:val="00AA636B"/>
    <w:rsid w:val="00AB0B12"/>
    <w:rsid w:val="00AB18BE"/>
    <w:rsid w:val="00AB1929"/>
    <w:rsid w:val="00AB2931"/>
    <w:rsid w:val="00AB3670"/>
    <w:rsid w:val="00AC1319"/>
    <w:rsid w:val="00AC15A7"/>
    <w:rsid w:val="00AC1E93"/>
    <w:rsid w:val="00AC1FC6"/>
    <w:rsid w:val="00AC35F3"/>
    <w:rsid w:val="00AC4548"/>
    <w:rsid w:val="00AC4CAC"/>
    <w:rsid w:val="00AC4FAF"/>
    <w:rsid w:val="00AC58D3"/>
    <w:rsid w:val="00AC5D27"/>
    <w:rsid w:val="00AC6A69"/>
    <w:rsid w:val="00AC77E6"/>
    <w:rsid w:val="00AD1059"/>
    <w:rsid w:val="00AD17DB"/>
    <w:rsid w:val="00AD1A9B"/>
    <w:rsid w:val="00AD4477"/>
    <w:rsid w:val="00AD51F9"/>
    <w:rsid w:val="00AD6B9F"/>
    <w:rsid w:val="00AE040D"/>
    <w:rsid w:val="00AE119D"/>
    <w:rsid w:val="00AE17F6"/>
    <w:rsid w:val="00AE1DA8"/>
    <w:rsid w:val="00AE27AF"/>
    <w:rsid w:val="00AE6431"/>
    <w:rsid w:val="00AE71F7"/>
    <w:rsid w:val="00AF0D69"/>
    <w:rsid w:val="00AF29E9"/>
    <w:rsid w:val="00AF2EE7"/>
    <w:rsid w:val="00AF3BA3"/>
    <w:rsid w:val="00AF3C52"/>
    <w:rsid w:val="00AF3D44"/>
    <w:rsid w:val="00AF4E79"/>
    <w:rsid w:val="00AF5BB6"/>
    <w:rsid w:val="00AF65BC"/>
    <w:rsid w:val="00AF7237"/>
    <w:rsid w:val="00AF727B"/>
    <w:rsid w:val="00AF7E49"/>
    <w:rsid w:val="00B003A1"/>
    <w:rsid w:val="00B01B77"/>
    <w:rsid w:val="00B032A5"/>
    <w:rsid w:val="00B033FE"/>
    <w:rsid w:val="00B04006"/>
    <w:rsid w:val="00B049F3"/>
    <w:rsid w:val="00B07F66"/>
    <w:rsid w:val="00B10656"/>
    <w:rsid w:val="00B10A95"/>
    <w:rsid w:val="00B10D05"/>
    <w:rsid w:val="00B11153"/>
    <w:rsid w:val="00B1137E"/>
    <w:rsid w:val="00B1317B"/>
    <w:rsid w:val="00B13E0B"/>
    <w:rsid w:val="00B15050"/>
    <w:rsid w:val="00B17BCE"/>
    <w:rsid w:val="00B206F3"/>
    <w:rsid w:val="00B20F1E"/>
    <w:rsid w:val="00B211A6"/>
    <w:rsid w:val="00B21303"/>
    <w:rsid w:val="00B220A9"/>
    <w:rsid w:val="00B23770"/>
    <w:rsid w:val="00B23C9C"/>
    <w:rsid w:val="00B2458A"/>
    <w:rsid w:val="00B25767"/>
    <w:rsid w:val="00B2585C"/>
    <w:rsid w:val="00B25A14"/>
    <w:rsid w:val="00B266A9"/>
    <w:rsid w:val="00B33567"/>
    <w:rsid w:val="00B35F49"/>
    <w:rsid w:val="00B40054"/>
    <w:rsid w:val="00B40AD8"/>
    <w:rsid w:val="00B41754"/>
    <w:rsid w:val="00B417ED"/>
    <w:rsid w:val="00B44375"/>
    <w:rsid w:val="00B44EFE"/>
    <w:rsid w:val="00B45B3B"/>
    <w:rsid w:val="00B46254"/>
    <w:rsid w:val="00B46859"/>
    <w:rsid w:val="00B46B09"/>
    <w:rsid w:val="00B5019A"/>
    <w:rsid w:val="00B515C6"/>
    <w:rsid w:val="00B5236D"/>
    <w:rsid w:val="00B526CA"/>
    <w:rsid w:val="00B52F6F"/>
    <w:rsid w:val="00B53EB1"/>
    <w:rsid w:val="00B549A4"/>
    <w:rsid w:val="00B566B8"/>
    <w:rsid w:val="00B5792E"/>
    <w:rsid w:val="00B60450"/>
    <w:rsid w:val="00B60594"/>
    <w:rsid w:val="00B605B8"/>
    <w:rsid w:val="00B60776"/>
    <w:rsid w:val="00B6111F"/>
    <w:rsid w:val="00B63FB3"/>
    <w:rsid w:val="00B65A78"/>
    <w:rsid w:val="00B7004F"/>
    <w:rsid w:val="00B704B3"/>
    <w:rsid w:val="00B716C1"/>
    <w:rsid w:val="00B719E7"/>
    <w:rsid w:val="00B71C02"/>
    <w:rsid w:val="00B730FB"/>
    <w:rsid w:val="00B735F1"/>
    <w:rsid w:val="00B73A76"/>
    <w:rsid w:val="00B75181"/>
    <w:rsid w:val="00B767C8"/>
    <w:rsid w:val="00B808CC"/>
    <w:rsid w:val="00B8129D"/>
    <w:rsid w:val="00B8161E"/>
    <w:rsid w:val="00B816F2"/>
    <w:rsid w:val="00B820F0"/>
    <w:rsid w:val="00B834B5"/>
    <w:rsid w:val="00B83A50"/>
    <w:rsid w:val="00B83ADA"/>
    <w:rsid w:val="00B86552"/>
    <w:rsid w:val="00B86A72"/>
    <w:rsid w:val="00B877DB"/>
    <w:rsid w:val="00B9471C"/>
    <w:rsid w:val="00B94A89"/>
    <w:rsid w:val="00B96D20"/>
    <w:rsid w:val="00B97511"/>
    <w:rsid w:val="00B97538"/>
    <w:rsid w:val="00B977B6"/>
    <w:rsid w:val="00BA2405"/>
    <w:rsid w:val="00BA24D0"/>
    <w:rsid w:val="00BA6374"/>
    <w:rsid w:val="00BA7300"/>
    <w:rsid w:val="00BB0E75"/>
    <w:rsid w:val="00BB2AAF"/>
    <w:rsid w:val="00BC02C6"/>
    <w:rsid w:val="00BC2A1F"/>
    <w:rsid w:val="00BC33D5"/>
    <w:rsid w:val="00BC4EAD"/>
    <w:rsid w:val="00BC621A"/>
    <w:rsid w:val="00BC6623"/>
    <w:rsid w:val="00BD0BC0"/>
    <w:rsid w:val="00BD1328"/>
    <w:rsid w:val="00BD35A6"/>
    <w:rsid w:val="00BD589F"/>
    <w:rsid w:val="00BD6A81"/>
    <w:rsid w:val="00BD70FE"/>
    <w:rsid w:val="00BD73EA"/>
    <w:rsid w:val="00BE0551"/>
    <w:rsid w:val="00BE168F"/>
    <w:rsid w:val="00BE22AB"/>
    <w:rsid w:val="00BE3C0F"/>
    <w:rsid w:val="00BE465B"/>
    <w:rsid w:val="00BE4986"/>
    <w:rsid w:val="00BE4A8C"/>
    <w:rsid w:val="00BE5F6B"/>
    <w:rsid w:val="00BE5F9D"/>
    <w:rsid w:val="00BE724B"/>
    <w:rsid w:val="00BF025E"/>
    <w:rsid w:val="00BF1443"/>
    <w:rsid w:val="00BF14A5"/>
    <w:rsid w:val="00BF1502"/>
    <w:rsid w:val="00BF1A12"/>
    <w:rsid w:val="00BF1BCC"/>
    <w:rsid w:val="00BF2CB2"/>
    <w:rsid w:val="00BF2DFD"/>
    <w:rsid w:val="00BF33F3"/>
    <w:rsid w:val="00BF4493"/>
    <w:rsid w:val="00BF4C24"/>
    <w:rsid w:val="00BF4D31"/>
    <w:rsid w:val="00BF6F67"/>
    <w:rsid w:val="00BF796E"/>
    <w:rsid w:val="00C0068A"/>
    <w:rsid w:val="00C00AE5"/>
    <w:rsid w:val="00C00C17"/>
    <w:rsid w:val="00C01886"/>
    <w:rsid w:val="00C025BE"/>
    <w:rsid w:val="00C040FA"/>
    <w:rsid w:val="00C04F3E"/>
    <w:rsid w:val="00C07C04"/>
    <w:rsid w:val="00C07C89"/>
    <w:rsid w:val="00C10298"/>
    <w:rsid w:val="00C10DCE"/>
    <w:rsid w:val="00C11C7E"/>
    <w:rsid w:val="00C12CFA"/>
    <w:rsid w:val="00C17245"/>
    <w:rsid w:val="00C1734C"/>
    <w:rsid w:val="00C17D9B"/>
    <w:rsid w:val="00C205CE"/>
    <w:rsid w:val="00C20799"/>
    <w:rsid w:val="00C20D16"/>
    <w:rsid w:val="00C20E1C"/>
    <w:rsid w:val="00C212FA"/>
    <w:rsid w:val="00C232A3"/>
    <w:rsid w:val="00C23B7A"/>
    <w:rsid w:val="00C241DD"/>
    <w:rsid w:val="00C2455D"/>
    <w:rsid w:val="00C24721"/>
    <w:rsid w:val="00C260FD"/>
    <w:rsid w:val="00C278D2"/>
    <w:rsid w:val="00C31AB3"/>
    <w:rsid w:val="00C31BFF"/>
    <w:rsid w:val="00C3210F"/>
    <w:rsid w:val="00C3479C"/>
    <w:rsid w:val="00C35010"/>
    <w:rsid w:val="00C355C6"/>
    <w:rsid w:val="00C356DD"/>
    <w:rsid w:val="00C36684"/>
    <w:rsid w:val="00C3721D"/>
    <w:rsid w:val="00C37B99"/>
    <w:rsid w:val="00C37CDA"/>
    <w:rsid w:val="00C40B45"/>
    <w:rsid w:val="00C40DC3"/>
    <w:rsid w:val="00C40FE0"/>
    <w:rsid w:val="00C41035"/>
    <w:rsid w:val="00C43B94"/>
    <w:rsid w:val="00C43DCC"/>
    <w:rsid w:val="00C457AC"/>
    <w:rsid w:val="00C46C75"/>
    <w:rsid w:val="00C47CD5"/>
    <w:rsid w:val="00C47E1A"/>
    <w:rsid w:val="00C50A16"/>
    <w:rsid w:val="00C50FD2"/>
    <w:rsid w:val="00C51B7D"/>
    <w:rsid w:val="00C530B6"/>
    <w:rsid w:val="00C53942"/>
    <w:rsid w:val="00C54336"/>
    <w:rsid w:val="00C55915"/>
    <w:rsid w:val="00C56020"/>
    <w:rsid w:val="00C608B7"/>
    <w:rsid w:val="00C62518"/>
    <w:rsid w:val="00C633A6"/>
    <w:rsid w:val="00C64998"/>
    <w:rsid w:val="00C65068"/>
    <w:rsid w:val="00C6519B"/>
    <w:rsid w:val="00C659B9"/>
    <w:rsid w:val="00C65B69"/>
    <w:rsid w:val="00C70029"/>
    <w:rsid w:val="00C71F86"/>
    <w:rsid w:val="00C72FA7"/>
    <w:rsid w:val="00C734F2"/>
    <w:rsid w:val="00C74E61"/>
    <w:rsid w:val="00C75D88"/>
    <w:rsid w:val="00C75EC6"/>
    <w:rsid w:val="00C76783"/>
    <w:rsid w:val="00C7693D"/>
    <w:rsid w:val="00C76C64"/>
    <w:rsid w:val="00C76D9C"/>
    <w:rsid w:val="00C800F3"/>
    <w:rsid w:val="00C80443"/>
    <w:rsid w:val="00C8164C"/>
    <w:rsid w:val="00C821BF"/>
    <w:rsid w:val="00C85098"/>
    <w:rsid w:val="00C85659"/>
    <w:rsid w:val="00C901DA"/>
    <w:rsid w:val="00C902A2"/>
    <w:rsid w:val="00C91CAB"/>
    <w:rsid w:val="00C95A9B"/>
    <w:rsid w:val="00C95CC9"/>
    <w:rsid w:val="00C96447"/>
    <w:rsid w:val="00C96E07"/>
    <w:rsid w:val="00C96E39"/>
    <w:rsid w:val="00C96E4E"/>
    <w:rsid w:val="00C9750B"/>
    <w:rsid w:val="00C975DA"/>
    <w:rsid w:val="00CA0C9D"/>
    <w:rsid w:val="00CA13A3"/>
    <w:rsid w:val="00CA26D5"/>
    <w:rsid w:val="00CA28DE"/>
    <w:rsid w:val="00CA3D58"/>
    <w:rsid w:val="00CA3D8A"/>
    <w:rsid w:val="00CA48D9"/>
    <w:rsid w:val="00CA5DC0"/>
    <w:rsid w:val="00CA6FB9"/>
    <w:rsid w:val="00CA773C"/>
    <w:rsid w:val="00CB1A52"/>
    <w:rsid w:val="00CB21E0"/>
    <w:rsid w:val="00CB2527"/>
    <w:rsid w:val="00CB2E3B"/>
    <w:rsid w:val="00CB3C36"/>
    <w:rsid w:val="00CB4EAB"/>
    <w:rsid w:val="00CB5B1E"/>
    <w:rsid w:val="00CB6AF2"/>
    <w:rsid w:val="00CB759F"/>
    <w:rsid w:val="00CB78E9"/>
    <w:rsid w:val="00CC0191"/>
    <w:rsid w:val="00CC01D8"/>
    <w:rsid w:val="00CC0FA5"/>
    <w:rsid w:val="00CC12D3"/>
    <w:rsid w:val="00CC303D"/>
    <w:rsid w:val="00CC32B8"/>
    <w:rsid w:val="00CC3922"/>
    <w:rsid w:val="00CC3A02"/>
    <w:rsid w:val="00CC4122"/>
    <w:rsid w:val="00CC5138"/>
    <w:rsid w:val="00CC58C0"/>
    <w:rsid w:val="00CC6803"/>
    <w:rsid w:val="00CC6A74"/>
    <w:rsid w:val="00CC7E99"/>
    <w:rsid w:val="00CC7F16"/>
    <w:rsid w:val="00CD0447"/>
    <w:rsid w:val="00CD06EF"/>
    <w:rsid w:val="00CD1060"/>
    <w:rsid w:val="00CD30DD"/>
    <w:rsid w:val="00CD374F"/>
    <w:rsid w:val="00CD3E48"/>
    <w:rsid w:val="00CD48B4"/>
    <w:rsid w:val="00CD5364"/>
    <w:rsid w:val="00CD6E03"/>
    <w:rsid w:val="00CD7836"/>
    <w:rsid w:val="00CE0573"/>
    <w:rsid w:val="00CE0D86"/>
    <w:rsid w:val="00CE1C96"/>
    <w:rsid w:val="00CE4F31"/>
    <w:rsid w:val="00CE52FD"/>
    <w:rsid w:val="00CE5503"/>
    <w:rsid w:val="00CE7957"/>
    <w:rsid w:val="00CF06E6"/>
    <w:rsid w:val="00CF07EF"/>
    <w:rsid w:val="00CF1CA8"/>
    <w:rsid w:val="00CF30DE"/>
    <w:rsid w:val="00CF385E"/>
    <w:rsid w:val="00CF3948"/>
    <w:rsid w:val="00CF5634"/>
    <w:rsid w:val="00D0008F"/>
    <w:rsid w:val="00D00466"/>
    <w:rsid w:val="00D00EAE"/>
    <w:rsid w:val="00D01267"/>
    <w:rsid w:val="00D03643"/>
    <w:rsid w:val="00D03B11"/>
    <w:rsid w:val="00D0492B"/>
    <w:rsid w:val="00D04AFB"/>
    <w:rsid w:val="00D04D3A"/>
    <w:rsid w:val="00D054BB"/>
    <w:rsid w:val="00D06DE2"/>
    <w:rsid w:val="00D07396"/>
    <w:rsid w:val="00D07EF2"/>
    <w:rsid w:val="00D1053F"/>
    <w:rsid w:val="00D16AC6"/>
    <w:rsid w:val="00D171AC"/>
    <w:rsid w:val="00D17B70"/>
    <w:rsid w:val="00D17C26"/>
    <w:rsid w:val="00D22AEE"/>
    <w:rsid w:val="00D237A0"/>
    <w:rsid w:val="00D2402C"/>
    <w:rsid w:val="00D24208"/>
    <w:rsid w:val="00D2789E"/>
    <w:rsid w:val="00D30B90"/>
    <w:rsid w:val="00D31FD8"/>
    <w:rsid w:val="00D3580B"/>
    <w:rsid w:val="00D36A8D"/>
    <w:rsid w:val="00D40F6F"/>
    <w:rsid w:val="00D42E0C"/>
    <w:rsid w:val="00D44282"/>
    <w:rsid w:val="00D46986"/>
    <w:rsid w:val="00D47A2F"/>
    <w:rsid w:val="00D500C5"/>
    <w:rsid w:val="00D513E3"/>
    <w:rsid w:val="00D52C91"/>
    <w:rsid w:val="00D543B7"/>
    <w:rsid w:val="00D544F6"/>
    <w:rsid w:val="00D54CF9"/>
    <w:rsid w:val="00D55964"/>
    <w:rsid w:val="00D55BF9"/>
    <w:rsid w:val="00D55F40"/>
    <w:rsid w:val="00D57FA1"/>
    <w:rsid w:val="00D6009F"/>
    <w:rsid w:val="00D602EF"/>
    <w:rsid w:val="00D607B1"/>
    <w:rsid w:val="00D639E8"/>
    <w:rsid w:val="00D64776"/>
    <w:rsid w:val="00D64D2C"/>
    <w:rsid w:val="00D65863"/>
    <w:rsid w:val="00D70B4F"/>
    <w:rsid w:val="00D71F3A"/>
    <w:rsid w:val="00D72316"/>
    <w:rsid w:val="00D73F87"/>
    <w:rsid w:val="00D75E50"/>
    <w:rsid w:val="00D75EE1"/>
    <w:rsid w:val="00D80C57"/>
    <w:rsid w:val="00D8105A"/>
    <w:rsid w:val="00D81D94"/>
    <w:rsid w:val="00D832BA"/>
    <w:rsid w:val="00D832D4"/>
    <w:rsid w:val="00D844A7"/>
    <w:rsid w:val="00D846A4"/>
    <w:rsid w:val="00D850E3"/>
    <w:rsid w:val="00D85399"/>
    <w:rsid w:val="00D858A1"/>
    <w:rsid w:val="00D865A5"/>
    <w:rsid w:val="00D90E1C"/>
    <w:rsid w:val="00D910F8"/>
    <w:rsid w:val="00D929AC"/>
    <w:rsid w:val="00D94505"/>
    <w:rsid w:val="00D958DF"/>
    <w:rsid w:val="00DA1D25"/>
    <w:rsid w:val="00DA4891"/>
    <w:rsid w:val="00DA4A43"/>
    <w:rsid w:val="00DA5A9A"/>
    <w:rsid w:val="00DA7978"/>
    <w:rsid w:val="00DB019F"/>
    <w:rsid w:val="00DB1AE0"/>
    <w:rsid w:val="00DB4147"/>
    <w:rsid w:val="00DB435B"/>
    <w:rsid w:val="00DB5890"/>
    <w:rsid w:val="00DB59E9"/>
    <w:rsid w:val="00DC06EC"/>
    <w:rsid w:val="00DC0824"/>
    <w:rsid w:val="00DC41E2"/>
    <w:rsid w:val="00DC4414"/>
    <w:rsid w:val="00DC4690"/>
    <w:rsid w:val="00DC569D"/>
    <w:rsid w:val="00DC5D63"/>
    <w:rsid w:val="00DC6A9F"/>
    <w:rsid w:val="00DC772F"/>
    <w:rsid w:val="00DD06F3"/>
    <w:rsid w:val="00DD0A87"/>
    <w:rsid w:val="00DD1083"/>
    <w:rsid w:val="00DD2242"/>
    <w:rsid w:val="00DD2E85"/>
    <w:rsid w:val="00DD32F1"/>
    <w:rsid w:val="00DD445C"/>
    <w:rsid w:val="00DD45B3"/>
    <w:rsid w:val="00DD7433"/>
    <w:rsid w:val="00DD751B"/>
    <w:rsid w:val="00DE093E"/>
    <w:rsid w:val="00DE10A3"/>
    <w:rsid w:val="00DE1495"/>
    <w:rsid w:val="00DE21ED"/>
    <w:rsid w:val="00DE2516"/>
    <w:rsid w:val="00DE452B"/>
    <w:rsid w:val="00DE49A4"/>
    <w:rsid w:val="00DE52AC"/>
    <w:rsid w:val="00DE554B"/>
    <w:rsid w:val="00DE7E60"/>
    <w:rsid w:val="00DF191F"/>
    <w:rsid w:val="00DF27CB"/>
    <w:rsid w:val="00DF28A4"/>
    <w:rsid w:val="00DF2A41"/>
    <w:rsid w:val="00DF5FE6"/>
    <w:rsid w:val="00DF6199"/>
    <w:rsid w:val="00DF6395"/>
    <w:rsid w:val="00DF6B54"/>
    <w:rsid w:val="00E0033E"/>
    <w:rsid w:val="00E00945"/>
    <w:rsid w:val="00E00F07"/>
    <w:rsid w:val="00E0329F"/>
    <w:rsid w:val="00E104DE"/>
    <w:rsid w:val="00E10F17"/>
    <w:rsid w:val="00E115DE"/>
    <w:rsid w:val="00E11D72"/>
    <w:rsid w:val="00E127BF"/>
    <w:rsid w:val="00E138DD"/>
    <w:rsid w:val="00E13A3D"/>
    <w:rsid w:val="00E13B45"/>
    <w:rsid w:val="00E146CB"/>
    <w:rsid w:val="00E14DB1"/>
    <w:rsid w:val="00E15808"/>
    <w:rsid w:val="00E21174"/>
    <w:rsid w:val="00E220DA"/>
    <w:rsid w:val="00E221B0"/>
    <w:rsid w:val="00E223A5"/>
    <w:rsid w:val="00E22F62"/>
    <w:rsid w:val="00E24984"/>
    <w:rsid w:val="00E24C6B"/>
    <w:rsid w:val="00E24D3D"/>
    <w:rsid w:val="00E262EF"/>
    <w:rsid w:val="00E26F43"/>
    <w:rsid w:val="00E30D00"/>
    <w:rsid w:val="00E316E4"/>
    <w:rsid w:val="00E32016"/>
    <w:rsid w:val="00E3396F"/>
    <w:rsid w:val="00E33E48"/>
    <w:rsid w:val="00E34B83"/>
    <w:rsid w:val="00E35960"/>
    <w:rsid w:val="00E3654D"/>
    <w:rsid w:val="00E367D0"/>
    <w:rsid w:val="00E36BA6"/>
    <w:rsid w:val="00E40429"/>
    <w:rsid w:val="00E40A95"/>
    <w:rsid w:val="00E459AA"/>
    <w:rsid w:val="00E45B6E"/>
    <w:rsid w:val="00E46B0E"/>
    <w:rsid w:val="00E471A6"/>
    <w:rsid w:val="00E47BAD"/>
    <w:rsid w:val="00E47F87"/>
    <w:rsid w:val="00E511A4"/>
    <w:rsid w:val="00E5182F"/>
    <w:rsid w:val="00E520FC"/>
    <w:rsid w:val="00E52200"/>
    <w:rsid w:val="00E524C3"/>
    <w:rsid w:val="00E5264F"/>
    <w:rsid w:val="00E52B42"/>
    <w:rsid w:val="00E53432"/>
    <w:rsid w:val="00E54A9D"/>
    <w:rsid w:val="00E55078"/>
    <w:rsid w:val="00E555A3"/>
    <w:rsid w:val="00E56261"/>
    <w:rsid w:val="00E57A11"/>
    <w:rsid w:val="00E601AD"/>
    <w:rsid w:val="00E61C78"/>
    <w:rsid w:val="00E61F4F"/>
    <w:rsid w:val="00E62A83"/>
    <w:rsid w:val="00E62ABC"/>
    <w:rsid w:val="00E63370"/>
    <w:rsid w:val="00E6369A"/>
    <w:rsid w:val="00E6409A"/>
    <w:rsid w:val="00E64451"/>
    <w:rsid w:val="00E661A7"/>
    <w:rsid w:val="00E7185C"/>
    <w:rsid w:val="00E719CD"/>
    <w:rsid w:val="00E73B46"/>
    <w:rsid w:val="00E741BF"/>
    <w:rsid w:val="00E7454C"/>
    <w:rsid w:val="00E7643E"/>
    <w:rsid w:val="00E76745"/>
    <w:rsid w:val="00E767C1"/>
    <w:rsid w:val="00E77550"/>
    <w:rsid w:val="00E810E3"/>
    <w:rsid w:val="00E81929"/>
    <w:rsid w:val="00E81EE0"/>
    <w:rsid w:val="00E82049"/>
    <w:rsid w:val="00E842B3"/>
    <w:rsid w:val="00E8460B"/>
    <w:rsid w:val="00E85E9C"/>
    <w:rsid w:val="00E85FE5"/>
    <w:rsid w:val="00E8627E"/>
    <w:rsid w:val="00E91841"/>
    <w:rsid w:val="00E924B4"/>
    <w:rsid w:val="00E94AC7"/>
    <w:rsid w:val="00E955AE"/>
    <w:rsid w:val="00E96F42"/>
    <w:rsid w:val="00EA26B6"/>
    <w:rsid w:val="00EA2720"/>
    <w:rsid w:val="00EA3C5A"/>
    <w:rsid w:val="00EA3D26"/>
    <w:rsid w:val="00EA5432"/>
    <w:rsid w:val="00EA79EC"/>
    <w:rsid w:val="00EB04EA"/>
    <w:rsid w:val="00EB0806"/>
    <w:rsid w:val="00EB1596"/>
    <w:rsid w:val="00EB2946"/>
    <w:rsid w:val="00EB36F2"/>
    <w:rsid w:val="00EB45BE"/>
    <w:rsid w:val="00EB62D4"/>
    <w:rsid w:val="00EB67B7"/>
    <w:rsid w:val="00EB7891"/>
    <w:rsid w:val="00EB797E"/>
    <w:rsid w:val="00EB7F59"/>
    <w:rsid w:val="00EC05F0"/>
    <w:rsid w:val="00EC3D94"/>
    <w:rsid w:val="00EC4230"/>
    <w:rsid w:val="00EC69C7"/>
    <w:rsid w:val="00EC6EA3"/>
    <w:rsid w:val="00EC7262"/>
    <w:rsid w:val="00ED0996"/>
    <w:rsid w:val="00ED0F7F"/>
    <w:rsid w:val="00ED1A73"/>
    <w:rsid w:val="00ED430C"/>
    <w:rsid w:val="00ED4609"/>
    <w:rsid w:val="00ED504A"/>
    <w:rsid w:val="00ED50F5"/>
    <w:rsid w:val="00ED57E4"/>
    <w:rsid w:val="00ED7D09"/>
    <w:rsid w:val="00EE1734"/>
    <w:rsid w:val="00EE265B"/>
    <w:rsid w:val="00EE2AC3"/>
    <w:rsid w:val="00EE3280"/>
    <w:rsid w:val="00EE35F5"/>
    <w:rsid w:val="00EE42E0"/>
    <w:rsid w:val="00EE6F5A"/>
    <w:rsid w:val="00EE7D39"/>
    <w:rsid w:val="00EF11B6"/>
    <w:rsid w:val="00EF1FE0"/>
    <w:rsid w:val="00EF20C4"/>
    <w:rsid w:val="00EF2836"/>
    <w:rsid w:val="00EF41F1"/>
    <w:rsid w:val="00EF4DF7"/>
    <w:rsid w:val="00EF6830"/>
    <w:rsid w:val="00F00683"/>
    <w:rsid w:val="00F01808"/>
    <w:rsid w:val="00F01BE5"/>
    <w:rsid w:val="00F01FB7"/>
    <w:rsid w:val="00F04122"/>
    <w:rsid w:val="00F058AC"/>
    <w:rsid w:val="00F069F3"/>
    <w:rsid w:val="00F07DFD"/>
    <w:rsid w:val="00F07E64"/>
    <w:rsid w:val="00F109E9"/>
    <w:rsid w:val="00F11124"/>
    <w:rsid w:val="00F1155C"/>
    <w:rsid w:val="00F11EA6"/>
    <w:rsid w:val="00F12874"/>
    <w:rsid w:val="00F12945"/>
    <w:rsid w:val="00F13994"/>
    <w:rsid w:val="00F14557"/>
    <w:rsid w:val="00F16C3A"/>
    <w:rsid w:val="00F17735"/>
    <w:rsid w:val="00F177AB"/>
    <w:rsid w:val="00F2006B"/>
    <w:rsid w:val="00F22769"/>
    <w:rsid w:val="00F22968"/>
    <w:rsid w:val="00F23096"/>
    <w:rsid w:val="00F23CCB"/>
    <w:rsid w:val="00F2479A"/>
    <w:rsid w:val="00F25116"/>
    <w:rsid w:val="00F252A3"/>
    <w:rsid w:val="00F25C95"/>
    <w:rsid w:val="00F25FD8"/>
    <w:rsid w:val="00F26886"/>
    <w:rsid w:val="00F27EDD"/>
    <w:rsid w:val="00F3067B"/>
    <w:rsid w:val="00F31920"/>
    <w:rsid w:val="00F325E4"/>
    <w:rsid w:val="00F32AC7"/>
    <w:rsid w:val="00F33C2F"/>
    <w:rsid w:val="00F346B8"/>
    <w:rsid w:val="00F34A01"/>
    <w:rsid w:val="00F34EF4"/>
    <w:rsid w:val="00F35345"/>
    <w:rsid w:val="00F3534F"/>
    <w:rsid w:val="00F3689E"/>
    <w:rsid w:val="00F3779E"/>
    <w:rsid w:val="00F37DE2"/>
    <w:rsid w:val="00F402E8"/>
    <w:rsid w:val="00F430E3"/>
    <w:rsid w:val="00F43B7F"/>
    <w:rsid w:val="00F43DEA"/>
    <w:rsid w:val="00F43E41"/>
    <w:rsid w:val="00F46984"/>
    <w:rsid w:val="00F46E76"/>
    <w:rsid w:val="00F472EC"/>
    <w:rsid w:val="00F5044D"/>
    <w:rsid w:val="00F50DFD"/>
    <w:rsid w:val="00F526B3"/>
    <w:rsid w:val="00F52ECF"/>
    <w:rsid w:val="00F5399D"/>
    <w:rsid w:val="00F539E8"/>
    <w:rsid w:val="00F53BA1"/>
    <w:rsid w:val="00F54EB3"/>
    <w:rsid w:val="00F54FC2"/>
    <w:rsid w:val="00F55FC7"/>
    <w:rsid w:val="00F57B18"/>
    <w:rsid w:val="00F609AA"/>
    <w:rsid w:val="00F60BA9"/>
    <w:rsid w:val="00F60FC9"/>
    <w:rsid w:val="00F61983"/>
    <w:rsid w:val="00F62522"/>
    <w:rsid w:val="00F62E9A"/>
    <w:rsid w:val="00F63918"/>
    <w:rsid w:val="00F658BD"/>
    <w:rsid w:val="00F66A96"/>
    <w:rsid w:val="00F707C4"/>
    <w:rsid w:val="00F70ADC"/>
    <w:rsid w:val="00F71987"/>
    <w:rsid w:val="00F726E6"/>
    <w:rsid w:val="00F7365D"/>
    <w:rsid w:val="00F740F0"/>
    <w:rsid w:val="00F8203E"/>
    <w:rsid w:val="00F82267"/>
    <w:rsid w:val="00F8230D"/>
    <w:rsid w:val="00F82A9F"/>
    <w:rsid w:val="00F82E49"/>
    <w:rsid w:val="00F84FFA"/>
    <w:rsid w:val="00F8521B"/>
    <w:rsid w:val="00F86C06"/>
    <w:rsid w:val="00F90035"/>
    <w:rsid w:val="00F91213"/>
    <w:rsid w:val="00F9208D"/>
    <w:rsid w:val="00F958C0"/>
    <w:rsid w:val="00F95BA3"/>
    <w:rsid w:val="00F96FB2"/>
    <w:rsid w:val="00F97694"/>
    <w:rsid w:val="00FA089B"/>
    <w:rsid w:val="00FA0C87"/>
    <w:rsid w:val="00FA2EA8"/>
    <w:rsid w:val="00FA3899"/>
    <w:rsid w:val="00FA4EAE"/>
    <w:rsid w:val="00FA5739"/>
    <w:rsid w:val="00FA6503"/>
    <w:rsid w:val="00FA7E80"/>
    <w:rsid w:val="00FB01D9"/>
    <w:rsid w:val="00FB0D0C"/>
    <w:rsid w:val="00FB3CF5"/>
    <w:rsid w:val="00FB71FE"/>
    <w:rsid w:val="00FB7C6A"/>
    <w:rsid w:val="00FB7EDD"/>
    <w:rsid w:val="00FC192B"/>
    <w:rsid w:val="00FC1D9F"/>
    <w:rsid w:val="00FC3093"/>
    <w:rsid w:val="00FC33B6"/>
    <w:rsid w:val="00FC4C2F"/>
    <w:rsid w:val="00FC6A6D"/>
    <w:rsid w:val="00FD0213"/>
    <w:rsid w:val="00FD107C"/>
    <w:rsid w:val="00FD14E3"/>
    <w:rsid w:val="00FD1D69"/>
    <w:rsid w:val="00FD35AA"/>
    <w:rsid w:val="00FD36E4"/>
    <w:rsid w:val="00FD37B3"/>
    <w:rsid w:val="00FD473C"/>
    <w:rsid w:val="00FD4A69"/>
    <w:rsid w:val="00FD6855"/>
    <w:rsid w:val="00FD76F8"/>
    <w:rsid w:val="00FE06C4"/>
    <w:rsid w:val="00FE0856"/>
    <w:rsid w:val="00FE1F15"/>
    <w:rsid w:val="00FE23BF"/>
    <w:rsid w:val="00FE28F0"/>
    <w:rsid w:val="00FE30C9"/>
    <w:rsid w:val="00FE3F7C"/>
    <w:rsid w:val="00FE4681"/>
    <w:rsid w:val="00FE4936"/>
    <w:rsid w:val="00FE6E43"/>
    <w:rsid w:val="00FF3AA8"/>
    <w:rsid w:val="00FF5167"/>
    <w:rsid w:val="00FF5EE8"/>
    <w:rsid w:val="00FF618B"/>
    <w:rsid w:val="00FF673F"/>
    <w:rsid w:val="00FF7894"/>
    <w:rsid w:val="00FF7DAC"/>
  </w:rsids>
  <m:mathPr>
    <m:mathFont m:val="Cambria Math"/>
    <m:brkBin m:val="before"/>
    <m:brkBinSub m:val="--"/>
    <m:smallFrac m:val="0"/>
    <m:dispDef/>
    <m:lMargin m:val="0"/>
    <m:rMargin m:val="0"/>
    <m:defJc m:val="centerGroup"/>
    <m:wrapIndent m:val="1440"/>
    <m:intLim m:val="subSup"/>
    <m:naryLim m:val="undOvr"/>
  </m:mathPr>
  <w:themeFontLang w:val="en-I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BCEAA"/>
  <w15:docId w15:val="{6EF51D00-825A-4E4B-B938-99C6FE0AC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6F43"/>
    <w:pPr>
      <w:spacing w:line="360" w:lineRule="auto"/>
      <w:jc w:val="both"/>
    </w:pPr>
    <w:rPr>
      <w:rFonts w:ascii="Times New Roman" w:hAnsi="Times New Roman"/>
      <w:sz w:val="20"/>
    </w:rPr>
  </w:style>
  <w:style w:type="paragraph" w:styleId="Heading1">
    <w:name w:val="heading 1"/>
    <w:basedOn w:val="Normal"/>
    <w:next w:val="Normal"/>
    <w:link w:val="Heading1Char"/>
    <w:uiPriority w:val="9"/>
    <w:qFormat/>
    <w:rsid w:val="0053682D"/>
    <w:pPr>
      <w:keepNext/>
      <w:keepLines/>
      <w:spacing w:before="240" w:after="0"/>
      <w:outlineLvl w:val="0"/>
    </w:pPr>
    <w:rPr>
      <w:rFonts w:eastAsiaTheme="majorEastAsia" w:cstheme="majorBidi"/>
      <w:b/>
      <w:sz w:val="24"/>
      <w:szCs w:val="32"/>
    </w:rPr>
  </w:style>
  <w:style w:type="paragraph" w:styleId="Heading2">
    <w:name w:val="heading 2"/>
    <w:basedOn w:val="Normal"/>
    <w:next w:val="Normal"/>
    <w:link w:val="Heading2Char"/>
    <w:uiPriority w:val="9"/>
    <w:unhideWhenUsed/>
    <w:qFormat/>
    <w:rsid w:val="0053682D"/>
    <w:pPr>
      <w:keepNext/>
      <w:keepLines/>
      <w:spacing w:before="40" w:after="0"/>
      <w:outlineLvl w:val="1"/>
    </w:pPr>
    <w:rPr>
      <w:rFonts w:eastAsiaTheme="majorEastAsia" w:cstheme="majorBidi"/>
      <w:b/>
      <w:sz w:val="22"/>
      <w:szCs w:val="26"/>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682D"/>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53682D"/>
    <w:rPr>
      <w:rFonts w:ascii="Times New Roman" w:eastAsiaTheme="majorEastAsia" w:hAnsi="Times New Roman" w:cstheme="majorBidi"/>
      <w:b/>
      <w:szCs w:val="26"/>
      <w:u w:val="single"/>
    </w:rPr>
  </w:style>
  <w:style w:type="paragraph" w:styleId="Title">
    <w:name w:val="Title"/>
    <w:basedOn w:val="Normal"/>
    <w:next w:val="Normal"/>
    <w:link w:val="TitleChar"/>
    <w:uiPriority w:val="10"/>
    <w:qFormat/>
    <w:rsid w:val="00935257"/>
    <w:pPr>
      <w:spacing w:after="0" w:line="240" w:lineRule="auto"/>
      <w:contextualSpacing/>
    </w:pPr>
    <w:rPr>
      <w:rFonts w:eastAsiaTheme="majorEastAsia" w:cstheme="majorBidi"/>
      <w:b/>
      <w:spacing w:val="-10"/>
      <w:kern w:val="28"/>
      <w:sz w:val="40"/>
      <w:szCs w:val="56"/>
    </w:rPr>
  </w:style>
  <w:style w:type="character" w:customStyle="1" w:styleId="TitleChar">
    <w:name w:val="Title Char"/>
    <w:basedOn w:val="DefaultParagraphFont"/>
    <w:link w:val="Title"/>
    <w:uiPriority w:val="10"/>
    <w:rsid w:val="00935257"/>
    <w:rPr>
      <w:rFonts w:ascii="Times New Roman" w:eastAsiaTheme="majorEastAsia" w:hAnsi="Times New Roman" w:cstheme="majorBidi"/>
      <w:b/>
      <w:spacing w:val="-10"/>
      <w:kern w:val="28"/>
      <w:sz w:val="40"/>
      <w:szCs w:val="56"/>
    </w:rPr>
  </w:style>
  <w:style w:type="character" w:styleId="LineNumber">
    <w:name w:val="line number"/>
    <w:basedOn w:val="DefaultParagraphFont"/>
    <w:uiPriority w:val="99"/>
    <w:semiHidden/>
    <w:unhideWhenUsed/>
    <w:rsid w:val="000234E2"/>
  </w:style>
  <w:style w:type="paragraph" w:styleId="Header">
    <w:name w:val="header"/>
    <w:basedOn w:val="Normal"/>
    <w:link w:val="HeaderChar"/>
    <w:uiPriority w:val="99"/>
    <w:unhideWhenUsed/>
    <w:rsid w:val="003D66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660F"/>
    <w:rPr>
      <w:rFonts w:ascii="Times New Roman" w:hAnsi="Times New Roman"/>
      <w:sz w:val="24"/>
    </w:rPr>
  </w:style>
  <w:style w:type="paragraph" w:styleId="Footer">
    <w:name w:val="footer"/>
    <w:basedOn w:val="Normal"/>
    <w:link w:val="FooterChar"/>
    <w:uiPriority w:val="99"/>
    <w:unhideWhenUsed/>
    <w:rsid w:val="003D66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660F"/>
    <w:rPr>
      <w:rFonts w:ascii="Times New Roman" w:hAnsi="Times New Roman"/>
      <w:sz w:val="24"/>
    </w:rPr>
  </w:style>
  <w:style w:type="character" w:styleId="CommentReference">
    <w:name w:val="annotation reference"/>
    <w:basedOn w:val="DefaultParagraphFont"/>
    <w:uiPriority w:val="99"/>
    <w:semiHidden/>
    <w:unhideWhenUsed/>
    <w:rsid w:val="001B51A6"/>
    <w:rPr>
      <w:sz w:val="16"/>
      <w:szCs w:val="16"/>
    </w:rPr>
  </w:style>
  <w:style w:type="paragraph" w:styleId="CommentText">
    <w:name w:val="annotation text"/>
    <w:basedOn w:val="Normal"/>
    <w:link w:val="CommentTextChar"/>
    <w:uiPriority w:val="99"/>
    <w:unhideWhenUsed/>
    <w:rsid w:val="001B51A6"/>
    <w:pPr>
      <w:spacing w:line="240" w:lineRule="auto"/>
    </w:pPr>
    <w:rPr>
      <w:szCs w:val="20"/>
    </w:rPr>
  </w:style>
  <w:style w:type="character" w:customStyle="1" w:styleId="CommentTextChar">
    <w:name w:val="Comment Text Char"/>
    <w:basedOn w:val="DefaultParagraphFont"/>
    <w:link w:val="CommentText"/>
    <w:uiPriority w:val="99"/>
    <w:rsid w:val="001B51A6"/>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1B51A6"/>
    <w:rPr>
      <w:b/>
      <w:bCs/>
    </w:rPr>
  </w:style>
  <w:style w:type="character" w:customStyle="1" w:styleId="CommentSubjectChar">
    <w:name w:val="Comment Subject Char"/>
    <w:basedOn w:val="CommentTextChar"/>
    <w:link w:val="CommentSubject"/>
    <w:uiPriority w:val="99"/>
    <w:semiHidden/>
    <w:rsid w:val="001B51A6"/>
    <w:rPr>
      <w:rFonts w:ascii="Times New Roman" w:hAnsi="Times New Roman"/>
      <w:b/>
      <w:bCs/>
      <w:sz w:val="20"/>
      <w:szCs w:val="20"/>
    </w:rPr>
  </w:style>
  <w:style w:type="character" w:styleId="Hyperlink">
    <w:name w:val="Hyperlink"/>
    <w:basedOn w:val="DefaultParagraphFont"/>
    <w:uiPriority w:val="99"/>
    <w:unhideWhenUsed/>
    <w:rsid w:val="001B51A6"/>
    <w:rPr>
      <w:color w:val="0563C1" w:themeColor="hyperlink"/>
      <w:u w:val="single"/>
    </w:rPr>
  </w:style>
  <w:style w:type="character" w:styleId="UnresolvedMention">
    <w:name w:val="Unresolved Mention"/>
    <w:basedOn w:val="DefaultParagraphFont"/>
    <w:uiPriority w:val="99"/>
    <w:semiHidden/>
    <w:unhideWhenUsed/>
    <w:rsid w:val="001B51A6"/>
    <w:rPr>
      <w:color w:val="605E5C"/>
      <w:shd w:val="clear" w:color="auto" w:fill="E1DFDD"/>
    </w:rPr>
  </w:style>
  <w:style w:type="paragraph" w:styleId="Revision">
    <w:name w:val="Revision"/>
    <w:hidden/>
    <w:uiPriority w:val="99"/>
    <w:semiHidden/>
    <w:rsid w:val="005D2CD7"/>
    <w:pPr>
      <w:spacing w:after="0" w:line="240" w:lineRule="auto"/>
    </w:pPr>
    <w:rPr>
      <w:rFonts w:ascii="Times New Roman" w:hAnsi="Times New Roman"/>
      <w:sz w:val="24"/>
    </w:rPr>
  </w:style>
  <w:style w:type="paragraph" w:styleId="Caption">
    <w:name w:val="caption"/>
    <w:basedOn w:val="Normal"/>
    <w:next w:val="Normal"/>
    <w:uiPriority w:val="35"/>
    <w:unhideWhenUsed/>
    <w:qFormat/>
    <w:rsid w:val="006D6E7E"/>
    <w:pPr>
      <w:spacing w:after="200" w:line="240" w:lineRule="auto"/>
    </w:pPr>
    <w:rPr>
      <w:iCs/>
      <w:color w:val="000000" w:themeColor="text1"/>
      <w:sz w:val="18"/>
      <w:szCs w:val="18"/>
    </w:rPr>
  </w:style>
  <w:style w:type="table" w:styleId="TableGrid">
    <w:name w:val="Table Grid"/>
    <w:basedOn w:val="TableNormal"/>
    <w:uiPriority w:val="39"/>
    <w:rsid w:val="006A76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6A76B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AC4FA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790133"/>
    <w:rPr>
      <w:color w:val="954F72" w:themeColor="followedHyperlink"/>
      <w:u w:val="single"/>
    </w:rPr>
  </w:style>
  <w:style w:type="paragraph" w:styleId="ListParagraph">
    <w:name w:val="List Paragraph"/>
    <w:basedOn w:val="Normal"/>
    <w:uiPriority w:val="34"/>
    <w:qFormat/>
    <w:rsid w:val="00221E5C"/>
    <w:pPr>
      <w:ind w:left="720"/>
      <w:contextualSpacing/>
    </w:pPr>
  </w:style>
  <w:style w:type="character" w:customStyle="1" w:styleId="mord">
    <w:name w:val="mord"/>
    <w:basedOn w:val="DefaultParagraphFont"/>
    <w:rsid w:val="00273408"/>
  </w:style>
  <w:style w:type="character" w:customStyle="1" w:styleId="mrel">
    <w:name w:val="mrel"/>
    <w:basedOn w:val="DefaultParagraphFont"/>
    <w:rsid w:val="00273408"/>
  </w:style>
  <w:style w:type="character" w:customStyle="1" w:styleId="delimsizing">
    <w:name w:val="delimsizing"/>
    <w:basedOn w:val="DefaultParagraphFont"/>
    <w:rsid w:val="00273408"/>
  </w:style>
  <w:style w:type="character" w:customStyle="1" w:styleId="vlist-s">
    <w:name w:val="vlist-s"/>
    <w:basedOn w:val="DefaultParagraphFont"/>
    <w:rsid w:val="00273408"/>
  </w:style>
  <w:style w:type="character" w:customStyle="1" w:styleId="mbin">
    <w:name w:val="mbin"/>
    <w:basedOn w:val="DefaultParagraphFont"/>
    <w:rsid w:val="00273408"/>
  </w:style>
  <w:style w:type="paragraph" w:styleId="Bibliography">
    <w:name w:val="Bibliography"/>
    <w:basedOn w:val="Normal"/>
    <w:next w:val="Normal"/>
    <w:uiPriority w:val="37"/>
    <w:unhideWhenUsed/>
    <w:rsid w:val="00491DB1"/>
    <w:pPr>
      <w:tabs>
        <w:tab w:val="left" w:pos="504"/>
      </w:tabs>
      <w:spacing w:after="0" w:line="240" w:lineRule="auto"/>
      <w:ind w:left="504" w:hanging="504"/>
    </w:pPr>
  </w:style>
  <w:style w:type="character" w:customStyle="1" w:styleId="pdp-product-summarycatalog-number-value">
    <w:name w:val="pdp-product-summary__catalog-number-value"/>
    <w:basedOn w:val="DefaultParagraphFont"/>
    <w:rsid w:val="00934A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506178">
      <w:bodyDiv w:val="1"/>
      <w:marLeft w:val="0"/>
      <w:marRight w:val="0"/>
      <w:marTop w:val="0"/>
      <w:marBottom w:val="0"/>
      <w:divBdr>
        <w:top w:val="none" w:sz="0" w:space="0" w:color="auto"/>
        <w:left w:val="none" w:sz="0" w:space="0" w:color="auto"/>
        <w:bottom w:val="none" w:sz="0" w:space="0" w:color="auto"/>
        <w:right w:val="none" w:sz="0" w:space="0" w:color="auto"/>
      </w:divBdr>
    </w:div>
    <w:div w:id="428430515">
      <w:bodyDiv w:val="1"/>
      <w:marLeft w:val="0"/>
      <w:marRight w:val="0"/>
      <w:marTop w:val="0"/>
      <w:marBottom w:val="0"/>
      <w:divBdr>
        <w:top w:val="none" w:sz="0" w:space="0" w:color="auto"/>
        <w:left w:val="none" w:sz="0" w:space="0" w:color="auto"/>
        <w:bottom w:val="none" w:sz="0" w:space="0" w:color="auto"/>
        <w:right w:val="none" w:sz="0" w:space="0" w:color="auto"/>
      </w:divBdr>
    </w:div>
    <w:div w:id="634071221">
      <w:bodyDiv w:val="1"/>
      <w:marLeft w:val="0"/>
      <w:marRight w:val="0"/>
      <w:marTop w:val="0"/>
      <w:marBottom w:val="0"/>
      <w:divBdr>
        <w:top w:val="none" w:sz="0" w:space="0" w:color="auto"/>
        <w:left w:val="none" w:sz="0" w:space="0" w:color="auto"/>
        <w:bottom w:val="none" w:sz="0" w:space="0" w:color="auto"/>
        <w:right w:val="none" w:sz="0" w:space="0" w:color="auto"/>
      </w:divBdr>
    </w:div>
    <w:div w:id="991911024">
      <w:bodyDiv w:val="1"/>
      <w:marLeft w:val="0"/>
      <w:marRight w:val="0"/>
      <w:marTop w:val="0"/>
      <w:marBottom w:val="0"/>
      <w:divBdr>
        <w:top w:val="none" w:sz="0" w:space="0" w:color="auto"/>
        <w:left w:val="none" w:sz="0" w:space="0" w:color="auto"/>
        <w:bottom w:val="none" w:sz="0" w:space="0" w:color="auto"/>
        <w:right w:val="none" w:sz="0" w:space="0" w:color="auto"/>
      </w:divBdr>
    </w:div>
    <w:div w:id="1119300041">
      <w:bodyDiv w:val="1"/>
      <w:marLeft w:val="0"/>
      <w:marRight w:val="0"/>
      <w:marTop w:val="0"/>
      <w:marBottom w:val="0"/>
      <w:divBdr>
        <w:top w:val="none" w:sz="0" w:space="0" w:color="auto"/>
        <w:left w:val="none" w:sz="0" w:space="0" w:color="auto"/>
        <w:bottom w:val="none" w:sz="0" w:space="0" w:color="auto"/>
        <w:right w:val="none" w:sz="0" w:space="0" w:color="auto"/>
      </w:divBdr>
    </w:div>
    <w:div w:id="1199704142">
      <w:bodyDiv w:val="1"/>
      <w:marLeft w:val="0"/>
      <w:marRight w:val="0"/>
      <w:marTop w:val="0"/>
      <w:marBottom w:val="0"/>
      <w:divBdr>
        <w:top w:val="none" w:sz="0" w:space="0" w:color="auto"/>
        <w:left w:val="none" w:sz="0" w:space="0" w:color="auto"/>
        <w:bottom w:val="none" w:sz="0" w:space="0" w:color="auto"/>
        <w:right w:val="none" w:sz="0" w:space="0" w:color="auto"/>
      </w:divBdr>
      <w:divsChild>
        <w:div w:id="477960656">
          <w:marLeft w:val="0"/>
          <w:marRight w:val="0"/>
          <w:marTop w:val="0"/>
          <w:marBottom w:val="0"/>
          <w:divBdr>
            <w:top w:val="none" w:sz="0" w:space="0" w:color="auto"/>
            <w:left w:val="none" w:sz="0" w:space="0" w:color="auto"/>
            <w:bottom w:val="none" w:sz="0" w:space="0" w:color="auto"/>
            <w:right w:val="none" w:sz="0" w:space="0" w:color="auto"/>
          </w:divBdr>
          <w:divsChild>
            <w:div w:id="576746194">
              <w:marLeft w:val="0"/>
              <w:marRight w:val="0"/>
              <w:marTop w:val="0"/>
              <w:marBottom w:val="0"/>
              <w:divBdr>
                <w:top w:val="none" w:sz="0" w:space="0" w:color="auto"/>
                <w:left w:val="none" w:sz="0" w:space="0" w:color="auto"/>
                <w:bottom w:val="none" w:sz="0" w:space="0" w:color="auto"/>
                <w:right w:val="none" w:sz="0" w:space="0" w:color="auto"/>
              </w:divBdr>
              <w:divsChild>
                <w:div w:id="109039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508659">
      <w:bodyDiv w:val="1"/>
      <w:marLeft w:val="0"/>
      <w:marRight w:val="0"/>
      <w:marTop w:val="0"/>
      <w:marBottom w:val="0"/>
      <w:divBdr>
        <w:top w:val="none" w:sz="0" w:space="0" w:color="auto"/>
        <w:left w:val="none" w:sz="0" w:space="0" w:color="auto"/>
        <w:bottom w:val="none" w:sz="0" w:space="0" w:color="auto"/>
        <w:right w:val="none" w:sz="0" w:space="0" w:color="auto"/>
      </w:divBdr>
    </w:div>
    <w:div w:id="1808742357">
      <w:bodyDiv w:val="1"/>
      <w:marLeft w:val="0"/>
      <w:marRight w:val="0"/>
      <w:marTop w:val="0"/>
      <w:marBottom w:val="0"/>
      <w:divBdr>
        <w:top w:val="none" w:sz="0" w:space="0" w:color="auto"/>
        <w:left w:val="none" w:sz="0" w:space="0" w:color="auto"/>
        <w:bottom w:val="none" w:sz="0" w:space="0" w:color="auto"/>
        <w:right w:val="none" w:sz="0" w:space="0" w:color="auto"/>
      </w:divBdr>
      <w:divsChild>
        <w:div w:id="2117482506">
          <w:marLeft w:val="0"/>
          <w:marRight w:val="0"/>
          <w:marTop w:val="0"/>
          <w:marBottom w:val="0"/>
          <w:divBdr>
            <w:top w:val="none" w:sz="0" w:space="0" w:color="auto"/>
            <w:left w:val="none" w:sz="0" w:space="0" w:color="auto"/>
            <w:bottom w:val="none" w:sz="0" w:space="0" w:color="auto"/>
            <w:right w:val="none" w:sz="0" w:space="0" w:color="auto"/>
          </w:divBdr>
          <w:divsChild>
            <w:div w:id="1902784842">
              <w:marLeft w:val="0"/>
              <w:marRight w:val="0"/>
              <w:marTop w:val="0"/>
              <w:marBottom w:val="0"/>
              <w:divBdr>
                <w:top w:val="none" w:sz="0" w:space="0" w:color="auto"/>
                <w:left w:val="none" w:sz="0" w:space="0" w:color="auto"/>
                <w:bottom w:val="none" w:sz="0" w:space="0" w:color="auto"/>
                <w:right w:val="none" w:sz="0" w:space="0" w:color="auto"/>
              </w:divBdr>
              <w:divsChild>
                <w:div w:id="31283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581590">
      <w:bodyDiv w:val="1"/>
      <w:marLeft w:val="0"/>
      <w:marRight w:val="0"/>
      <w:marTop w:val="0"/>
      <w:marBottom w:val="0"/>
      <w:divBdr>
        <w:top w:val="none" w:sz="0" w:space="0" w:color="auto"/>
        <w:left w:val="none" w:sz="0" w:space="0" w:color="auto"/>
        <w:bottom w:val="none" w:sz="0" w:space="0" w:color="auto"/>
        <w:right w:val="none" w:sz="0" w:space="0" w:color="auto"/>
      </w:divBdr>
      <w:divsChild>
        <w:div w:id="839277421">
          <w:marLeft w:val="0"/>
          <w:marRight w:val="0"/>
          <w:marTop w:val="0"/>
          <w:marBottom w:val="0"/>
          <w:divBdr>
            <w:top w:val="none" w:sz="0" w:space="0" w:color="auto"/>
            <w:left w:val="none" w:sz="0" w:space="0" w:color="auto"/>
            <w:bottom w:val="none" w:sz="0" w:space="0" w:color="auto"/>
            <w:right w:val="none" w:sz="0" w:space="0" w:color="auto"/>
          </w:divBdr>
          <w:divsChild>
            <w:div w:id="292296493">
              <w:marLeft w:val="0"/>
              <w:marRight w:val="0"/>
              <w:marTop w:val="0"/>
              <w:marBottom w:val="0"/>
              <w:divBdr>
                <w:top w:val="none" w:sz="0" w:space="0" w:color="auto"/>
                <w:left w:val="none" w:sz="0" w:space="0" w:color="auto"/>
                <w:bottom w:val="none" w:sz="0" w:space="0" w:color="auto"/>
                <w:right w:val="none" w:sz="0" w:space="0" w:color="auto"/>
              </w:divBdr>
              <w:divsChild>
                <w:div w:id="2340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261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E6EF9F6-8BDA-B147-9FA1-64C6892F0595}">
  <we:reference id="f518cb36-c901-4d52-a9e7-4331342e485d" version="1.2.0.0" store="EXCatalog" storeType="EXCatalog"/>
  <we:alternateReferences>
    <we:reference id="WA200001011" version="1.2.0.0" store="en-I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260B8-2256-4DE3-9BA8-0133C13ED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5566</Words>
  <Characters>31729</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Manna Abubaker</dc:creator>
  <cp:keywords/>
  <dc:description/>
  <cp:lastModifiedBy>Manna Abubaker</cp:lastModifiedBy>
  <cp:revision>3</cp:revision>
  <dcterms:created xsi:type="dcterms:W3CDTF">2024-03-06T12:27:00Z</dcterms:created>
  <dcterms:modified xsi:type="dcterms:W3CDTF">2024-03-06T12:27:00Z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id="2jRf4wqb"/&gt;&lt;style id="http://www.zotero.org/styles/ieee" locale="en-US"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y fmtid="{D5CDD505-2E9C-101B-9397-08002B2CF9AE}" pid="4" name="grammarly_documentId">
    <vt:lpwstr>documentId_4459</vt:lpwstr>
  </property>
  <property fmtid="{D5CDD505-2E9C-101B-9397-08002B2CF9AE}" pid="5" name="grammarly_documentContext">
    <vt:lpwstr>{"goals":["convince","describe","inform"],"domain":"academic","emotions":["analytical"],"dialect":"british","audience":"expert","style":"formal"}</vt:lpwstr>
  </property>
</Properties>
</file>