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FE388"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Trial Protocol</w:t>
      </w:r>
    </w:p>
    <w:p w14:paraId="6BF8D349" w14:textId="14592E78" w:rsidR="0024439E" w:rsidRPr="0024439E" w:rsidRDefault="0024439E" w:rsidP="0024439E">
      <w:pPr>
        <w:rPr>
          <w:rFonts w:asciiTheme="majorBidi" w:hAnsiTheme="majorBidi" w:cstheme="majorBidi"/>
        </w:rPr>
      </w:pPr>
      <w:r w:rsidRPr="0024439E">
        <w:rPr>
          <w:rFonts w:asciiTheme="majorBidi" w:hAnsiTheme="majorBidi" w:cstheme="majorBidi"/>
          <w:b/>
          <w:bCs/>
        </w:rPr>
        <w:t>Introduction:</w:t>
      </w:r>
      <w:r w:rsidRPr="0024439E">
        <w:rPr>
          <w:rFonts w:asciiTheme="majorBidi" w:hAnsiTheme="majorBidi" w:cstheme="majorBidi"/>
        </w:rPr>
        <w:t xml:space="preserve"> Pulmonary hydatid cysts, caused by Echinococcus </w:t>
      </w:r>
      <w:proofErr w:type="spellStart"/>
      <w:r>
        <w:rPr>
          <w:rFonts w:asciiTheme="majorBidi" w:hAnsiTheme="majorBidi" w:cstheme="majorBidi"/>
        </w:rPr>
        <w:t>granulosus</w:t>
      </w:r>
      <w:proofErr w:type="spellEnd"/>
      <w:r w:rsidRPr="0024439E">
        <w:rPr>
          <w:rFonts w:asciiTheme="majorBidi" w:hAnsiTheme="majorBidi" w:cstheme="majorBidi"/>
        </w:rPr>
        <w:t xml:space="preserve"> larvae, pose a significant health threat in livestock-raising regions, leading to respiratory symptoms. Surgical excision, involving open thoracotomy and video-assisted thoracoscopic surgery (VATS), is the primary treatment, yet their comparative effectiveness lacks robust evidence. The objective of this study is to compare outcomes of pulmonary hydatid cyst surgery using VATS and Thoracotomy.</w:t>
      </w:r>
    </w:p>
    <w:p w14:paraId="43CE9387"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Methods:</w:t>
      </w:r>
    </w:p>
    <w:p w14:paraId="66FE6D32"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Study Design:</w:t>
      </w:r>
      <w:r w:rsidRPr="0024439E">
        <w:rPr>
          <w:rFonts w:asciiTheme="majorBidi" w:hAnsiTheme="majorBidi" w:cstheme="majorBidi"/>
        </w:rPr>
        <w:t xml:space="preserve"> Randomized Controlled Trial (RCT).</w:t>
      </w:r>
    </w:p>
    <w:p w14:paraId="49AFF81F"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Participants:</w:t>
      </w:r>
    </w:p>
    <w:p w14:paraId="56C6CF45" w14:textId="25C78FFF" w:rsidR="0024439E" w:rsidRPr="0024439E" w:rsidRDefault="0024439E" w:rsidP="0024439E">
      <w:pPr>
        <w:rPr>
          <w:rFonts w:asciiTheme="majorBidi" w:hAnsiTheme="majorBidi" w:cstheme="majorBidi"/>
        </w:rPr>
      </w:pPr>
      <w:r w:rsidRPr="0024439E">
        <w:rPr>
          <w:rFonts w:asciiTheme="majorBidi" w:hAnsiTheme="majorBidi" w:cstheme="majorBidi"/>
        </w:rPr>
        <w:t>Inclusion Criteria</w:t>
      </w:r>
      <w:r>
        <w:rPr>
          <w:rFonts w:asciiTheme="majorBidi" w:hAnsiTheme="majorBidi" w:cstheme="majorBidi"/>
        </w:rPr>
        <w:t xml:space="preserve"> </w:t>
      </w:r>
      <w:r w:rsidRPr="0024439E">
        <w:rPr>
          <w:rFonts w:asciiTheme="majorBidi" w:hAnsiTheme="majorBidi" w:cstheme="majorBidi"/>
        </w:rPr>
        <w:t>Patients with suspected pulmonary hydatid cysts with a size of at least 3 cm.</w:t>
      </w:r>
    </w:p>
    <w:p w14:paraId="000AB005" w14:textId="4156DB41" w:rsidR="0024439E" w:rsidRPr="0024439E" w:rsidRDefault="0024439E" w:rsidP="0024439E">
      <w:pPr>
        <w:rPr>
          <w:rFonts w:asciiTheme="majorBidi" w:hAnsiTheme="majorBidi" w:cstheme="majorBidi"/>
        </w:rPr>
      </w:pPr>
      <w:r w:rsidRPr="0024439E">
        <w:rPr>
          <w:rFonts w:asciiTheme="majorBidi" w:hAnsiTheme="majorBidi" w:cstheme="majorBidi"/>
        </w:rPr>
        <w:t>Exclusion Criteria</w:t>
      </w:r>
      <w:r>
        <w:rPr>
          <w:rFonts w:asciiTheme="majorBidi" w:hAnsiTheme="majorBidi" w:cstheme="majorBidi"/>
        </w:rPr>
        <w:t xml:space="preserve"> </w:t>
      </w:r>
      <w:r w:rsidRPr="0024439E">
        <w:rPr>
          <w:rFonts w:asciiTheme="majorBidi" w:hAnsiTheme="majorBidi" w:cstheme="majorBidi"/>
        </w:rPr>
        <w:t xml:space="preserve">Simultaneous operation for other hydatid cysts like hepatic hydatid </w:t>
      </w:r>
      <w:r>
        <w:rPr>
          <w:rFonts w:asciiTheme="majorBidi" w:hAnsiTheme="majorBidi" w:cstheme="majorBidi"/>
        </w:rPr>
        <w:t>cysts</w:t>
      </w:r>
      <w:r w:rsidRPr="0024439E">
        <w:rPr>
          <w:rFonts w:asciiTheme="majorBidi" w:hAnsiTheme="majorBidi" w:cstheme="majorBidi"/>
        </w:rPr>
        <w:t>.</w:t>
      </w:r>
      <w:r>
        <w:rPr>
          <w:rFonts w:asciiTheme="majorBidi" w:hAnsiTheme="majorBidi" w:cstheme="majorBidi"/>
        </w:rPr>
        <w:t xml:space="preserve"> </w:t>
      </w:r>
      <w:r w:rsidRPr="0024439E">
        <w:rPr>
          <w:rFonts w:asciiTheme="majorBidi" w:hAnsiTheme="majorBidi" w:cstheme="majorBidi"/>
        </w:rPr>
        <w:t>Pulmonary hydatid cyst less than 3 cm.</w:t>
      </w:r>
      <w:r>
        <w:rPr>
          <w:rFonts w:asciiTheme="majorBidi" w:hAnsiTheme="majorBidi" w:cstheme="majorBidi"/>
        </w:rPr>
        <w:t xml:space="preserve"> </w:t>
      </w:r>
      <w:r w:rsidRPr="0024439E">
        <w:rPr>
          <w:rFonts w:asciiTheme="majorBidi" w:hAnsiTheme="majorBidi" w:cstheme="majorBidi"/>
        </w:rPr>
        <w:t xml:space="preserve">Emergency </w:t>
      </w:r>
      <w:r>
        <w:rPr>
          <w:rFonts w:asciiTheme="majorBidi" w:hAnsiTheme="majorBidi" w:cstheme="majorBidi"/>
        </w:rPr>
        <w:t>presentations</w:t>
      </w:r>
      <w:r w:rsidRPr="0024439E">
        <w:rPr>
          <w:rFonts w:asciiTheme="majorBidi" w:hAnsiTheme="majorBidi" w:cstheme="majorBidi"/>
        </w:rPr>
        <w:t xml:space="preserve"> like tension pneumothorax and sepsis.</w:t>
      </w:r>
    </w:p>
    <w:p w14:paraId="350F6D2F"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Interventions:</w:t>
      </w:r>
    </w:p>
    <w:p w14:paraId="437B88F7" w14:textId="65EA2F1D" w:rsidR="0024439E" w:rsidRPr="0024439E" w:rsidRDefault="0024439E" w:rsidP="0024439E">
      <w:pPr>
        <w:rPr>
          <w:rFonts w:asciiTheme="majorBidi" w:hAnsiTheme="majorBidi" w:cstheme="majorBidi"/>
        </w:rPr>
      </w:pPr>
      <w:r w:rsidRPr="0024439E">
        <w:rPr>
          <w:rFonts w:asciiTheme="majorBidi" w:hAnsiTheme="majorBidi" w:cstheme="majorBidi"/>
        </w:rPr>
        <w:t>Open Thoracotomy: Classical thoracotomy performed through the fifth intercostal space centered at the posterior axillary line.</w:t>
      </w:r>
      <w:r>
        <w:rPr>
          <w:rFonts w:asciiTheme="majorBidi" w:hAnsiTheme="majorBidi" w:cstheme="majorBidi"/>
        </w:rPr>
        <w:t xml:space="preserve"> </w:t>
      </w:r>
      <w:r w:rsidRPr="0024439E">
        <w:rPr>
          <w:rFonts w:asciiTheme="majorBidi" w:hAnsiTheme="majorBidi" w:cstheme="majorBidi"/>
        </w:rPr>
        <w:t>Video-Assisted Thoracoscopic Surgery (VATS): 3-5 cm incision performed in the same place.</w:t>
      </w:r>
    </w:p>
    <w:p w14:paraId="7542474A"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Outcomes:</w:t>
      </w:r>
    </w:p>
    <w:p w14:paraId="4F9AA487" w14:textId="77777777" w:rsidR="0024439E" w:rsidRDefault="0024439E" w:rsidP="0024439E">
      <w:pPr>
        <w:jc w:val="both"/>
        <w:rPr>
          <w:rFonts w:asciiTheme="majorBidi" w:hAnsiTheme="majorBidi" w:cstheme="majorBidi"/>
        </w:rPr>
      </w:pPr>
      <w:r w:rsidRPr="0024439E">
        <w:rPr>
          <w:rFonts w:asciiTheme="majorBidi" w:hAnsiTheme="majorBidi" w:cstheme="majorBidi"/>
        </w:rPr>
        <w:t>Outcomes assessed in this study include both primary and secondary endpoints. The primary outcomes comprise the completeness of cyst excision, the occurrence of intraoperative cyst rupture, disease recurrence, and overall survival. Secondary outcomes encompass postoperative pain management, duration of hospitalization, the occurrence of postoperative complications, and the timeframe for patients' return to work. These parameters collectively provide comprehensive insights into the effectiveness and impact of the surgical intervention for pulmonary hydatid cysts.</w:t>
      </w:r>
    </w:p>
    <w:p w14:paraId="46C84998" w14:textId="278C620F" w:rsidR="0024439E" w:rsidRPr="0024439E" w:rsidRDefault="0024439E" w:rsidP="0024439E">
      <w:pPr>
        <w:rPr>
          <w:rFonts w:asciiTheme="majorBidi" w:hAnsiTheme="majorBidi" w:cstheme="majorBidi"/>
        </w:rPr>
      </w:pPr>
      <w:r w:rsidRPr="0024439E">
        <w:rPr>
          <w:rFonts w:asciiTheme="majorBidi" w:hAnsiTheme="majorBidi" w:cstheme="majorBidi"/>
          <w:b/>
          <w:bCs/>
        </w:rPr>
        <w:t>Randomization:</w:t>
      </w:r>
      <w:r w:rsidRPr="0024439E">
        <w:rPr>
          <w:rFonts w:asciiTheme="majorBidi" w:hAnsiTheme="majorBidi" w:cstheme="majorBidi"/>
        </w:rPr>
        <w:t xml:space="preserve"> Patients were randomly assigned to the Open Thoracotomy or VATS group using a random number generator. Odd numbers were assigned to the open surgical approach, and even numbers were allocated to the VATS approach.</w:t>
      </w:r>
    </w:p>
    <w:p w14:paraId="0CBC26BC"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Blinding:</w:t>
      </w:r>
      <w:r w:rsidRPr="0024439E">
        <w:rPr>
          <w:rFonts w:asciiTheme="majorBidi" w:hAnsiTheme="majorBidi" w:cstheme="majorBidi"/>
        </w:rPr>
        <w:t xml:space="preserve"> Data collectors were blinded to the treatment allocation, but the operating surgeons were not blinded due to the nature of the surgical procedures.</w:t>
      </w:r>
    </w:p>
    <w:p w14:paraId="2926BDF5" w14:textId="51F13E00" w:rsidR="0024439E" w:rsidRPr="0024439E" w:rsidRDefault="0024439E" w:rsidP="0024439E">
      <w:pPr>
        <w:rPr>
          <w:rFonts w:asciiTheme="majorBidi" w:hAnsiTheme="majorBidi" w:cstheme="majorBidi"/>
        </w:rPr>
      </w:pPr>
      <w:r w:rsidRPr="0024439E">
        <w:rPr>
          <w:rFonts w:asciiTheme="majorBidi" w:hAnsiTheme="majorBidi" w:cstheme="majorBidi"/>
          <w:b/>
          <w:bCs/>
        </w:rPr>
        <w:t>Sample Size:</w:t>
      </w:r>
      <w:r w:rsidRPr="0024439E">
        <w:rPr>
          <w:rFonts w:asciiTheme="majorBidi" w:hAnsiTheme="majorBidi" w:cstheme="majorBidi"/>
        </w:rPr>
        <w:t xml:space="preserve"> The sample size was 50 consecutive cases to assess the feasibility, safety, and superiority of VATS in </w:t>
      </w:r>
      <w:r>
        <w:rPr>
          <w:rFonts w:asciiTheme="majorBidi" w:hAnsiTheme="majorBidi" w:cstheme="majorBidi"/>
        </w:rPr>
        <w:t>managing</w:t>
      </w:r>
      <w:r w:rsidRPr="0024439E">
        <w:rPr>
          <w:rFonts w:asciiTheme="majorBidi" w:hAnsiTheme="majorBidi" w:cstheme="majorBidi"/>
        </w:rPr>
        <w:t xml:space="preserve"> pulmonary hydatid </w:t>
      </w:r>
      <w:r>
        <w:rPr>
          <w:rFonts w:asciiTheme="majorBidi" w:hAnsiTheme="majorBidi" w:cstheme="majorBidi"/>
        </w:rPr>
        <w:t>cysts</w:t>
      </w:r>
      <w:r w:rsidRPr="0024439E">
        <w:rPr>
          <w:rFonts w:asciiTheme="majorBidi" w:hAnsiTheme="majorBidi" w:cstheme="majorBidi"/>
        </w:rPr>
        <w:t>.</w:t>
      </w:r>
    </w:p>
    <w:p w14:paraId="4E523AAB"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Trial Registry:</w:t>
      </w:r>
      <w:r w:rsidRPr="0024439E">
        <w:rPr>
          <w:rFonts w:asciiTheme="majorBidi" w:hAnsiTheme="majorBidi" w:cstheme="majorBidi"/>
        </w:rPr>
        <w:t xml:space="preserve"> The trial was registered in </w:t>
      </w:r>
      <w:proofErr w:type="spellStart"/>
      <w:r w:rsidRPr="0024439E">
        <w:rPr>
          <w:rFonts w:asciiTheme="majorBidi" w:hAnsiTheme="majorBidi" w:cstheme="majorBidi"/>
        </w:rPr>
        <w:t>researchregistry</w:t>
      </w:r>
      <w:proofErr w:type="spellEnd"/>
      <w:r w:rsidRPr="0024439E">
        <w:rPr>
          <w:rFonts w:asciiTheme="majorBidi" w:hAnsiTheme="majorBidi" w:cstheme="majorBidi"/>
        </w:rPr>
        <w:t xml:space="preserve"> with registration number researchregistry8813.</w:t>
      </w:r>
    </w:p>
    <w:p w14:paraId="43A183B8"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Preoperative Diagnosis:</w:t>
      </w:r>
      <w:r w:rsidRPr="0024439E">
        <w:rPr>
          <w:rFonts w:asciiTheme="majorBidi" w:hAnsiTheme="majorBidi" w:cstheme="majorBidi"/>
        </w:rPr>
        <w:t xml:space="preserve"> All suspected cases of hydatid cysts underwent a complete blood count, chest X-ray, and computed tomography (CT) scan with IV contrast. Immunological studies for hydatid cysts were requested when the diagnosis was in doubt.</w:t>
      </w:r>
    </w:p>
    <w:p w14:paraId="2646FC44"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Operative Details:</w:t>
      </w:r>
    </w:p>
    <w:p w14:paraId="51ABBE9E" w14:textId="11BF609C" w:rsidR="0024439E" w:rsidRDefault="0024439E" w:rsidP="0024439E">
      <w:pPr>
        <w:rPr>
          <w:rFonts w:asciiTheme="majorBidi" w:hAnsiTheme="majorBidi" w:cstheme="majorBidi"/>
        </w:rPr>
      </w:pPr>
      <w:r w:rsidRPr="0024439E">
        <w:rPr>
          <w:rFonts w:asciiTheme="majorBidi" w:hAnsiTheme="majorBidi" w:cstheme="majorBidi"/>
        </w:rPr>
        <w:lastRenderedPageBreak/>
        <w:t xml:space="preserve">Patients in the study received a single pre-intervention antibiotic injection (ceftriaxone vial 1gm, IV) administered two hours </w:t>
      </w:r>
      <w:r>
        <w:rPr>
          <w:rFonts w:asciiTheme="majorBidi" w:hAnsiTheme="majorBidi" w:cstheme="majorBidi"/>
        </w:rPr>
        <w:t>before</w:t>
      </w:r>
      <w:r w:rsidRPr="0024439E">
        <w:rPr>
          <w:rFonts w:asciiTheme="majorBidi" w:hAnsiTheme="majorBidi" w:cstheme="majorBidi"/>
        </w:rPr>
        <w:t xml:space="preserve"> the procedure. All surgical procedures were conducted under general anesthesia with patients placed in the lateral position. The pulmonary hydatid cysts were identified, isolated, and excised in both study groups. Following cyst removal, </w:t>
      </w:r>
      <w:proofErr w:type="spellStart"/>
      <w:r w:rsidRPr="0024439E">
        <w:rPr>
          <w:rFonts w:asciiTheme="majorBidi" w:hAnsiTheme="majorBidi" w:cstheme="majorBidi"/>
        </w:rPr>
        <w:t>capitonnage</w:t>
      </w:r>
      <w:proofErr w:type="spellEnd"/>
      <w:r w:rsidRPr="0024439E">
        <w:rPr>
          <w:rFonts w:asciiTheme="majorBidi" w:hAnsiTheme="majorBidi" w:cstheme="majorBidi"/>
        </w:rPr>
        <w:t xml:space="preserve"> was performed, and measures were taken to ensure hemostasis and prevent recurrence. Subsequently, chest tubes were inserted through separate incisions for both groups to facilitate postoperative drainage and lung re-expansion.</w:t>
      </w:r>
    </w:p>
    <w:p w14:paraId="64350247" w14:textId="7B2EE8F3" w:rsidR="0024439E" w:rsidRPr="0024439E" w:rsidRDefault="0024439E" w:rsidP="0024439E">
      <w:pPr>
        <w:rPr>
          <w:rFonts w:asciiTheme="majorBidi" w:hAnsiTheme="majorBidi" w:cstheme="majorBidi"/>
        </w:rPr>
      </w:pPr>
      <w:r w:rsidRPr="0024439E">
        <w:rPr>
          <w:rFonts w:asciiTheme="majorBidi" w:hAnsiTheme="majorBidi" w:cstheme="majorBidi"/>
          <w:b/>
          <w:bCs/>
        </w:rPr>
        <w:t>Postoperative Care:</w:t>
      </w:r>
    </w:p>
    <w:p w14:paraId="1F117BEA" w14:textId="0E14AD81" w:rsidR="0024439E" w:rsidRDefault="0024439E" w:rsidP="0024439E">
      <w:pPr>
        <w:jc w:val="both"/>
        <w:rPr>
          <w:rFonts w:asciiTheme="majorBidi" w:hAnsiTheme="majorBidi" w:cstheme="majorBidi"/>
        </w:rPr>
      </w:pPr>
      <w:r w:rsidRPr="0024439E">
        <w:rPr>
          <w:rFonts w:asciiTheme="majorBidi" w:hAnsiTheme="majorBidi" w:cstheme="majorBidi"/>
        </w:rPr>
        <w:br/>
        <w:t>Following the procedure, patients were admitted to the ward and received intravenous antibiotics throughout their hospitalization period to prevent infection. Pain management strategies included reassurance, intravenous paracetamol, Ketorolac, and subcutaneous pethidine if required for adequate pain control. Removal of chest tubes was determined based on clinical examination findings and chest X-ray results indicating satisfactory postoperative progress. Upon discharge, patients were prescribed oral antibiotics and analgesics for an additional five days to support their recovery at home. Furthermore, all patients, regardless of the study group, were administered albendazole postoperatively for six months as a standard protocol to prevent disease recurrence.</w:t>
      </w:r>
    </w:p>
    <w:p w14:paraId="3CCB161B" w14:textId="3C0175D0" w:rsidR="0024439E" w:rsidRPr="0024439E" w:rsidRDefault="0024439E" w:rsidP="0024439E">
      <w:pPr>
        <w:rPr>
          <w:rFonts w:asciiTheme="majorBidi" w:hAnsiTheme="majorBidi" w:cstheme="majorBidi"/>
        </w:rPr>
      </w:pPr>
      <w:r w:rsidRPr="0024439E">
        <w:rPr>
          <w:rFonts w:asciiTheme="majorBidi" w:hAnsiTheme="majorBidi" w:cstheme="majorBidi"/>
          <w:b/>
          <w:bCs/>
        </w:rPr>
        <w:t>Follow-up:</w:t>
      </w:r>
    </w:p>
    <w:p w14:paraId="1E4B0157" w14:textId="46DC577A" w:rsidR="0024439E" w:rsidRPr="0024439E" w:rsidRDefault="0024439E" w:rsidP="0024439E">
      <w:pPr>
        <w:jc w:val="both"/>
        <w:rPr>
          <w:rFonts w:asciiTheme="majorBidi" w:hAnsiTheme="majorBidi" w:cstheme="majorBidi"/>
        </w:rPr>
      </w:pPr>
      <w:r w:rsidRPr="0024439E">
        <w:rPr>
          <w:rFonts w:asciiTheme="majorBidi" w:hAnsiTheme="majorBidi" w:cstheme="majorBidi"/>
        </w:rPr>
        <w:t xml:space="preserve">Patients underwent chest CT scans every six months for two years following the procedure to monitor their condition. The follow-up period for patients had a median duration of two years, with individual follow-up times ranging from six months to three years. This monitoring period allowed for </w:t>
      </w:r>
      <w:r>
        <w:rPr>
          <w:rFonts w:asciiTheme="majorBidi" w:hAnsiTheme="majorBidi" w:cstheme="majorBidi"/>
        </w:rPr>
        <w:t xml:space="preserve">a </w:t>
      </w:r>
      <w:r w:rsidRPr="0024439E">
        <w:rPr>
          <w:rFonts w:asciiTheme="majorBidi" w:hAnsiTheme="majorBidi" w:cstheme="majorBidi"/>
        </w:rPr>
        <w:t>comprehensive evaluation of patient outcomes and the effectiveness of the intervention over time.</w:t>
      </w:r>
    </w:p>
    <w:p w14:paraId="3E7F3222" w14:textId="77777777" w:rsidR="0024439E" w:rsidRPr="0024439E" w:rsidRDefault="0024439E" w:rsidP="0024439E">
      <w:pPr>
        <w:rPr>
          <w:rFonts w:asciiTheme="majorBidi" w:hAnsiTheme="majorBidi" w:cstheme="majorBidi"/>
          <w:vanish/>
        </w:rPr>
      </w:pPr>
      <w:r w:rsidRPr="0024439E">
        <w:rPr>
          <w:rFonts w:asciiTheme="majorBidi" w:hAnsiTheme="majorBidi" w:cstheme="majorBidi"/>
          <w:vanish/>
        </w:rPr>
        <w:t>Top of Form</w:t>
      </w:r>
    </w:p>
    <w:p w14:paraId="21CAF67D"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Data Analysis:</w:t>
      </w:r>
      <w:r w:rsidRPr="0024439E">
        <w:rPr>
          <w:rFonts w:asciiTheme="majorBidi" w:hAnsiTheme="majorBidi" w:cstheme="majorBidi"/>
        </w:rPr>
        <w:t xml:space="preserve"> Descriptive statistics and regression analysis were used to assess baseline characteristics and adjust for potential confounders. Statistical significance was set at p &lt; 0.05.</w:t>
      </w:r>
    </w:p>
    <w:p w14:paraId="025EEAC9" w14:textId="77777777" w:rsidR="0024439E" w:rsidRPr="0024439E" w:rsidRDefault="0024439E" w:rsidP="0024439E">
      <w:pPr>
        <w:rPr>
          <w:rFonts w:asciiTheme="majorBidi" w:hAnsiTheme="majorBidi" w:cstheme="majorBidi"/>
        </w:rPr>
      </w:pPr>
      <w:r w:rsidRPr="0024439E">
        <w:rPr>
          <w:rFonts w:asciiTheme="majorBidi" w:hAnsiTheme="majorBidi" w:cstheme="majorBidi"/>
          <w:b/>
          <w:bCs/>
        </w:rPr>
        <w:t>Discussion:</w:t>
      </w:r>
      <w:r w:rsidRPr="0024439E">
        <w:rPr>
          <w:rFonts w:asciiTheme="majorBidi" w:hAnsiTheme="majorBidi" w:cstheme="majorBidi"/>
        </w:rPr>
        <w:t xml:space="preserve"> The trial will compare the outcomes of pulmonary hydatid cyst surgery using VATS and open thoracotomy. It aims to provide evidence-based guidance for the selection of the surgical approach in the management of this condition.</w:t>
      </w:r>
    </w:p>
    <w:p w14:paraId="0E61DE8A" w14:textId="77777777" w:rsidR="0024439E" w:rsidRPr="0024439E" w:rsidRDefault="0024439E" w:rsidP="0024439E">
      <w:pPr>
        <w:rPr>
          <w:rFonts w:asciiTheme="majorBidi" w:hAnsiTheme="majorBidi" w:cstheme="majorBidi"/>
        </w:rPr>
      </w:pPr>
      <w:r w:rsidRPr="0024439E">
        <w:rPr>
          <w:rFonts w:asciiTheme="majorBidi" w:hAnsiTheme="majorBidi" w:cstheme="majorBidi"/>
        </w:rPr>
        <w:t>This trial protocol adheres to ethical standards, and informed consent was obtained from all patients participating in the study.</w:t>
      </w:r>
    </w:p>
    <w:p w14:paraId="40F132D3" w14:textId="77777777" w:rsidR="002036E0" w:rsidRPr="0024439E" w:rsidRDefault="002036E0">
      <w:pPr>
        <w:rPr>
          <w:rFonts w:asciiTheme="majorBidi" w:hAnsiTheme="majorBidi" w:cstheme="majorBidi"/>
        </w:rPr>
      </w:pPr>
    </w:p>
    <w:sectPr w:rsidR="002036E0" w:rsidRPr="002443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ahij Janna">
    <w:altName w:val="Sakkal Majalla"/>
    <w:panose1 w:val="02040503050201020203"/>
    <w:charset w:val="00"/>
    <w:family w:val="roman"/>
    <w:pitch w:val="variable"/>
    <w:sig w:usb0="8000202F" w:usb1="8000A04A" w:usb2="00000008" w:usb3="00000000" w:csb0="0000004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55_Sarchia_Kurdish">
    <w:altName w:val="Sakkal Majalla"/>
    <w:charset w:val="00"/>
    <w:family w:val="roman"/>
    <w:pitch w:val="variable"/>
    <w:sig w:usb0="8000202F" w:usb1="8000A04A"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05839"/>
    <w:multiLevelType w:val="multilevel"/>
    <w:tmpl w:val="76BEFA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E0C4435"/>
    <w:multiLevelType w:val="multilevel"/>
    <w:tmpl w:val="C5EC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F20820"/>
    <w:multiLevelType w:val="multilevel"/>
    <w:tmpl w:val="C5C49DCE"/>
    <w:lvl w:ilvl="0">
      <w:start w:val="1"/>
      <w:numFmt w:val="decimal"/>
      <w:pStyle w:val="Heading1"/>
      <w:lvlText w:val="%1"/>
      <w:lvlJc w:val="left"/>
      <w:pPr>
        <w:ind w:left="432" w:hanging="432"/>
      </w:pPr>
    </w:lvl>
    <w:lvl w:ilvl="1">
      <w:start w:val="1"/>
      <w:numFmt w:val="decimal"/>
      <w:lvlText w:val="%1.%2"/>
      <w:lvlJc w:val="left"/>
      <w:pPr>
        <w:ind w:left="576" w:hanging="576"/>
      </w:pPr>
      <w:rPr>
        <w:i w:val="0"/>
        <w:iCs w:val="0"/>
        <w:sz w:val="24"/>
        <w:szCs w:val="24"/>
      </w:rPr>
    </w:lvl>
    <w:lvl w:ilvl="2">
      <w:start w:val="1"/>
      <w:numFmt w:val="decimal"/>
      <w:lvlText w:val="%1.%2.%3"/>
      <w:lvlJc w:val="left"/>
      <w:pPr>
        <w:ind w:left="720" w:hanging="720"/>
      </w:pPr>
      <w:rPr>
        <w:i w:val="0"/>
        <w:iCs w:val="0"/>
      </w:rPr>
    </w:lvl>
    <w:lvl w:ilvl="3">
      <w:start w:val="1"/>
      <w:numFmt w:val="decimal"/>
      <w:lvlText w:val="%1.%2.%3.%4"/>
      <w:lvlJc w:val="left"/>
      <w:pPr>
        <w:ind w:left="1584" w:hanging="864"/>
      </w:pPr>
      <w:rPr>
        <w:rFonts w:ascii="Bahij Janna" w:hAnsi="Bahij Janna" w:cs="Bahij Janna" w:hint="default"/>
        <w:i w:val="0"/>
        <w:iCs w:val="0"/>
        <w:color w:val="auto"/>
        <w:sz w:val="24"/>
        <w:szCs w:val="24"/>
      </w:rPr>
    </w:lvl>
    <w:lvl w:ilvl="4">
      <w:start w:val="1"/>
      <w:numFmt w:val="bullet"/>
      <w:lvlText w:val=""/>
      <w:lvlJc w:val="left"/>
      <w:pPr>
        <w:ind w:left="1008" w:hanging="1008"/>
      </w:pPr>
      <w:rPr>
        <w:rFonts w:ascii="Wingdings" w:hAnsi="Wingdings" w:hint="default"/>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364B0BAF"/>
    <w:multiLevelType w:val="multilevel"/>
    <w:tmpl w:val="C56C5964"/>
    <w:styleLink w:val="Style1"/>
    <w:lvl w:ilvl="0">
      <w:start w:val="9"/>
      <w:numFmt w:val="decimal"/>
      <w:lvlText w:val="%1"/>
      <w:lvlJc w:val="left"/>
      <w:pPr>
        <w:ind w:left="432" w:hanging="432"/>
      </w:pPr>
      <w:rPr>
        <w:rFonts w:hint="default"/>
      </w:rPr>
    </w:lvl>
    <w:lvl w:ilvl="1">
      <w:start w:val="1"/>
      <w:numFmt w:val="decimal"/>
      <w:lvlText w:val="%1.%2"/>
      <w:lvlJc w:val="left"/>
      <w:pPr>
        <w:ind w:left="576" w:hanging="576"/>
      </w:pPr>
      <w:rPr>
        <w:rFonts w:hint="default"/>
        <w:i w:val="0"/>
        <w:iCs w:val="0"/>
      </w:rPr>
    </w:lvl>
    <w:lvl w:ilvl="2">
      <w:start w:val="1"/>
      <w:numFmt w:val="decimal"/>
      <w:lvlText w:val="%1.%2.%3"/>
      <w:lvlJc w:val="left"/>
      <w:pPr>
        <w:ind w:left="720" w:hanging="720"/>
      </w:pPr>
    </w:lvl>
    <w:lvl w:ilvl="3">
      <w:start w:val="1"/>
      <w:numFmt w:val="decimal"/>
      <w:lvlText w:val="%1.%2.%3.%4"/>
      <w:lvlJc w:val="left"/>
      <w:pPr>
        <w:ind w:left="1584" w:hanging="864"/>
      </w:pPr>
      <w:rPr>
        <w:rFonts w:hint="default"/>
        <w:color w:val="auto"/>
      </w:rPr>
    </w:lvl>
    <w:lvl w:ilvl="4">
      <w:start w:val="1"/>
      <w:numFmt w:val="bullet"/>
      <w:lvlText w:val=""/>
      <w:lvlJc w:val="left"/>
      <w:pPr>
        <w:ind w:left="1008" w:hanging="1008"/>
      </w:pPr>
      <w:rPr>
        <w:rFonts w:ascii="Wingdings" w:hAnsi="Wingding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64B53E56"/>
    <w:multiLevelType w:val="multilevel"/>
    <w:tmpl w:val="3230A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E370A2"/>
    <w:multiLevelType w:val="multilevel"/>
    <w:tmpl w:val="820A2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FD04BC"/>
    <w:multiLevelType w:val="multilevel"/>
    <w:tmpl w:val="7E46B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7AA01C8"/>
    <w:multiLevelType w:val="multilevel"/>
    <w:tmpl w:val="010A38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06770745">
    <w:abstractNumId w:val="2"/>
  </w:num>
  <w:num w:numId="2" w16cid:durableId="438179179">
    <w:abstractNumId w:val="3"/>
  </w:num>
  <w:num w:numId="3" w16cid:durableId="1798178094">
    <w:abstractNumId w:val="7"/>
  </w:num>
  <w:num w:numId="4" w16cid:durableId="847671240">
    <w:abstractNumId w:val="4"/>
  </w:num>
  <w:num w:numId="5" w16cid:durableId="1552183312">
    <w:abstractNumId w:val="0"/>
  </w:num>
  <w:num w:numId="6" w16cid:durableId="1203397756">
    <w:abstractNumId w:val="6"/>
  </w:num>
  <w:num w:numId="7" w16cid:durableId="205995100">
    <w:abstractNumId w:val="1"/>
  </w:num>
  <w:num w:numId="8" w16cid:durableId="5006303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2CA"/>
    <w:rsid w:val="002036E0"/>
    <w:rsid w:val="0024439E"/>
    <w:rsid w:val="003058B1"/>
    <w:rsid w:val="003772CA"/>
    <w:rsid w:val="00731C5C"/>
    <w:rsid w:val="00746575"/>
    <w:rsid w:val="00B104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9B8B36"/>
  <w15:chartTrackingRefBased/>
  <w15:docId w15:val="{CBD706E6-2C8E-4F27-B8B5-EA2A760B6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6575"/>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B10414"/>
    <w:pPr>
      <w:tabs>
        <w:tab w:val="left" w:pos="440"/>
        <w:tab w:val="right" w:leader="dot" w:pos="9196"/>
      </w:tabs>
      <w:bidi/>
      <w:spacing w:after="100" w:line="276" w:lineRule="auto"/>
      <w:jc w:val="both"/>
    </w:pPr>
    <w:rPr>
      <w:rFonts w:ascii="Bahij Janna" w:hAnsi="Bahij Janna" w:cs="Bahij Janna"/>
      <w:sz w:val="24"/>
      <w:szCs w:val="24"/>
    </w:rPr>
  </w:style>
  <w:style w:type="character" w:customStyle="1" w:styleId="Heading1Char">
    <w:name w:val="Heading 1 Char"/>
    <w:basedOn w:val="DefaultParagraphFont"/>
    <w:link w:val="Heading1"/>
    <w:uiPriority w:val="9"/>
    <w:rsid w:val="00746575"/>
    <w:rPr>
      <w:rFonts w:asciiTheme="majorHAnsi" w:eastAsiaTheme="majorEastAsia" w:hAnsiTheme="majorHAnsi" w:cstheme="majorBidi"/>
      <w:color w:val="2F5496" w:themeColor="accent1" w:themeShade="BF"/>
      <w:sz w:val="32"/>
      <w:szCs w:val="32"/>
    </w:rPr>
  </w:style>
  <w:style w:type="paragraph" w:styleId="TOC2">
    <w:name w:val="toc 2"/>
    <w:basedOn w:val="Normal"/>
    <w:next w:val="Normal"/>
    <w:autoRedefine/>
    <w:uiPriority w:val="39"/>
    <w:unhideWhenUsed/>
    <w:rsid w:val="00B10414"/>
    <w:pPr>
      <w:bidi/>
      <w:spacing w:after="100" w:line="276" w:lineRule="auto"/>
      <w:ind w:left="280"/>
      <w:jc w:val="both"/>
    </w:pPr>
    <w:rPr>
      <w:rFonts w:ascii="Bahij Janna" w:hAnsi="Bahij Janna" w:cs="55_Sarchia_Kurdish"/>
      <w:sz w:val="24"/>
      <w:szCs w:val="28"/>
    </w:rPr>
  </w:style>
  <w:style w:type="paragraph" w:styleId="TOC3">
    <w:name w:val="toc 3"/>
    <w:basedOn w:val="Normal"/>
    <w:next w:val="Normal"/>
    <w:autoRedefine/>
    <w:uiPriority w:val="39"/>
    <w:unhideWhenUsed/>
    <w:rsid w:val="00B10414"/>
    <w:pPr>
      <w:spacing w:after="100"/>
      <w:ind w:left="440"/>
    </w:pPr>
    <w:rPr>
      <w:rFonts w:ascii="Bahij Janna" w:eastAsiaTheme="minorEastAsia" w:hAnsi="Bahij Janna"/>
      <w:sz w:val="24"/>
    </w:rPr>
  </w:style>
  <w:style w:type="paragraph" w:styleId="TOC4">
    <w:name w:val="toc 4"/>
    <w:basedOn w:val="Normal"/>
    <w:next w:val="Normal"/>
    <w:autoRedefine/>
    <w:uiPriority w:val="39"/>
    <w:unhideWhenUsed/>
    <w:rsid w:val="00B10414"/>
    <w:pPr>
      <w:spacing w:after="100"/>
      <w:ind w:left="660"/>
    </w:pPr>
    <w:rPr>
      <w:rFonts w:ascii="Bahij Janna" w:eastAsiaTheme="minorEastAsia" w:hAnsi="Bahij Janna"/>
    </w:rPr>
  </w:style>
  <w:style w:type="numbering" w:customStyle="1" w:styleId="Style1">
    <w:name w:val="Style1"/>
    <w:uiPriority w:val="99"/>
    <w:rsid w:val="00731C5C"/>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484612">
      <w:bodyDiv w:val="1"/>
      <w:marLeft w:val="0"/>
      <w:marRight w:val="0"/>
      <w:marTop w:val="0"/>
      <w:marBottom w:val="0"/>
      <w:divBdr>
        <w:top w:val="none" w:sz="0" w:space="0" w:color="auto"/>
        <w:left w:val="none" w:sz="0" w:space="0" w:color="auto"/>
        <w:bottom w:val="none" w:sz="0" w:space="0" w:color="auto"/>
        <w:right w:val="none" w:sz="0" w:space="0" w:color="auto"/>
      </w:divBdr>
      <w:divsChild>
        <w:div w:id="941500078">
          <w:marLeft w:val="0"/>
          <w:marRight w:val="0"/>
          <w:marTop w:val="0"/>
          <w:marBottom w:val="0"/>
          <w:divBdr>
            <w:top w:val="single" w:sz="2" w:space="0" w:color="E3E3E3"/>
            <w:left w:val="single" w:sz="2" w:space="0" w:color="E3E3E3"/>
            <w:bottom w:val="single" w:sz="2" w:space="0" w:color="E3E3E3"/>
            <w:right w:val="single" w:sz="2" w:space="0" w:color="E3E3E3"/>
          </w:divBdr>
          <w:divsChild>
            <w:div w:id="1204290822">
              <w:marLeft w:val="0"/>
              <w:marRight w:val="0"/>
              <w:marTop w:val="0"/>
              <w:marBottom w:val="0"/>
              <w:divBdr>
                <w:top w:val="single" w:sz="2" w:space="0" w:color="E3E3E3"/>
                <w:left w:val="single" w:sz="2" w:space="0" w:color="E3E3E3"/>
                <w:bottom w:val="single" w:sz="2" w:space="0" w:color="E3E3E3"/>
                <w:right w:val="single" w:sz="2" w:space="0" w:color="E3E3E3"/>
              </w:divBdr>
              <w:divsChild>
                <w:div w:id="443156329">
                  <w:marLeft w:val="0"/>
                  <w:marRight w:val="0"/>
                  <w:marTop w:val="0"/>
                  <w:marBottom w:val="0"/>
                  <w:divBdr>
                    <w:top w:val="single" w:sz="2" w:space="0" w:color="E3E3E3"/>
                    <w:left w:val="single" w:sz="2" w:space="0" w:color="E3E3E3"/>
                    <w:bottom w:val="single" w:sz="2" w:space="0" w:color="E3E3E3"/>
                    <w:right w:val="single" w:sz="2" w:space="0" w:color="E3E3E3"/>
                  </w:divBdr>
                  <w:divsChild>
                    <w:div w:id="1957324754">
                      <w:marLeft w:val="0"/>
                      <w:marRight w:val="0"/>
                      <w:marTop w:val="0"/>
                      <w:marBottom w:val="0"/>
                      <w:divBdr>
                        <w:top w:val="single" w:sz="2" w:space="0" w:color="E3E3E3"/>
                        <w:left w:val="single" w:sz="2" w:space="0" w:color="E3E3E3"/>
                        <w:bottom w:val="single" w:sz="2" w:space="0" w:color="E3E3E3"/>
                        <w:right w:val="single" w:sz="2" w:space="0" w:color="E3E3E3"/>
                      </w:divBdr>
                      <w:divsChild>
                        <w:div w:id="2003855097">
                          <w:marLeft w:val="0"/>
                          <w:marRight w:val="0"/>
                          <w:marTop w:val="0"/>
                          <w:marBottom w:val="0"/>
                          <w:divBdr>
                            <w:top w:val="single" w:sz="2" w:space="0" w:color="E3E3E3"/>
                            <w:left w:val="single" w:sz="2" w:space="0" w:color="E3E3E3"/>
                            <w:bottom w:val="single" w:sz="2" w:space="0" w:color="E3E3E3"/>
                            <w:right w:val="single" w:sz="2" w:space="0" w:color="E3E3E3"/>
                          </w:divBdr>
                          <w:divsChild>
                            <w:div w:id="529300575">
                              <w:marLeft w:val="0"/>
                              <w:marRight w:val="0"/>
                              <w:marTop w:val="100"/>
                              <w:marBottom w:val="100"/>
                              <w:divBdr>
                                <w:top w:val="single" w:sz="2" w:space="0" w:color="E3E3E3"/>
                                <w:left w:val="single" w:sz="2" w:space="0" w:color="E3E3E3"/>
                                <w:bottom w:val="single" w:sz="2" w:space="0" w:color="E3E3E3"/>
                                <w:right w:val="single" w:sz="2" w:space="0" w:color="E3E3E3"/>
                              </w:divBdr>
                              <w:divsChild>
                                <w:div w:id="876814946">
                                  <w:marLeft w:val="0"/>
                                  <w:marRight w:val="0"/>
                                  <w:marTop w:val="0"/>
                                  <w:marBottom w:val="0"/>
                                  <w:divBdr>
                                    <w:top w:val="single" w:sz="2" w:space="0" w:color="E3E3E3"/>
                                    <w:left w:val="single" w:sz="2" w:space="0" w:color="E3E3E3"/>
                                    <w:bottom w:val="single" w:sz="2" w:space="0" w:color="E3E3E3"/>
                                    <w:right w:val="single" w:sz="2" w:space="0" w:color="E3E3E3"/>
                                  </w:divBdr>
                                  <w:divsChild>
                                    <w:div w:id="854078095">
                                      <w:marLeft w:val="0"/>
                                      <w:marRight w:val="0"/>
                                      <w:marTop w:val="0"/>
                                      <w:marBottom w:val="0"/>
                                      <w:divBdr>
                                        <w:top w:val="single" w:sz="2" w:space="0" w:color="E3E3E3"/>
                                        <w:left w:val="single" w:sz="2" w:space="0" w:color="E3E3E3"/>
                                        <w:bottom w:val="single" w:sz="2" w:space="0" w:color="E3E3E3"/>
                                        <w:right w:val="single" w:sz="2" w:space="0" w:color="E3E3E3"/>
                                      </w:divBdr>
                                      <w:divsChild>
                                        <w:div w:id="873032079">
                                          <w:marLeft w:val="0"/>
                                          <w:marRight w:val="0"/>
                                          <w:marTop w:val="0"/>
                                          <w:marBottom w:val="0"/>
                                          <w:divBdr>
                                            <w:top w:val="single" w:sz="2" w:space="0" w:color="E3E3E3"/>
                                            <w:left w:val="single" w:sz="2" w:space="0" w:color="E3E3E3"/>
                                            <w:bottom w:val="single" w:sz="2" w:space="0" w:color="E3E3E3"/>
                                            <w:right w:val="single" w:sz="2" w:space="0" w:color="E3E3E3"/>
                                          </w:divBdr>
                                          <w:divsChild>
                                            <w:div w:id="313686423">
                                              <w:marLeft w:val="0"/>
                                              <w:marRight w:val="0"/>
                                              <w:marTop w:val="0"/>
                                              <w:marBottom w:val="0"/>
                                              <w:divBdr>
                                                <w:top w:val="single" w:sz="2" w:space="0" w:color="E3E3E3"/>
                                                <w:left w:val="single" w:sz="2" w:space="0" w:color="E3E3E3"/>
                                                <w:bottom w:val="single" w:sz="2" w:space="0" w:color="E3E3E3"/>
                                                <w:right w:val="single" w:sz="2" w:space="0" w:color="E3E3E3"/>
                                              </w:divBdr>
                                              <w:divsChild>
                                                <w:div w:id="307170542">
                                                  <w:marLeft w:val="0"/>
                                                  <w:marRight w:val="0"/>
                                                  <w:marTop w:val="0"/>
                                                  <w:marBottom w:val="0"/>
                                                  <w:divBdr>
                                                    <w:top w:val="single" w:sz="2" w:space="0" w:color="E3E3E3"/>
                                                    <w:left w:val="single" w:sz="2" w:space="0" w:color="E3E3E3"/>
                                                    <w:bottom w:val="single" w:sz="2" w:space="0" w:color="E3E3E3"/>
                                                    <w:right w:val="single" w:sz="2" w:space="0" w:color="E3E3E3"/>
                                                  </w:divBdr>
                                                  <w:divsChild>
                                                    <w:div w:id="1976679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884216714">
          <w:marLeft w:val="0"/>
          <w:marRight w:val="0"/>
          <w:marTop w:val="0"/>
          <w:marBottom w:val="0"/>
          <w:divBdr>
            <w:top w:val="none" w:sz="0" w:space="0" w:color="auto"/>
            <w:left w:val="none" w:sz="0" w:space="0" w:color="auto"/>
            <w:bottom w:val="none" w:sz="0" w:space="0" w:color="auto"/>
            <w:right w:val="none" w:sz="0" w:space="0" w:color="auto"/>
          </w:divBdr>
        </w:div>
      </w:divsChild>
    </w:div>
    <w:div w:id="1477065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671</Words>
  <Characters>4265</Characters>
  <Application>Microsoft Office Word</Application>
  <DocSecurity>0</DocSecurity>
  <Lines>65</Lines>
  <Paragraphs>26</Paragraphs>
  <ScaleCrop>false</ScaleCrop>
  <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Excellence</dc:creator>
  <cp:keywords/>
  <dc:description/>
  <cp:lastModifiedBy>Excellence</cp:lastModifiedBy>
  <cp:revision>2</cp:revision>
  <dcterms:created xsi:type="dcterms:W3CDTF">2024-03-25T13:16:00Z</dcterms:created>
  <dcterms:modified xsi:type="dcterms:W3CDTF">2024-03-25T13:23:00Z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212b87dd94129159f0a20148f807dd0f1904cbf43c9eb7898f4d07899395944f</vt:lpwstr>
  </property>
</Properties>
</file>