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EC7E1" w14:textId="77777777" w:rsidR="00E6566B" w:rsidRDefault="00E6566B" w:rsidP="00E6566B">
      <w:pPr>
        <w:spacing w:line="360" w:lineRule="auto"/>
        <w:rPr>
          <w:rFonts w:ascii="Times New Roman" w:hAnsi="Times New Roman"/>
          <w:sz w:val="22"/>
          <w:szCs w:val="18"/>
        </w:rPr>
      </w:pPr>
      <w:r>
        <w:rPr>
          <w:rFonts w:ascii="Times New Roman" w:hAnsi="Times New Roman"/>
          <w:sz w:val="22"/>
          <w:szCs w:val="24"/>
        </w:rPr>
        <w:t>Table 1. Study schedule of enrolment, intervention, and assessments</w:t>
      </w:r>
    </w:p>
    <w:tbl>
      <w:tblPr>
        <w:tblW w:w="50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5"/>
        <w:gridCol w:w="1042"/>
        <w:gridCol w:w="1092"/>
        <w:gridCol w:w="1079"/>
        <w:gridCol w:w="1031"/>
        <w:gridCol w:w="1096"/>
        <w:gridCol w:w="1547"/>
      </w:tblGrid>
      <w:tr w:rsidR="00E6566B" w14:paraId="6CFFAC70" w14:textId="77777777" w:rsidTr="00AF6B40">
        <w:trPr>
          <w:cantSplit/>
          <w:trHeight w:val="1054"/>
          <w:jc w:val="center"/>
        </w:trPr>
        <w:tc>
          <w:tcPr>
            <w:tcW w:w="1318" w:type="pct"/>
            <w:vMerge w:val="restart"/>
            <w:tcBorders>
              <w:tl2br w:val="single" w:sz="4" w:space="0" w:color="auto"/>
            </w:tcBorders>
            <w:vAlign w:val="center"/>
          </w:tcPr>
          <w:p w14:paraId="4496BDB5" w14:textId="77777777" w:rsidR="00E6566B" w:rsidRDefault="00E6566B" w:rsidP="00AF6B40">
            <w:pPr>
              <w:spacing w:line="360" w:lineRule="auto"/>
              <w:ind w:rightChars="-21" w:right="-4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    Detection time</w:t>
            </w:r>
          </w:p>
          <w:p w14:paraId="65F8A0B8" w14:textId="77777777" w:rsidR="00E6566B" w:rsidRDefault="00E6566B" w:rsidP="00AF6B40">
            <w:pPr>
              <w:spacing w:line="360" w:lineRule="auto"/>
              <w:ind w:rightChars="-21" w:right="-44"/>
              <w:rPr>
                <w:rFonts w:ascii="Times New Roman" w:hAnsi="Times New Roman"/>
                <w:sz w:val="18"/>
                <w:szCs w:val="18"/>
              </w:rPr>
            </w:pPr>
          </w:p>
          <w:p w14:paraId="0E3A9621" w14:textId="77777777" w:rsidR="00E6566B" w:rsidRDefault="00E6566B" w:rsidP="00AF6B40">
            <w:pPr>
              <w:spacing w:line="360" w:lineRule="auto"/>
              <w:ind w:rightChars="-21" w:right="-44"/>
              <w:rPr>
                <w:rFonts w:ascii="Times New Roman" w:hAnsi="Times New Roman"/>
                <w:sz w:val="18"/>
                <w:szCs w:val="18"/>
              </w:rPr>
            </w:pPr>
          </w:p>
          <w:p w14:paraId="789E16F3" w14:textId="77777777" w:rsidR="00E6566B" w:rsidRDefault="00E6566B" w:rsidP="00AF6B40">
            <w:pPr>
              <w:spacing w:line="360" w:lineRule="auto"/>
              <w:ind w:left="90" w:rightChars="-21" w:right="-44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Target  </w:t>
            </w:r>
          </w:p>
          <w:p w14:paraId="63E3537F" w14:textId="77777777" w:rsidR="00E6566B" w:rsidRDefault="00E6566B" w:rsidP="00AF6B40">
            <w:pPr>
              <w:spacing w:line="360" w:lineRule="auto"/>
              <w:ind w:rightChars="-21" w:right="-44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pct"/>
            <w:vAlign w:val="center"/>
          </w:tcPr>
          <w:p w14:paraId="23072CA5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Screening period</w:t>
            </w:r>
          </w:p>
        </w:tc>
        <w:tc>
          <w:tcPr>
            <w:tcW w:w="1712" w:type="pct"/>
            <w:gridSpan w:val="3"/>
            <w:vAlign w:val="center"/>
          </w:tcPr>
          <w:p w14:paraId="654872EE" w14:textId="77777777" w:rsidR="00E6566B" w:rsidRDefault="00E6566B" w:rsidP="00AF6B40">
            <w:pPr>
              <w:tabs>
                <w:tab w:val="center" w:pos="2078"/>
                <w:tab w:val="right" w:pos="4036"/>
              </w:tabs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Treatment period</w:t>
            </w:r>
          </w:p>
        </w:tc>
        <w:tc>
          <w:tcPr>
            <w:tcW w:w="584" w:type="pct"/>
            <w:vAlign w:val="center"/>
          </w:tcPr>
          <w:p w14:paraId="276E0F1F" w14:textId="77777777" w:rsidR="00E6566B" w:rsidRDefault="00E6566B" w:rsidP="00AF6B40">
            <w:pPr>
              <w:tabs>
                <w:tab w:val="center" w:pos="2078"/>
                <w:tab w:val="right" w:pos="4036"/>
              </w:tabs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Follow-up period</w:t>
            </w:r>
          </w:p>
        </w:tc>
        <w:tc>
          <w:tcPr>
            <w:tcW w:w="826" w:type="pct"/>
            <w:vAlign w:val="center"/>
          </w:tcPr>
          <w:p w14:paraId="4446D900" w14:textId="77777777" w:rsidR="00E6566B" w:rsidRDefault="00E6566B" w:rsidP="00AF6B40">
            <w:pPr>
              <w:tabs>
                <w:tab w:val="center" w:pos="2078"/>
                <w:tab w:val="right" w:pos="4036"/>
              </w:tabs>
              <w:spacing w:line="36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Pregnancy follow-up (only for pregnant patients)</w:t>
            </w:r>
          </w:p>
        </w:tc>
      </w:tr>
      <w:tr w:rsidR="00E6566B" w14:paraId="643E8261" w14:textId="77777777" w:rsidTr="00AF6B40">
        <w:trPr>
          <w:cantSplit/>
          <w:trHeight w:val="614"/>
          <w:jc w:val="center"/>
        </w:trPr>
        <w:tc>
          <w:tcPr>
            <w:tcW w:w="1318" w:type="pct"/>
            <w:vMerge/>
          </w:tcPr>
          <w:p w14:paraId="278743EB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pct"/>
            <w:vAlign w:val="center"/>
          </w:tcPr>
          <w:p w14:paraId="0B455256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0-30 days</w:t>
            </w:r>
          </w:p>
        </w:tc>
        <w:tc>
          <w:tcPr>
            <w:tcW w:w="584" w:type="pct"/>
            <w:vAlign w:val="center"/>
          </w:tcPr>
          <w:p w14:paraId="7D74570C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4 weeks</w:t>
            </w:r>
          </w:p>
        </w:tc>
        <w:tc>
          <w:tcPr>
            <w:tcW w:w="577" w:type="pct"/>
            <w:vAlign w:val="center"/>
          </w:tcPr>
          <w:p w14:paraId="733C7532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8 weeks</w:t>
            </w:r>
          </w:p>
        </w:tc>
        <w:tc>
          <w:tcPr>
            <w:tcW w:w="550" w:type="pct"/>
            <w:vAlign w:val="center"/>
          </w:tcPr>
          <w:p w14:paraId="7168F985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12 weeks</w:t>
            </w:r>
          </w:p>
        </w:tc>
        <w:tc>
          <w:tcPr>
            <w:tcW w:w="584" w:type="pct"/>
            <w:vAlign w:val="center"/>
          </w:tcPr>
          <w:p w14:paraId="633954FB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  <w:t>16 weeks</w:t>
            </w:r>
          </w:p>
        </w:tc>
        <w:tc>
          <w:tcPr>
            <w:tcW w:w="826" w:type="pct"/>
            <w:vAlign w:val="center"/>
          </w:tcPr>
          <w:p w14:paraId="297E1027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E6566B" w14:paraId="711AE6A6" w14:textId="77777777" w:rsidTr="00AF6B40">
        <w:trPr>
          <w:cantSplit/>
          <w:trHeight w:val="387"/>
          <w:jc w:val="center"/>
        </w:trPr>
        <w:tc>
          <w:tcPr>
            <w:tcW w:w="4173" w:type="pct"/>
            <w:gridSpan w:val="6"/>
            <w:vAlign w:val="center"/>
          </w:tcPr>
          <w:p w14:paraId="4D1CB7C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Primary outcome measures</w:t>
            </w:r>
          </w:p>
        </w:tc>
        <w:tc>
          <w:tcPr>
            <w:tcW w:w="826" w:type="pct"/>
            <w:vAlign w:val="center"/>
          </w:tcPr>
          <w:p w14:paraId="61C22BE5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</w:p>
        </w:tc>
      </w:tr>
      <w:tr w:rsidR="00E6566B" w14:paraId="39C17A60" w14:textId="77777777" w:rsidTr="00AF6B40">
        <w:trPr>
          <w:cantSplit/>
          <w:trHeight w:val="387"/>
          <w:jc w:val="center"/>
        </w:trPr>
        <w:tc>
          <w:tcPr>
            <w:tcW w:w="1318" w:type="pct"/>
            <w:vAlign w:val="center"/>
          </w:tcPr>
          <w:p w14:paraId="300F752D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AMH (day 2-4 of each menstrual cycle)</w:t>
            </w:r>
          </w:p>
        </w:tc>
        <w:tc>
          <w:tcPr>
            <w:tcW w:w="557" w:type="pct"/>
            <w:vAlign w:val="center"/>
          </w:tcPr>
          <w:p w14:paraId="5C0F1763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84" w:type="pct"/>
            <w:vAlign w:val="center"/>
          </w:tcPr>
          <w:p w14:paraId="4A011B36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77" w:type="pct"/>
            <w:vAlign w:val="center"/>
          </w:tcPr>
          <w:p w14:paraId="277DD63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50" w:type="pct"/>
            <w:vAlign w:val="center"/>
          </w:tcPr>
          <w:p w14:paraId="218EB4AC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84" w:type="pct"/>
            <w:vAlign w:val="center"/>
          </w:tcPr>
          <w:p w14:paraId="7AB5FE0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826" w:type="pct"/>
            <w:vMerge w:val="restart"/>
            <w:vAlign w:val="center"/>
          </w:tcPr>
          <w:p w14:paraId="32DF40B0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</w:p>
        </w:tc>
      </w:tr>
      <w:tr w:rsidR="00E6566B" w14:paraId="6B7F961B" w14:textId="77777777" w:rsidTr="00AF6B40">
        <w:trPr>
          <w:cantSplit/>
          <w:jc w:val="center"/>
        </w:trPr>
        <w:tc>
          <w:tcPr>
            <w:tcW w:w="4173" w:type="pct"/>
            <w:gridSpan w:val="6"/>
            <w:vAlign w:val="center"/>
          </w:tcPr>
          <w:p w14:paraId="4E8097EE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  <w:lang w:val="pt-PT"/>
              </w:rPr>
              <w:t>Secondary outcome measures</w:t>
            </w:r>
          </w:p>
        </w:tc>
        <w:tc>
          <w:tcPr>
            <w:tcW w:w="826" w:type="pct"/>
            <w:vMerge/>
            <w:vAlign w:val="center"/>
          </w:tcPr>
          <w:p w14:paraId="3651643F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6566B" w14:paraId="33B57DC9" w14:textId="77777777" w:rsidTr="00AF6B40">
        <w:trPr>
          <w:cantSplit/>
          <w:jc w:val="center"/>
        </w:trPr>
        <w:tc>
          <w:tcPr>
            <w:tcW w:w="4173" w:type="pct"/>
            <w:gridSpan w:val="6"/>
            <w:vAlign w:val="center"/>
          </w:tcPr>
          <w:p w14:paraId="18AE861E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Patients in the outpatient clinic</w:t>
            </w:r>
          </w:p>
        </w:tc>
        <w:tc>
          <w:tcPr>
            <w:tcW w:w="826" w:type="pct"/>
            <w:vMerge/>
            <w:vAlign w:val="center"/>
          </w:tcPr>
          <w:p w14:paraId="7A5BED8F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6566B" w14:paraId="038FE814" w14:textId="77777777" w:rsidTr="00AF6B40">
        <w:trPr>
          <w:cantSplit/>
          <w:jc w:val="center"/>
        </w:trPr>
        <w:tc>
          <w:tcPr>
            <w:tcW w:w="1318" w:type="pct"/>
            <w:vAlign w:val="center"/>
          </w:tcPr>
          <w:p w14:paraId="54A76528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Modified Kupperman scale (at the end of each menstrual cycle)</w:t>
            </w:r>
          </w:p>
        </w:tc>
        <w:tc>
          <w:tcPr>
            <w:tcW w:w="557" w:type="pct"/>
            <w:vAlign w:val="center"/>
          </w:tcPr>
          <w:p w14:paraId="34E080E8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√  </w:t>
            </w:r>
          </w:p>
        </w:tc>
        <w:tc>
          <w:tcPr>
            <w:tcW w:w="584" w:type="pct"/>
            <w:vAlign w:val="center"/>
          </w:tcPr>
          <w:p w14:paraId="23BE01CD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pt-PT"/>
              </w:rPr>
              <w:t>√</w:t>
            </w:r>
          </w:p>
        </w:tc>
        <w:tc>
          <w:tcPr>
            <w:tcW w:w="577" w:type="pct"/>
            <w:vAlign w:val="center"/>
          </w:tcPr>
          <w:p w14:paraId="4B57CDD2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50" w:type="pct"/>
            <w:vAlign w:val="center"/>
          </w:tcPr>
          <w:p w14:paraId="027FBB8C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  <w:lang w:val="pt-PT"/>
              </w:rPr>
              <w:t>√</w:t>
            </w:r>
          </w:p>
        </w:tc>
        <w:tc>
          <w:tcPr>
            <w:tcW w:w="584" w:type="pct"/>
            <w:vAlign w:val="center"/>
          </w:tcPr>
          <w:p w14:paraId="794A9D8F" w14:textId="77777777" w:rsidR="00E6566B" w:rsidRDefault="00E6566B" w:rsidP="00AF6B40">
            <w:pPr>
              <w:spacing w:line="360" w:lineRule="auto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  <w:vertAlign w:val="subscript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  <w:lang w:val="pt-PT"/>
              </w:rPr>
              <w:t>√</w:t>
            </w:r>
          </w:p>
        </w:tc>
        <w:tc>
          <w:tcPr>
            <w:tcW w:w="826" w:type="pct"/>
            <w:vMerge/>
            <w:vAlign w:val="center"/>
          </w:tcPr>
          <w:p w14:paraId="3E8B5D8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6566B" w14:paraId="2A976853" w14:textId="77777777" w:rsidTr="00AF6B40">
        <w:trPr>
          <w:cantSplit/>
          <w:jc w:val="center"/>
        </w:trPr>
        <w:tc>
          <w:tcPr>
            <w:tcW w:w="1318" w:type="pct"/>
            <w:vAlign w:val="center"/>
          </w:tcPr>
          <w:p w14:paraId="42C6E72F" w14:textId="77777777" w:rsidR="00E6566B" w:rsidRDefault="00E6566B" w:rsidP="00AF6B40">
            <w:pPr>
              <w:widowControl/>
              <w:spacing w:line="360" w:lineRule="auto"/>
              <w:jc w:val="left"/>
              <w:outlineLvl w:val="1"/>
              <w:rPr>
                <w:rFonts w:ascii="Times New Roman" w:hAnsi="Times New Roman"/>
                <w:b/>
                <w:bCs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Antral follicle count (AFC) (days 5-6 of the menstrual cycle before and after treatment)</w:t>
            </w:r>
          </w:p>
        </w:tc>
        <w:tc>
          <w:tcPr>
            <w:tcW w:w="557" w:type="pct"/>
            <w:vAlign w:val="center"/>
          </w:tcPr>
          <w:p w14:paraId="639FDE73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1712" w:type="pct"/>
            <w:gridSpan w:val="3"/>
            <w:vAlign w:val="center"/>
          </w:tcPr>
          <w:p w14:paraId="0725BC98" w14:textId="77777777" w:rsidR="00E6566B" w:rsidRDefault="00E6566B" w:rsidP="00AF6B40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4" w:type="pct"/>
            <w:vAlign w:val="center"/>
          </w:tcPr>
          <w:p w14:paraId="4DC0CC63" w14:textId="77777777" w:rsidR="00E6566B" w:rsidRDefault="00E6566B" w:rsidP="00AF6B40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826" w:type="pct"/>
            <w:vMerge/>
            <w:vAlign w:val="center"/>
          </w:tcPr>
          <w:p w14:paraId="786DE281" w14:textId="77777777" w:rsidR="00E6566B" w:rsidRDefault="00E6566B" w:rsidP="00AF6B40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</w:p>
        </w:tc>
      </w:tr>
      <w:tr w:rsidR="00E6566B" w14:paraId="57D2077B" w14:textId="77777777" w:rsidTr="00AF6B40">
        <w:trPr>
          <w:cantSplit/>
          <w:jc w:val="center"/>
        </w:trPr>
        <w:tc>
          <w:tcPr>
            <w:tcW w:w="1318" w:type="pct"/>
            <w:vAlign w:val="center"/>
          </w:tcPr>
          <w:p w14:paraId="0D89FC91" w14:textId="77777777" w:rsidR="00E6566B" w:rsidRDefault="00E6566B" w:rsidP="00AF6B40">
            <w:pPr>
              <w:widowControl/>
              <w:spacing w:line="36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FSH, LH levels, FSH/LH ratio (days 2-4 of each menstrual cycle)</w:t>
            </w:r>
          </w:p>
        </w:tc>
        <w:tc>
          <w:tcPr>
            <w:tcW w:w="557" w:type="pct"/>
            <w:vAlign w:val="center"/>
          </w:tcPr>
          <w:p w14:paraId="01AAF3F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84" w:type="pct"/>
            <w:vAlign w:val="center"/>
          </w:tcPr>
          <w:p w14:paraId="165CE694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77" w:type="pct"/>
            <w:vAlign w:val="center"/>
          </w:tcPr>
          <w:p w14:paraId="05066B93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50" w:type="pct"/>
            <w:vAlign w:val="center"/>
          </w:tcPr>
          <w:p w14:paraId="6259AC89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584" w:type="pct"/>
            <w:vAlign w:val="center"/>
          </w:tcPr>
          <w:p w14:paraId="253CDE36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  <w:lang w:val="pt-PT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  <w:tc>
          <w:tcPr>
            <w:tcW w:w="826" w:type="pct"/>
            <w:vMerge/>
            <w:vAlign w:val="center"/>
          </w:tcPr>
          <w:p w14:paraId="2B257A5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6566B" w14:paraId="0D856DB8" w14:textId="77777777" w:rsidTr="00AF6B40">
        <w:trPr>
          <w:cantSplit/>
          <w:trHeight w:val="90"/>
          <w:jc w:val="center"/>
        </w:trPr>
        <w:tc>
          <w:tcPr>
            <w:tcW w:w="1318" w:type="pct"/>
            <w:vAlign w:val="center"/>
          </w:tcPr>
          <w:p w14:paraId="2F75F145" w14:textId="77777777" w:rsidR="00E6566B" w:rsidRDefault="00E6566B" w:rsidP="00AF6B40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Positive pregnancy (urine HCG test at 7-8 days after menstruation, blood HCG test after positive)</w:t>
            </w:r>
          </w:p>
        </w:tc>
        <w:tc>
          <w:tcPr>
            <w:tcW w:w="2855" w:type="pct"/>
            <w:gridSpan w:val="5"/>
            <w:vMerge w:val="restart"/>
            <w:vAlign w:val="center"/>
          </w:tcPr>
          <w:p w14:paraId="5AB5BA02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08ADC5AF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3B300BDF" w14:textId="77777777" w:rsidTr="00AF6B40">
        <w:trPr>
          <w:cantSplit/>
          <w:jc w:val="center"/>
        </w:trPr>
        <w:tc>
          <w:tcPr>
            <w:tcW w:w="1318" w:type="pct"/>
            <w:vAlign w:val="center"/>
          </w:tcPr>
          <w:p w14:paraId="52CEE696" w14:textId="77777777" w:rsidR="00E6566B" w:rsidRDefault="00E6566B" w:rsidP="00AF6B40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Clinical pregnancy (gestational sac detected by transvaginal ultrasound 14-21 days after menopause)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6670F1EA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15FD8DA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37C352D3" w14:textId="77777777" w:rsidTr="00AF6B40">
        <w:trPr>
          <w:cantSplit/>
          <w:jc w:val="center"/>
        </w:trPr>
        <w:tc>
          <w:tcPr>
            <w:tcW w:w="1318" w:type="pct"/>
            <w:vAlign w:val="center"/>
          </w:tcPr>
          <w:p w14:paraId="3D443970" w14:textId="77777777" w:rsidR="00E6566B" w:rsidRDefault="00E6566B" w:rsidP="00AF6B40">
            <w:pPr>
              <w:widowControl/>
              <w:spacing w:line="360" w:lineRule="auto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Early spontaneous abortion (within 12 weeks of gestation)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7D5C45D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57F0463C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3C955D9D" w14:textId="77777777" w:rsidTr="00AF6B40">
        <w:trPr>
          <w:cantSplit/>
          <w:jc w:val="center"/>
        </w:trPr>
        <w:tc>
          <w:tcPr>
            <w:tcW w:w="5000" w:type="pct"/>
            <w:gridSpan w:val="7"/>
          </w:tcPr>
          <w:p w14:paraId="5B4D3920" w14:textId="77777777" w:rsidR="00E6566B" w:rsidRDefault="00E6566B" w:rsidP="00AF6B40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Cs w:val="18"/>
              </w:rPr>
              <w:t>Set of pregnancy indicators for IVF-ET patients</w:t>
            </w:r>
          </w:p>
        </w:tc>
      </w:tr>
      <w:tr w:rsidR="00E6566B" w14:paraId="766C6058" w14:textId="77777777" w:rsidTr="00AF6B40">
        <w:trPr>
          <w:cantSplit/>
          <w:jc w:val="center"/>
        </w:trPr>
        <w:tc>
          <w:tcPr>
            <w:tcW w:w="1318" w:type="pct"/>
          </w:tcPr>
          <w:p w14:paraId="49351378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6"/>
              </w:rPr>
              <w:t>Ongoing pregnancy (pregnancy lasting 12 weeks or later)</w:t>
            </w:r>
          </w:p>
        </w:tc>
        <w:tc>
          <w:tcPr>
            <w:tcW w:w="2855" w:type="pct"/>
            <w:gridSpan w:val="5"/>
            <w:vMerge w:val="restart"/>
            <w:vAlign w:val="center"/>
          </w:tcPr>
          <w:p w14:paraId="1438CEB8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625F207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67E9C4EC" w14:textId="77777777" w:rsidTr="00AF6B40">
        <w:trPr>
          <w:cantSplit/>
          <w:jc w:val="center"/>
        </w:trPr>
        <w:tc>
          <w:tcPr>
            <w:tcW w:w="1318" w:type="pct"/>
          </w:tcPr>
          <w:p w14:paraId="36B9133E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kern w:val="0"/>
                <w:sz w:val="18"/>
                <w:szCs w:val="16"/>
              </w:rPr>
              <w:lastRenderedPageBreak/>
              <w:t>Ectopic pregnancy</w:t>
            </w:r>
            <w:r>
              <w:rPr>
                <w:rFonts w:ascii="Times New Roman" w:hAnsi="Times New Roman"/>
                <w:kern w:val="0"/>
                <w:sz w:val="18"/>
                <w:szCs w:val="16"/>
              </w:rPr>
              <w:t>（</w:t>
            </w:r>
            <w:r>
              <w:rPr>
                <w:rFonts w:ascii="Times New Roman" w:hAnsi="Times New Roman"/>
                <w:kern w:val="0"/>
                <w:sz w:val="18"/>
                <w:szCs w:val="16"/>
              </w:rPr>
              <w:t>At 5-6 weeks of menopause, no gestational sac was found in the uterus, pregnancy test was positive, beta - hCG &gt;750Miu/ml</w:t>
            </w:r>
            <w:r>
              <w:rPr>
                <w:rFonts w:ascii="Times New Roman" w:hAnsi="Times New Roman"/>
                <w:kern w:val="0"/>
                <w:sz w:val="18"/>
                <w:szCs w:val="16"/>
              </w:rPr>
              <w:t>）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7524145A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042DB0F1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27E0759A" w14:textId="77777777" w:rsidTr="00AF6B40">
        <w:trPr>
          <w:cantSplit/>
          <w:jc w:val="center"/>
        </w:trPr>
        <w:tc>
          <w:tcPr>
            <w:tcW w:w="1318" w:type="pct"/>
          </w:tcPr>
          <w:p w14:paraId="0E34747E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Number of oocytes retrieved (day of oocyte retrieval)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0D65C8B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14D0C349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6A38BF50" w14:textId="77777777" w:rsidTr="00AF6B40">
        <w:trPr>
          <w:cantSplit/>
          <w:jc w:val="center"/>
        </w:trPr>
        <w:tc>
          <w:tcPr>
            <w:tcW w:w="1318" w:type="pct"/>
          </w:tcPr>
          <w:p w14:paraId="690C639E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Number of normal fertilization (day 2 or 3 after oocyte retrieval)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1B5699F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645D4BFB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3385A55A" w14:textId="77777777" w:rsidTr="00AF6B40">
        <w:trPr>
          <w:cantSplit/>
          <w:jc w:val="center"/>
        </w:trPr>
        <w:tc>
          <w:tcPr>
            <w:tcW w:w="1318" w:type="pct"/>
          </w:tcPr>
          <w:p w14:paraId="1E1045D1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Number of embryos available for transfer and number of high-quality embryos, such as cleavage and blastocyst (3 and 5 days after oocyte retrieval)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71533006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1F6652DD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645F9D20" w14:textId="77777777" w:rsidTr="00AF6B40">
        <w:trPr>
          <w:cantSplit/>
          <w:jc w:val="center"/>
        </w:trPr>
        <w:tc>
          <w:tcPr>
            <w:tcW w:w="1318" w:type="pct"/>
          </w:tcPr>
          <w:p w14:paraId="292548F6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Rate of mature oocytes or MⅡ oocytes (day of oocyte retrieval)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166CC1FD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655AB85C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02BC2830" w14:textId="77777777" w:rsidTr="00AF6B40">
        <w:trPr>
          <w:cantSplit/>
          <w:jc w:val="center"/>
        </w:trPr>
        <w:tc>
          <w:tcPr>
            <w:tcW w:w="1318" w:type="pct"/>
          </w:tcPr>
          <w:p w14:paraId="431BD08E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Cycle cancellation rate (number of cycles cancelled/number of cycles initiated ×100%)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1D1CC210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734D978E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2026FAAB" w14:textId="77777777" w:rsidTr="00AF6B40">
        <w:trPr>
          <w:cantSplit/>
          <w:jc w:val="center"/>
        </w:trPr>
        <w:tc>
          <w:tcPr>
            <w:tcW w:w="1318" w:type="pct"/>
          </w:tcPr>
          <w:p w14:paraId="075E67D2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Embryo implantation rate (implantation 7-10 days after the formation of a fertilized egg, that is, around the third week of the menstrual cycle)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4BC1A77A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5F42C907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1E3A86FC" w14:textId="77777777" w:rsidTr="00AF6B40">
        <w:trPr>
          <w:cantSplit/>
          <w:jc w:val="center"/>
        </w:trPr>
        <w:tc>
          <w:tcPr>
            <w:tcW w:w="1318" w:type="pct"/>
          </w:tcPr>
          <w:p w14:paraId="126B45E5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Threatened abortion (first 28 weeks of pregnancy)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38651884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196A4DE2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1A389BD1" w14:textId="77777777" w:rsidTr="00AF6B40">
        <w:trPr>
          <w:cantSplit/>
          <w:jc w:val="center"/>
        </w:trPr>
        <w:tc>
          <w:tcPr>
            <w:tcW w:w="1318" w:type="pct"/>
          </w:tcPr>
          <w:p w14:paraId="465927A5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Multiple pregnancy (in the first trimester, after 35 days of menopause)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6552C453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334286C2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  <w:tr w:rsidR="00E6566B" w14:paraId="5DD1B535" w14:textId="77777777" w:rsidTr="00AF6B40">
        <w:trPr>
          <w:cantSplit/>
          <w:jc w:val="center"/>
        </w:trPr>
        <w:tc>
          <w:tcPr>
            <w:tcW w:w="1318" w:type="pct"/>
          </w:tcPr>
          <w:p w14:paraId="08BE6484" w14:textId="77777777" w:rsidR="00E6566B" w:rsidRDefault="00E6566B" w:rsidP="00AF6B40"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</w:rPr>
              <w:t>Cumulative pregnancy rate (the percentage of patients who had a successful pregnancy from embryos transferred within a given time or from all embryos transferred for a single oocyte retrieval cycle, as a percentage of all oocytes retrieved cycles)</w:t>
            </w:r>
          </w:p>
        </w:tc>
        <w:tc>
          <w:tcPr>
            <w:tcW w:w="2855" w:type="pct"/>
            <w:gridSpan w:val="5"/>
            <w:vMerge/>
            <w:vAlign w:val="center"/>
          </w:tcPr>
          <w:p w14:paraId="0B22C94A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6" w:type="pct"/>
            <w:vAlign w:val="center"/>
          </w:tcPr>
          <w:p w14:paraId="5090CB3D" w14:textId="77777777" w:rsidR="00E6566B" w:rsidRDefault="00E6566B" w:rsidP="00AF6B40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√</w:t>
            </w:r>
          </w:p>
        </w:tc>
      </w:tr>
    </w:tbl>
    <w:p w14:paraId="5121881F" w14:textId="77777777" w:rsidR="00E6566B" w:rsidRDefault="00E6566B" w:rsidP="00E6566B">
      <w:pPr>
        <w:spacing w:line="360" w:lineRule="auto"/>
        <w:rPr>
          <w:rFonts w:ascii="Times New Roman" w:hAnsi="Times New Roman"/>
          <w:sz w:val="22"/>
          <w:szCs w:val="18"/>
        </w:rPr>
      </w:pPr>
    </w:p>
    <w:p w14:paraId="081EA99B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66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E6566B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C39D9"/>
  <w15:chartTrackingRefBased/>
  <w15:docId w15:val="{BD69AA2D-0E4E-41AE-988A-988AE2BAD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E6566B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318</Words>
  <Characters>1819</Characters>
  <Application>Microsoft Office Word</Application>
  <DocSecurity>0</DocSecurity>
  <Lines>15</Lines>
  <Paragraphs>4</Paragraphs>
  <ScaleCrop>false</ScaleCrop>
  <Company>Springer Nature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2024-03-19T09:30:00Z</dcterms:created>
  <dcterms:modified xsi:type="dcterms:W3CDTF">2024-03-19T09:30:00Z</dcterms:modified>
</cp:coreProperties>
</file>