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4"/>
          <w:szCs w:val="24"/>
        </w:rPr>
        <w:t>Supplementary Material for:</w:t>
      </w:r>
    </w:p>
    <w:p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</w:rPr>
        <w:t>USP1 activates the Wnt/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β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-catenin pathway by deubiquitinating KRT17, thereby facilitating thyroid cancer proliferation</w:t>
      </w:r>
    </w:p>
    <w:p>
      <w:pPr>
        <w:spacing w:line="360" w:lineRule="auto"/>
        <w:jc w:val="center"/>
        <w:rPr>
          <w:rFonts w:ascii="Times New Roman" w:hAnsi="Times New Roman" w:cs="Times New Roman"/>
          <w:b/>
          <w:bCs/>
          <w:sz w:val="22"/>
        </w:rPr>
      </w:pPr>
    </w:p>
    <w:p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>T</w:t>
      </w:r>
      <w:r>
        <w:rPr>
          <w:rFonts w:ascii="Times New Roman" w:hAnsi="Times New Roman" w:cs="Times New Roman"/>
          <w:b/>
          <w:sz w:val="24"/>
          <w:szCs w:val="24"/>
        </w:rPr>
        <w:t xml:space="preserve">his supplementary material includes 1 table and 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 xml:space="preserve">3 </w:t>
      </w:r>
      <w:r>
        <w:rPr>
          <w:rFonts w:ascii="Times New Roman" w:hAnsi="Times New Roman" w:cs="Times New Roman"/>
          <w:b/>
          <w:sz w:val="24"/>
          <w:szCs w:val="24"/>
        </w:rPr>
        <w:t xml:space="preserve">figures. </w:t>
      </w:r>
    </w:p>
    <w:p>
      <w:pPr>
        <w:spacing w:line="360" w:lineRule="auto"/>
        <w:rPr>
          <w:rFonts w:ascii="Times New Roman" w:hAnsi="Times New Roman" w:cs="Times New Roman"/>
          <w:bCs/>
          <w:sz w:val="22"/>
        </w:rPr>
      </w:pPr>
    </w:p>
    <w:p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Supplemental table 1. </w:t>
      </w:r>
      <w:r>
        <w:rPr>
          <w:rFonts w:ascii="Times New Roman" w:hAnsi="Times New Roman" w:cs="Times New Roman"/>
          <w:sz w:val="24"/>
          <w:szCs w:val="24"/>
        </w:rPr>
        <w:t>Primer sequence used for RT-QPCR.</w:t>
      </w:r>
    </w:p>
    <w:tbl>
      <w:tblPr>
        <w:tblStyle w:val="4"/>
        <w:tblpPr w:leftFromText="180" w:rightFromText="180" w:vertAnchor="text" w:tblpY="1"/>
        <w:tblOverlap w:val="never"/>
        <w:tblW w:w="7568" w:type="dxa"/>
        <w:tblInd w:w="112" w:type="dxa"/>
        <w:tblBorders>
          <w:top w:val="none" w:color="auto" w:sz="4" w:space="0"/>
          <w:left w:val="none" w:color="auto" w:sz="4" w:space="0"/>
          <w:bottom w:val="single" w:color="auto" w:sz="4" w:space="0"/>
          <w:right w:val="non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8"/>
        <w:gridCol w:w="4094"/>
        <w:gridCol w:w="1186"/>
      </w:tblGrid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88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top"/>
          </w:tcPr>
          <w:p>
            <w:pPr>
              <w:pStyle w:val="9"/>
              <w:spacing w:before="41"/>
              <w:ind w:firstLine="720" w:firstLineChars="30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name</w:t>
            </w:r>
          </w:p>
        </w:tc>
        <w:tc>
          <w:tcPr>
            <w:tcW w:w="4094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top"/>
          </w:tcPr>
          <w:p>
            <w:pPr>
              <w:ind w:firstLine="1200" w:firstLineChars="50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sequence</w:t>
            </w:r>
          </w:p>
        </w:tc>
        <w:tc>
          <w:tcPr>
            <w:tcW w:w="1186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top"/>
          </w:tcPr>
          <w:p>
            <w:pPr>
              <w:pStyle w:val="9"/>
              <w:spacing w:before="41"/>
              <w:ind w:left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accession number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288" w:type="dxa"/>
            <w:tcBorders>
              <w:top w:val="single" w:color="000000" w:sz="4" w:space="0"/>
            </w:tcBorders>
            <w:noWrap w:val="0"/>
            <w:vAlign w:val="top"/>
          </w:tcPr>
          <w:p>
            <w:pPr>
              <w:pStyle w:val="9"/>
              <w:spacing w:before="55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Primers for real-time PCR:</w:t>
            </w:r>
          </w:p>
        </w:tc>
        <w:tc>
          <w:tcPr>
            <w:tcW w:w="4094" w:type="dxa"/>
            <w:tcBorders>
              <w:top w:val="single" w:color="000000" w:sz="4" w:space="0"/>
            </w:tcBorders>
            <w:noWrap w:val="0"/>
            <w:vAlign w:val="top"/>
          </w:tcPr>
          <w:p>
            <w:pPr>
              <w:pStyle w:val="9"/>
              <w:spacing w:before="0"/>
              <w:ind w:left="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6" w:type="dxa"/>
            <w:tcBorders>
              <w:top w:val="single" w:color="000000" w:sz="4" w:space="0"/>
            </w:tcBorders>
            <w:noWrap w:val="0"/>
            <w:vAlign w:val="top"/>
          </w:tcPr>
          <w:p>
            <w:pPr>
              <w:pStyle w:val="9"/>
              <w:spacing w:before="0"/>
              <w:ind w:left="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288" w:type="dxa"/>
            <w:noWrap w:val="0"/>
            <w:vAlign w:val="top"/>
          </w:tcPr>
          <w:p>
            <w:pPr>
              <w:pStyle w:val="9"/>
              <w:spacing w:before="46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 w:bidi="ar"/>
              </w:rPr>
              <w:t>USP1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forward</w:t>
            </w:r>
          </w:p>
        </w:tc>
        <w:tc>
          <w:tcPr>
            <w:tcW w:w="4094" w:type="dxa"/>
            <w:noWrap w:val="0"/>
            <w:vAlign w:val="top"/>
          </w:tcPr>
          <w:p>
            <w:pPr>
              <w:pStyle w:val="9"/>
              <w:spacing w:before="46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5'- CTCCCGGGATGTAGTTGGTG -3′</w:t>
            </w:r>
          </w:p>
        </w:tc>
        <w:tc>
          <w:tcPr>
            <w:tcW w:w="1186" w:type="dxa"/>
            <w:noWrap w:val="0"/>
            <w:vAlign w:val="top"/>
          </w:tcPr>
          <w:p>
            <w:pPr>
              <w:pStyle w:val="9"/>
              <w:spacing w:before="0"/>
              <w:ind w:left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NM_003368.5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186" w:type="dxa"/>
          <w:trHeight w:val="312" w:hRule="atLeast"/>
        </w:trPr>
        <w:tc>
          <w:tcPr>
            <w:tcW w:w="2288" w:type="dxa"/>
            <w:noWrap w:val="0"/>
            <w:vAlign w:val="top"/>
          </w:tcPr>
          <w:p>
            <w:pPr>
              <w:pStyle w:val="9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 w:bidi="ar"/>
              </w:rPr>
              <w:t>USP1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reverse</w:t>
            </w:r>
          </w:p>
        </w:tc>
        <w:tc>
          <w:tcPr>
            <w:tcW w:w="4094" w:type="dxa"/>
            <w:noWrap w:val="0"/>
            <w:vAlign w:val="top"/>
          </w:tcPr>
          <w:p>
            <w:pPr>
              <w:pStyle w:val="9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5'-CCAGGAAAATCTGGTCGGCT-3′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2288" w:type="dxa"/>
            <w:noWrap w:val="0"/>
            <w:vAlign w:val="top"/>
          </w:tcPr>
          <w:p>
            <w:pPr>
              <w:pStyle w:val="9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 w:bidi="ar"/>
              </w:rPr>
              <w:t>KRT17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forward</w:t>
            </w:r>
          </w:p>
        </w:tc>
        <w:tc>
          <w:tcPr>
            <w:tcW w:w="4094" w:type="dxa"/>
            <w:noWrap w:val="0"/>
            <w:vAlign w:val="top"/>
          </w:tcPr>
          <w:p>
            <w:pPr>
              <w:pStyle w:val="9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5'-CAGTCCCAGCTCAGCATGAA-3′</w:t>
            </w:r>
          </w:p>
        </w:tc>
        <w:tc>
          <w:tcPr>
            <w:tcW w:w="1186" w:type="dxa"/>
            <w:noWrap w:val="0"/>
            <w:vAlign w:val="top"/>
          </w:tcPr>
          <w:p>
            <w:pPr>
              <w:pStyle w:val="9"/>
              <w:spacing w:before="0"/>
              <w:ind w:left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NM_000422.3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2288" w:type="dxa"/>
            <w:noWrap w:val="0"/>
            <w:vAlign w:val="top"/>
          </w:tcPr>
          <w:p>
            <w:pPr>
              <w:pStyle w:val="9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 w:bidi="ar"/>
              </w:rPr>
              <w:t>KRT17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reverse</w:t>
            </w:r>
          </w:p>
        </w:tc>
        <w:tc>
          <w:tcPr>
            <w:tcW w:w="4094" w:type="dxa"/>
            <w:noWrap w:val="0"/>
            <w:vAlign w:val="top"/>
          </w:tcPr>
          <w:p>
            <w:pPr>
              <w:pStyle w:val="9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5'-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CCACAATG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 w:val="24"/>
                <w:szCs w:val="24"/>
              </w:rPr>
              <w:t>GTACGCACCTGA-3′</w:t>
            </w:r>
          </w:p>
        </w:tc>
        <w:tc>
          <w:tcPr>
            <w:tcW w:w="1186" w:type="dxa"/>
            <w:noWrap w:val="0"/>
            <w:vAlign w:val="top"/>
          </w:tcPr>
          <w:p>
            <w:pPr>
              <w:pStyle w:val="9"/>
              <w:spacing w:before="0"/>
              <w:ind w:left="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288" w:type="dxa"/>
            <w:noWrap w:val="0"/>
            <w:vAlign w:val="top"/>
          </w:tcPr>
          <w:p>
            <w:pPr>
              <w:pStyle w:val="9"/>
              <w:ind w:left="108" w:leftChars="0"/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 w:bidi="ar"/>
              </w:rPr>
              <w:t>β-catenin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forward</w:t>
            </w:r>
          </w:p>
        </w:tc>
        <w:tc>
          <w:tcPr>
            <w:tcW w:w="4094" w:type="dxa"/>
            <w:noWrap w:val="0"/>
            <w:vAlign w:val="top"/>
          </w:tcPr>
          <w:p>
            <w:pPr>
              <w:pStyle w:val="9"/>
              <w:ind w:left="108" w:left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5’-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GAAGACTGCTGCCTGTCTGT-3’</w:t>
            </w:r>
          </w:p>
        </w:tc>
        <w:tc>
          <w:tcPr>
            <w:tcW w:w="1186" w:type="dxa"/>
            <w:noWrap w:val="0"/>
            <w:vAlign w:val="top"/>
          </w:tcPr>
          <w:p>
            <w:pPr>
              <w:pStyle w:val="9"/>
              <w:spacing w:before="0"/>
              <w:ind w:left="0" w:left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NM_001904.4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88" w:type="dxa"/>
            <w:noWrap w:val="0"/>
            <w:vAlign w:val="top"/>
          </w:tcPr>
          <w:p>
            <w:pPr>
              <w:pStyle w:val="9"/>
              <w:ind w:left="108" w:leftChars="0"/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 w:bidi="ar"/>
              </w:rPr>
              <w:t>β-catenin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reverse</w:t>
            </w:r>
          </w:p>
        </w:tc>
        <w:tc>
          <w:tcPr>
            <w:tcW w:w="4094" w:type="dxa"/>
            <w:noWrap w:val="0"/>
            <w:vAlign w:val="top"/>
          </w:tcPr>
          <w:p>
            <w:pPr>
              <w:pStyle w:val="9"/>
              <w:ind w:left="108" w:left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5’-GCAGTCTCTGGATGATGCGT -3’</w:t>
            </w:r>
          </w:p>
        </w:tc>
        <w:tc>
          <w:tcPr>
            <w:tcW w:w="1186" w:type="dxa"/>
            <w:noWrap w:val="0"/>
            <w:vAlign w:val="top"/>
          </w:tcPr>
          <w:p>
            <w:pPr>
              <w:pStyle w:val="9"/>
              <w:spacing w:before="0"/>
              <w:ind w:left="0" w:left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88" w:type="dxa"/>
            <w:noWrap w:val="0"/>
            <w:vAlign w:val="top"/>
          </w:tcPr>
          <w:p>
            <w:pPr>
              <w:pStyle w:val="9"/>
              <w:ind w:left="108" w:leftChars="0"/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Tubulin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forward</w:t>
            </w:r>
          </w:p>
        </w:tc>
        <w:tc>
          <w:tcPr>
            <w:tcW w:w="4094" w:type="dxa"/>
            <w:noWrap w:val="0"/>
            <w:vAlign w:val="top"/>
          </w:tcPr>
          <w:p>
            <w:pPr>
              <w:pStyle w:val="9"/>
              <w:ind w:left="108" w:left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5’-CCGCTACTTAAGAGGCTCCA-3’</w:t>
            </w:r>
          </w:p>
        </w:tc>
        <w:tc>
          <w:tcPr>
            <w:tcW w:w="1186" w:type="dxa"/>
            <w:noWrap w:val="0"/>
            <w:vAlign w:val="top"/>
          </w:tcPr>
          <w:p>
            <w:pPr>
              <w:pStyle w:val="9"/>
              <w:spacing w:before="0"/>
              <w:ind w:left="0" w:left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NM_006082.2</w:t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288" w:type="dxa"/>
            <w:noWrap w:val="0"/>
            <w:vAlign w:val="top"/>
          </w:tcPr>
          <w:p>
            <w:pPr>
              <w:pStyle w:val="9"/>
              <w:ind w:left="108" w:leftChars="0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Tubulin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reverse</w:t>
            </w:r>
          </w:p>
        </w:tc>
        <w:tc>
          <w:tcPr>
            <w:tcW w:w="4094" w:type="dxa"/>
            <w:noWrap w:val="0"/>
            <w:vAlign w:val="top"/>
          </w:tcPr>
          <w:p>
            <w:pPr>
              <w:pStyle w:val="9"/>
              <w:ind w:left="108" w:left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5’-CTCACGCATAGTGGCTAGGG -3’</w:t>
            </w:r>
          </w:p>
        </w:tc>
        <w:tc>
          <w:tcPr>
            <w:tcW w:w="1186" w:type="dxa"/>
            <w:noWrap w:val="0"/>
            <w:vAlign w:val="top"/>
          </w:tcPr>
          <w:p>
            <w:pPr>
              <w:pStyle w:val="9"/>
              <w:spacing w:before="0"/>
              <w:ind w:left="0" w:left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288" w:type="dxa"/>
            <w:noWrap w:val="0"/>
            <w:vAlign w:val="top"/>
          </w:tcPr>
          <w:p>
            <w:pPr>
              <w:pStyle w:val="9"/>
              <w:spacing w:before="51"/>
              <w:ind w:left="108" w:leftChars="0"/>
              <w:rPr>
                <w:rFonts w:hint="default" w:ascii="Times New Roman" w:hAnsi="Times New Roman" w:eastAsia="Times New Roman" w:cs="Times New Roman"/>
                <w:bCs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The target sites of shRNA:</w:t>
            </w:r>
          </w:p>
        </w:tc>
        <w:tc>
          <w:tcPr>
            <w:tcW w:w="4094" w:type="dxa"/>
            <w:noWrap w:val="0"/>
            <w:vAlign w:val="top"/>
          </w:tcPr>
          <w:p>
            <w:pPr>
              <w:pStyle w:val="9"/>
              <w:spacing w:before="0"/>
              <w:ind w:left="0" w:leftChars="0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186" w:type="dxa"/>
            <w:noWrap w:val="0"/>
            <w:vAlign w:val="top"/>
          </w:tcPr>
          <w:p>
            <w:pPr>
              <w:pStyle w:val="9"/>
              <w:spacing w:before="0"/>
              <w:ind w:left="0" w:left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288" w:type="dxa"/>
            <w:noWrap w:val="0"/>
            <w:vAlign w:val="top"/>
          </w:tcPr>
          <w:p>
            <w:pPr>
              <w:pStyle w:val="9"/>
              <w:spacing w:before="46"/>
              <w:ind w:left="108" w:leftChars="0"/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sh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 w:bidi="ar"/>
              </w:rPr>
              <w:t>USP1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eastAsia="zh-CN"/>
              </w:rPr>
              <w:t>#1</w:t>
            </w:r>
          </w:p>
        </w:tc>
        <w:tc>
          <w:tcPr>
            <w:tcW w:w="4094" w:type="dxa"/>
            <w:noWrap w:val="0"/>
            <w:vAlign w:val="top"/>
          </w:tcPr>
          <w:p>
            <w:pPr>
              <w:pStyle w:val="9"/>
              <w:spacing w:before="46"/>
              <w:ind w:left="108" w:leftChars="0"/>
              <w:jc w:val="both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CCCGGGATGTAGTTGGTGTT</w:t>
            </w:r>
          </w:p>
        </w:tc>
        <w:tc>
          <w:tcPr>
            <w:tcW w:w="1186" w:type="dxa"/>
            <w:noWrap w:val="0"/>
            <w:vAlign w:val="top"/>
          </w:tcPr>
          <w:p>
            <w:pPr>
              <w:pStyle w:val="9"/>
              <w:spacing w:before="0"/>
              <w:ind w:left="0" w:left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288" w:type="dxa"/>
            <w:noWrap w:val="0"/>
            <w:vAlign w:val="top"/>
          </w:tcPr>
          <w:p>
            <w:pPr>
              <w:pStyle w:val="9"/>
              <w:ind w:left="108" w:leftChars="0"/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sh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 w:bidi="ar"/>
              </w:rPr>
              <w:t>USP1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eastAsia="zh-CN"/>
              </w:rPr>
              <w:t>#2</w:t>
            </w:r>
          </w:p>
        </w:tc>
        <w:tc>
          <w:tcPr>
            <w:tcW w:w="4094" w:type="dxa"/>
            <w:noWrap w:val="0"/>
            <w:vAlign w:val="top"/>
          </w:tcPr>
          <w:p>
            <w:pPr>
              <w:pStyle w:val="9"/>
              <w:ind w:left="108" w:leftChars="0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GCGGAGTGCTAAAGACCCTA</w:t>
            </w:r>
          </w:p>
        </w:tc>
        <w:tc>
          <w:tcPr>
            <w:tcW w:w="1186" w:type="dxa"/>
            <w:noWrap w:val="0"/>
            <w:vAlign w:val="top"/>
          </w:tcPr>
          <w:p>
            <w:pPr>
              <w:pStyle w:val="9"/>
              <w:spacing w:before="0"/>
              <w:ind w:left="0" w:left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0" w:type="auto"/>
            <w:noWrap w:val="0"/>
            <w:vAlign w:val="top"/>
          </w:tcPr>
          <w:p>
            <w:pPr>
              <w:pStyle w:val="9"/>
              <w:ind w:left="108" w:leftChars="0"/>
              <w:rPr>
                <w:rFonts w:hint="default" w:ascii="Times New Roman" w:hAnsi="Times New Roman" w:eastAsia="Times New Roman" w:cs="Times New Roman"/>
                <w:bCs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shNC</w:t>
            </w:r>
          </w:p>
        </w:tc>
        <w:tc>
          <w:tcPr>
            <w:tcW w:w="0" w:type="auto"/>
            <w:noWrap w:val="0"/>
            <w:vAlign w:val="top"/>
          </w:tcPr>
          <w:p>
            <w:pPr>
              <w:pStyle w:val="9"/>
              <w:ind w:left="108" w:leftChars="0"/>
              <w:rPr>
                <w:rFonts w:hint="default" w:ascii="Times New Roman" w:hAnsi="Times New Roman" w:eastAsia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GTCT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GCACC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TT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CAC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GTG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0" w:type="auto"/>
            <w:noWrap w:val="0"/>
            <w:vAlign w:val="top"/>
          </w:tcPr>
          <w:p>
            <w:pPr>
              <w:pStyle w:val="9"/>
              <w:spacing w:before="0"/>
              <w:ind w:left="0" w:leftChars="0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rPr>
          <w:rFonts w:ascii="Times New Roman" w:hAnsi="Times New Roman" w:cs="Times New Roman"/>
          <w:sz w:val="22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Supplemental figure 1.</w:t>
      </w:r>
      <w:r>
        <w:rPr>
          <w:rFonts w:hint="eastAsia" w:ascii="Times New Roman" w:hAnsi="Times New Roman" w:cs="Times New Roman"/>
          <w:sz w:val="24"/>
          <w:szCs w:val="24"/>
        </w:rPr>
        <w:t xml:space="preserve"> (A) USP1 and β-catenin cannot interact directly. (B) Correlation of USP1 and CTNNB1 mRNA level. (C) Expression of genes not associated with USP1 at the mRNA level in thyroid cancer.</w:t>
      </w:r>
    </w:p>
    <w:p>
      <w:pPr>
        <w:spacing w:line="360" w:lineRule="auto"/>
        <w:rPr>
          <w:rFonts w:ascii="Times New Roman" w:hAnsi="Times New Roman" w:cs="Times New Roman"/>
          <w:sz w:val="22"/>
        </w:rPr>
      </w:pPr>
      <w:r>
        <w:drawing>
          <wp:inline distT="0" distB="0" distL="114300" distR="114300">
            <wp:extent cx="5268595" cy="4022725"/>
            <wp:effectExtent l="0" t="0" r="8255" b="635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02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Supplemental figure 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Relationship between USP1 expression and IC50 of parthenolide based on GDSC database (A) scatter plot, (B) box plot</w:t>
      </w:r>
      <w:r>
        <w:rPr>
          <w:rFonts w:ascii="Times New Roman" w:hAnsi="Times New Roman" w:cs="Times New Roman"/>
          <w:sz w:val="24"/>
          <w:szCs w:val="24"/>
        </w:rPr>
        <w:t>.</w:t>
      </w:r>
    </w:p>
    <w:p>
      <w:pPr>
        <w:spacing w:line="360" w:lineRule="auto"/>
        <w:rPr>
          <w:rFonts w:ascii="Times New Roman" w:hAnsi="Times New Roman" w:cs="Times New Roman"/>
          <w:sz w:val="22"/>
        </w:rPr>
      </w:pPr>
      <w:r>
        <w:drawing>
          <wp:inline distT="0" distB="0" distL="114300" distR="114300">
            <wp:extent cx="5271135" cy="2286635"/>
            <wp:effectExtent l="0" t="0" r="5715" b="8890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286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Supplemental figure 3. </w:t>
      </w:r>
      <w:r>
        <w:rPr>
          <w:rFonts w:hint="eastAsia" w:ascii="Times New Roman" w:hAnsi="Times New Roman" w:cs="Times New Roman"/>
          <w:sz w:val="24"/>
          <w:szCs w:val="24"/>
        </w:rPr>
        <w:t>USP1 promotes cells proliferation in TC by the mechanism of USP7-KRT17-WNT/β-catenin pathway.</w:t>
      </w:r>
    </w:p>
    <w:p>
      <w:pPr>
        <w:spacing w:line="360" w:lineRule="auto"/>
        <w:rPr>
          <w:rFonts w:ascii="Times New Roman" w:hAnsi="Times New Roman" w:cs="Times New Roman"/>
          <w:sz w:val="22"/>
        </w:rPr>
      </w:pPr>
      <w:r>
        <w:drawing>
          <wp:inline distT="0" distB="0" distL="114300" distR="114300">
            <wp:extent cx="5273675" cy="2964180"/>
            <wp:effectExtent l="0" t="0" r="0" b="0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rcRect b="533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96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sz w:val="22"/>
        </w:rPr>
      </w:pPr>
    </w:p>
    <w:p>
      <w:pPr>
        <w:spacing w:line="360" w:lineRule="auto"/>
        <w:rPr>
          <w:rFonts w:ascii="Times New Roman" w:hAnsi="Times New Roman" w:cs="Times New Roman"/>
          <w:sz w:val="22"/>
        </w:rPr>
      </w:pPr>
      <w:r>
        <w:drawing>
          <wp:inline distT="0" distB="0" distL="114300" distR="114300">
            <wp:extent cx="3856990" cy="6599555"/>
            <wp:effectExtent l="0" t="0" r="635" b="1270"/>
            <wp:docPr id="1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56990" cy="6599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</w:pPr>
    </w:p>
    <w:p>
      <w:pPr>
        <w:spacing w:line="360" w:lineRule="auto"/>
      </w:pPr>
      <w:r>
        <w:drawing>
          <wp:inline distT="0" distB="0" distL="114300" distR="114300">
            <wp:extent cx="2667000" cy="4743450"/>
            <wp:effectExtent l="0" t="0" r="0" b="0"/>
            <wp:docPr id="1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474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552700" cy="4495800"/>
            <wp:effectExtent l="0" t="0" r="0" b="0"/>
            <wp:docPr id="1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449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Times New Roman" w:hAnsi="Times New Roman" w:cs="Times New Roman"/>
          <w:sz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Y0NmUwNmZiNGIzYjE4OWRjNTE5OWViOTAyMzBmY2MifQ=="/>
  </w:docVars>
  <w:rsids>
    <w:rsidRoot w:val="00AC7993"/>
    <w:rsid w:val="00005D24"/>
    <w:rsid w:val="0002362E"/>
    <w:rsid w:val="00023669"/>
    <w:rsid w:val="00030334"/>
    <w:rsid w:val="00044DAF"/>
    <w:rsid w:val="000628C2"/>
    <w:rsid w:val="00070922"/>
    <w:rsid w:val="00075718"/>
    <w:rsid w:val="00085BAA"/>
    <w:rsid w:val="00093E0F"/>
    <w:rsid w:val="000954E2"/>
    <w:rsid w:val="00096724"/>
    <w:rsid w:val="00097FCA"/>
    <w:rsid w:val="000A07A4"/>
    <w:rsid w:val="000B247F"/>
    <w:rsid w:val="000B2F64"/>
    <w:rsid w:val="000D1AEC"/>
    <w:rsid w:val="000D76A1"/>
    <w:rsid w:val="000F6C39"/>
    <w:rsid w:val="00120B5A"/>
    <w:rsid w:val="001214DB"/>
    <w:rsid w:val="00125C6D"/>
    <w:rsid w:val="00162966"/>
    <w:rsid w:val="0017210C"/>
    <w:rsid w:val="00173456"/>
    <w:rsid w:val="00196E6B"/>
    <w:rsid w:val="001A147D"/>
    <w:rsid w:val="001A6B68"/>
    <w:rsid w:val="001B6FC1"/>
    <w:rsid w:val="001C00C1"/>
    <w:rsid w:val="001D6676"/>
    <w:rsid w:val="001E354F"/>
    <w:rsid w:val="001E5920"/>
    <w:rsid w:val="00205BEF"/>
    <w:rsid w:val="00205BF1"/>
    <w:rsid w:val="00232677"/>
    <w:rsid w:val="00247A30"/>
    <w:rsid w:val="00255DA4"/>
    <w:rsid w:val="00280293"/>
    <w:rsid w:val="00284876"/>
    <w:rsid w:val="002B3C0D"/>
    <w:rsid w:val="002E12DA"/>
    <w:rsid w:val="002F363B"/>
    <w:rsid w:val="00314F35"/>
    <w:rsid w:val="0032259C"/>
    <w:rsid w:val="0033419D"/>
    <w:rsid w:val="003517DF"/>
    <w:rsid w:val="003519E1"/>
    <w:rsid w:val="00361851"/>
    <w:rsid w:val="00363461"/>
    <w:rsid w:val="0036507C"/>
    <w:rsid w:val="003726E7"/>
    <w:rsid w:val="00382A34"/>
    <w:rsid w:val="003845C6"/>
    <w:rsid w:val="003A2DC1"/>
    <w:rsid w:val="003A5AC9"/>
    <w:rsid w:val="003A6BA4"/>
    <w:rsid w:val="003B3274"/>
    <w:rsid w:val="003C20B6"/>
    <w:rsid w:val="003D04BF"/>
    <w:rsid w:val="003D51C5"/>
    <w:rsid w:val="003E1FCE"/>
    <w:rsid w:val="003F4398"/>
    <w:rsid w:val="003F7792"/>
    <w:rsid w:val="00414342"/>
    <w:rsid w:val="00426E0B"/>
    <w:rsid w:val="004330A0"/>
    <w:rsid w:val="00441BC1"/>
    <w:rsid w:val="00445856"/>
    <w:rsid w:val="0045062A"/>
    <w:rsid w:val="00463285"/>
    <w:rsid w:val="00467EE7"/>
    <w:rsid w:val="00472121"/>
    <w:rsid w:val="00484895"/>
    <w:rsid w:val="00490D76"/>
    <w:rsid w:val="00490D9C"/>
    <w:rsid w:val="004A34F4"/>
    <w:rsid w:val="004A54D9"/>
    <w:rsid w:val="004C5D0F"/>
    <w:rsid w:val="004D058E"/>
    <w:rsid w:val="004E144B"/>
    <w:rsid w:val="004F0319"/>
    <w:rsid w:val="004F71F5"/>
    <w:rsid w:val="005009FF"/>
    <w:rsid w:val="005062A4"/>
    <w:rsid w:val="00507C99"/>
    <w:rsid w:val="00510529"/>
    <w:rsid w:val="005306CF"/>
    <w:rsid w:val="00531014"/>
    <w:rsid w:val="00535B8E"/>
    <w:rsid w:val="00555A59"/>
    <w:rsid w:val="005768EB"/>
    <w:rsid w:val="005814D2"/>
    <w:rsid w:val="00586781"/>
    <w:rsid w:val="00591D39"/>
    <w:rsid w:val="00592D66"/>
    <w:rsid w:val="005B7AE3"/>
    <w:rsid w:val="005D5EAA"/>
    <w:rsid w:val="005E43BB"/>
    <w:rsid w:val="006017DF"/>
    <w:rsid w:val="00611B7E"/>
    <w:rsid w:val="00662859"/>
    <w:rsid w:val="00674D72"/>
    <w:rsid w:val="006B5F1F"/>
    <w:rsid w:val="006C3F96"/>
    <w:rsid w:val="006D74C5"/>
    <w:rsid w:val="007067BA"/>
    <w:rsid w:val="0071121E"/>
    <w:rsid w:val="00717A30"/>
    <w:rsid w:val="00722168"/>
    <w:rsid w:val="00731AF1"/>
    <w:rsid w:val="00732D92"/>
    <w:rsid w:val="00733CE2"/>
    <w:rsid w:val="00752366"/>
    <w:rsid w:val="0075372D"/>
    <w:rsid w:val="0079315E"/>
    <w:rsid w:val="007B427D"/>
    <w:rsid w:val="007D3CA7"/>
    <w:rsid w:val="007E59A1"/>
    <w:rsid w:val="007F24F3"/>
    <w:rsid w:val="00811C63"/>
    <w:rsid w:val="0082427D"/>
    <w:rsid w:val="00827475"/>
    <w:rsid w:val="008372B1"/>
    <w:rsid w:val="00853977"/>
    <w:rsid w:val="00857518"/>
    <w:rsid w:val="00860328"/>
    <w:rsid w:val="0086739D"/>
    <w:rsid w:val="00874787"/>
    <w:rsid w:val="0088750D"/>
    <w:rsid w:val="0089114A"/>
    <w:rsid w:val="00891947"/>
    <w:rsid w:val="0089339F"/>
    <w:rsid w:val="00896456"/>
    <w:rsid w:val="008A2E98"/>
    <w:rsid w:val="008B028F"/>
    <w:rsid w:val="008B0575"/>
    <w:rsid w:val="008B3A8B"/>
    <w:rsid w:val="008B42A4"/>
    <w:rsid w:val="008C475A"/>
    <w:rsid w:val="008E209F"/>
    <w:rsid w:val="008E5011"/>
    <w:rsid w:val="008F3380"/>
    <w:rsid w:val="008F6477"/>
    <w:rsid w:val="009041BF"/>
    <w:rsid w:val="00914A50"/>
    <w:rsid w:val="009252A2"/>
    <w:rsid w:val="00926C10"/>
    <w:rsid w:val="00943B76"/>
    <w:rsid w:val="0094762D"/>
    <w:rsid w:val="009525E3"/>
    <w:rsid w:val="009552CC"/>
    <w:rsid w:val="009677B7"/>
    <w:rsid w:val="00972BAD"/>
    <w:rsid w:val="0098345D"/>
    <w:rsid w:val="00983B12"/>
    <w:rsid w:val="00985F30"/>
    <w:rsid w:val="00991EA5"/>
    <w:rsid w:val="009946A1"/>
    <w:rsid w:val="009A640A"/>
    <w:rsid w:val="009B06E0"/>
    <w:rsid w:val="009C540F"/>
    <w:rsid w:val="009D08A9"/>
    <w:rsid w:val="009F25C1"/>
    <w:rsid w:val="009F728E"/>
    <w:rsid w:val="00A00B7D"/>
    <w:rsid w:val="00A21455"/>
    <w:rsid w:val="00A31D36"/>
    <w:rsid w:val="00A4361F"/>
    <w:rsid w:val="00A611F0"/>
    <w:rsid w:val="00A81D4D"/>
    <w:rsid w:val="00A84BDC"/>
    <w:rsid w:val="00AB0305"/>
    <w:rsid w:val="00AC7993"/>
    <w:rsid w:val="00AD0108"/>
    <w:rsid w:val="00AF1CF0"/>
    <w:rsid w:val="00AF2664"/>
    <w:rsid w:val="00B05244"/>
    <w:rsid w:val="00B0655A"/>
    <w:rsid w:val="00B106A4"/>
    <w:rsid w:val="00B42F40"/>
    <w:rsid w:val="00B50D67"/>
    <w:rsid w:val="00B56AA0"/>
    <w:rsid w:val="00B64BEE"/>
    <w:rsid w:val="00B96239"/>
    <w:rsid w:val="00BA0ADF"/>
    <w:rsid w:val="00BB3BCB"/>
    <w:rsid w:val="00BC512C"/>
    <w:rsid w:val="00BD111B"/>
    <w:rsid w:val="00BD6A96"/>
    <w:rsid w:val="00BE3F29"/>
    <w:rsid w:val="00BE7B26"/>
    <w:rsid w:val="00C01DEF"/>
    <w:rsid w:val="00C202ED"/>
    <w:rsid w:val="00C24EAC"/>
    <w:rsid w:val="00C302D5"/>
    <w:rsid w:val="00C33825"/>
    <w:rsid w:val="00C72F42"/>
    <w:rsid w:val="00C826CC"/>
    <w:rsid w:val="00C91ADE"/>
    <w:rsid w:val="00CB4FD0"/>
    <w:rsid w:val="00CC42A3"/>
    <w:rsid w:val="00CC613A"/>
    <w:rsid w:val="00CD73F3"/>
    <w:rsid w:val="00CE66A1"/>
    <w:rsid w:val="00CF0263"/>
    <w:rsid w:val="00D050F5"/>
    <w:rsid w:val="00D11339"/>
    <w:rsid w:val="00D126FD"/>
    <w:rsid w:val="00D12FF5"/>
    <w:rsid w:val="00D14B25"/>
    <w:rsid w:val="00D36653"/>
    <w:rsid w:val="00D47D12"/>
    <w:rsid w:val="00D6066D"/>
    <w:rsid w:val="00D7273A"/>
    <w:rsid w:val="00D83895"/>
    <w:rsid w:val="00D84F4C"/>
    <w:rsid w:val="00DA7DC3"/>
    <w:rsid w:val="00DB17FA"/>
    <w:rsid w:val="00DB1A6E"/>
    <w:rsid w:val="00DB3FE0"/>
    <w:rsid w:val="00DB6188"/>
    <w:rsid w:val="00DD5429"/>
    <w:rsid w:val="00DE3C78"/>
    <w:rsid w:val="00DF0706"/>
    <w:rsid w:val="00DF082C"/>
    <w:rsid w:val="00DF5F0F"/>
    <w:rsid w:val="00E11A8D"/>
    <w:rsid w:val="00E11FA5"/>
    <w:rsid w:val="00E2593E"/>
    <w:rsid w:val="00E309FA"/>
    <w:rsid w:val="00E32D7A"/>
    <w:rsid w:val="00E4042A"/>
    <w:rsid w:val="00E51C79"/>
    <w:rsid w:val="00E61FED"/>
    <w:rsid w:val="00E6315B"/>
    <w:rsid w:val="00E8087F"/>
    <w:rsid w:val="00E84CCA"/>
    <w:rsid w:val="00EB0DC2"/>
    <w:rsid w:val="00EB7ED2"/>
    <w:rsid w:val="00EC5117"/>
    <w:rsid w:val="00EE1300"/>
    <w:rsid w:val="00EE1D5B"/>
    <w:rsid w:val="00F0628C"/>
    <w:rsid w:val="00F13EFE"/>
    <w:rsid w:val="00F16521"/>
    <w:rsid w:val="00F525F5"/>
    <w:rsid w:val="00F54972"/>
    <w:rsid w:val="00F7021D"/>
    <w:rsid w:val="00FA0DB5"/>
    <w:rsid w:val="00FA1752"/>
    <w:rsid w:val="00FA787C"/>
    <w:rsid w:val="00FD73F4"/>
    <w:rsid w:val="00FF412C"/>
    <w:rsid w:val="00FF5EAC"/>
    <w:rsid w:val="09737AE9"/>
    <w:rsid w:val="16B014D8"/>
    <w:rsid w:val="5D17162D"/>
    <w:rsid w:val="62F90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sz w:val="18"/>
      <w:szCs w:val="18"/>
    </w:rPr>
  </w:style>
  <w:style w:type="paragraph" w:customStyle="1" w:styleId="9">
    <w:name w:val="Table Paragraph"/>
    <w:basedOn w:val="1"/>
    <w:autoRedefine/>
    <w:qFormat/>
    <w:uiPriority w:val="1"/>
    <w:pPr>
      <w:spacing w:before="48"/>
      <w:ind w:left="108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326</Words>
  <Characters>1864</Characters>
  <Lines>15</Lines>
  <Paragraphs>4</Paragraphs>
  <TotalTime>110</TotalTime>
  <ScaleCrop>false</ScaleCrop>
  <LinksUpToDate>false</LinksUpToDate>
  <CharactersWithSpaces>2186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2022-08-23T04:03:00Z</dcterms:created>
  <dc:creator>慧 李</dc:creator>
  <cp:lastModifiedBy>harla.</cp:lastModifiedBy>
  <dcterms:modified xsi:type="dcterms:W3CDTF">2024-03-01T15:32:01Z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D366736DB16F439A870C37D04AD43D0C_12</vt:lpwstr>
  </property>
</Properties>
</file>