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06AE3" w14:textId="77777777" w:rsidR="00885855" w:rsidRDefault="00885855" w:rsidP="00885855">
      <w:pPr>
        <w:pStyle w:val="Heading1"/>
        <w:spacing w:line="480" w:lineRule="auto"/>
      </w:pPr>
      <w:r w:rsidRPr="00BB2257">
        <w:t>Additional files</w:t>
      </w:r>
    </w:p>
    <w:p w14:paraId="00F13A05" w14:textId="77777777" w:rsidR="00885855" w:rsidRPr="00BB2257" w:rsidRDefault="00885855" w:rsidP="00885855">
      <w:pPr>
        <w:spacing w:line="480" w:lineRule="auto"/>
        <w:jc w:val="both"/>
        <w:rPr>
          <w:b/>
          <w:bCs/>
          <w:lang w:val="en-US"/>
        </w:rPr>
      </w:pPr>
      <w:r w:rsidRPr="00BB2257">
        <w:rPr>
          <w:b/>
          <w:bCs/>
          <w:noProof/>
          <w:lang w:val="en-US"/>
        </w:rPr>
        <w:drawing>
          <wp:inline distT="0" distB="0" distL="0" distR="0" wp14:anchorId="57AE8E8E" wp14:editId="5E9FCB34">
            <wp:extent cx="5944235" cy="2334895"/>
            <wp:effectExtent l="0" t="0" r="0" b="0"/>
            <wp:docPr id="10" name="Picture 10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black background with a black squar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2334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4B8418" w14:textId="77777777" w:rsidR="00885855" w:rsidRPr="00E46BCA" w:rsidRDefault="00885855" w:rsidP="00885855">
      <w:pPr>
        <w:spacing w:line="480" w:lineRule="auto"/>
        <w:jc w:val="both"/>
        <w:rPr>
          <w:sz w:val="18"/>
          <w:szCs w:val="16"/>
          <w:lang w:val="en-GB"/>
        </w:rPr>
      </w:pPr>
      <w:r w:rsidRPr="00BB2257">
        <w:rPr>
          <w:b/>
          <w:bCs/>
          <w:sz w:val="18"/>
          <w:szCs w:val="16"/>
          <w:lang w:val="en-US"/>
        </w:rPr>
        <w:t xml:space="preserve">Additional file </w:t>
      </w:r>
      <w:r>
        <w:rPr>
          <w:b/>
          <w:bCs/>
          <w:sz w:val="18"/>
          <w:szCs w:val="16"/>
          <w:lang w:val="en-US"/>
        </w:rPr>
        <w:t>1</w:t>
      </w:r>
      <w:r w:rsidRPr="00BB2257">
        <w:rPr>
          <w:b/>
          <w:bCs/>
          <w:sz w:val="18"/>
          <w:szCs w:val="16"/>
          <w:lang w:val="en-US"/>
        </w:rPr>
        <w:t>. Time</w:t>
      </w:r>
      <w:r>
        <w:rPr>
          <w:b/>
          <w:bCs/>
          <w:sz w:val="18"/>
          <w:szCs w:val="16"/>
          <w:lang w:val="en-US"/>
        </w:rPr>
        <w:t>-dependent</w:t>
      </w:r>
      <w:r w:rsidRPr="00BB2257">
        <w:rPr>
          <w:b/>
          <w:bCs/>
          <w:sz w:val="18"/>
          <w:szCs w:val="16"/>
          <w:lang w:val="en-US"/>
        </w:rPr>
        <w:t xml:space="preserve"> uptake of eletriptan and</w:t>
      </w:r>
      <w:r>
        <w:rPr>
          <w:b/>
          <w:bCs/>
          <w:sz w:val="18"/>
          <w:szCs w:val="16"/>
          <w:lang w:val="en-US"/>
        </w:rPr>
        <w:t xml:space="preserve"> </w:t>
      </w:r>
      <w:r w:rsidRPr="00BB2257">
        <w:rPr>
          <w:b/>
          <w:bCs/>
          <w:sz w:val="18"/>
          <w:szCs w:val="16"/>
          <w:lang w:val="en-GB"/>
        </w:rPr>
        <w:t xml:space="preserve">almotriptan into hCMEC/D3 cells. A) </w:t>
      </w:r>
      <w:r w:rsidRPr="00BB2257">
        <w:rPr>
          <w:sz w:val="18"/>
          <w:szCs w:val="16"/>
          <w:lang w:val="en-GB"/>
        </w:rPr>
        <w:t>Time</w:t>
      </w:r>
      <w:r>
        <w:rPr>
          <w:sz w:val="18"/>
          <w:szCs w:val="16"/>
          <w:lang w:val="en-GB"/>
        </w:rPr>
        <w:t>-dependent</w:t>
      </w:r>
      <w:r w:rsidRPr="00BB2257">
        <w:rPr>
          <w:sz w:val="18"/>
          <w:szCs w:val="16"/>
          <w:lang w:val="en-GB"/>
        </w:rPr>
        <w:t xml:space="preserve"> uptake of eletriptan (50 µM) in the absence (Control) or presence of 1000 µM pyrilamine (+pyrilamine) </w:t>
      </w:r>
      <m:oMath>
        <m:r>
          <w:rPr>
            <w:rFonts w:ascii="Cambria Math" w:hAnsi="Cambria Math"/>
            <w:sz w:val="18"/>
            <w:szCs w:val="16"/>
            <w:lang w:val="en-GB"/>
          </w:rPr>
          <m:t>mean±SEM</m:t>
        </m:r>
      </m:oMath>
      <w:r w:rsidRPr="00BB2257">
        <w:rPr>
          <w:rFonts w:eastAsiaTheme="minorEastAsia"/>
          <w:sz w:val="18"/>
          <w:szCs w:val="16"/>
          <w:lang w:val="en-GB"/>
        </w:rPr>
        <w:t xml:space="preserve"> </w:t>
      </w:r>
      <w:r>
        <w:rPr>
          <w:sz w:val="18"/>
          <w:szCs w:val="16"/>
          <w:lang w:val="en-GB"/>
        </w:rPr>
        <w:t>(</w:t>
      </w:r>
      <w:r w:rsidRPr="001706AA">
        <w:rPr>
          <w:i/>
          <w:iCs/>
          <w:sz w:val="18"/>
          <w:szCs w:val="16"/>
          <w:lang w:val="en-GB"/>
        </w:rPr>
        <w:t>n</w:t>
      </w:r>
      <w:r>
        <w:rPr>
          <w:sz w:val="18"/>
          <w:szCs w:val="16"/>
          <w:lang w:val="en-GB"/>
        </w:rPr>
        <w:t xml:space="preserve"> =</w:t>
      </w:r>
      <w:r>
        <w:rPr>
          <w:rFonts w:eastAsiaTheme="minorEastAsia"/>
          <w:iCs/>
          <w:sz w:val="18"/>
          <w:szCs w:val="16"/>
          <w:lang w:val="en-GB"/>
        </w:rPr>
        <w:t xml:space="preserve"> 4</w:t>
      </w:r>
      <w:r>
        <w:rPr>
          <w:i/>
          <w:iCs/>
          <w:sz w:val="18"/>
          <w:szCs w:val="16"/>
          <w:lang w:val="en-GB"/>
        </w:rPr>
        <w:t>, N</w:t>
      </w:r>
      <w:r w:rsidRPr="001706AA">
        <w:rPr>
          <w:i/>
          <w:iCs/>
          <w:sz w:val="18"/>
          <w:szCs w:val="16"/>
          <w:vertAlign w:val="subscript"/>
          <w:lang w:val="en-GB"/>
        </w:rPr>
        <w:t>total</w:t>
      </w:r>
      <w:r w:rsidRPr="001706AA">
        <w:rPr>
          <w:sz w:val="18"/>
          <w:szCs w:val="16"/>
          <w:lang w:val="en-GB"/>
        </w:rPr>
        <w:t xml:space="preserve"> = </w:t>
      </w:r>
      <w:r>
        <w:rPr>
          <w:sz w:val="18"/>
          <w:szCs w:val="16"/>
          <w:lang w:val="en-GB"/>
        </w:rPr>
        <w:t>12).</w:t>
      </w:r>
      <w:r w:rsidRPr="00BB2257">
        <w:rPr>
          <w:sz w:val="18"/>
          <w:szCs w:val="16"/>
          <w:lang w:val="en-GB"/>
        </w:rPr>
        <w:t xml:space="preserve"> </w:t>
      </w:r>
      <w:r w:rsidRPr="00BB2257">
        <w:rPr>
          <w:b/>
          <w:bCs/>
          <w:sz w:val="18"/>
          <w:szCs w:val="16"/>
          <w:lang w:val="en-GB"/>
        </w:rPr>
        <w:t xml:space="preserve">B) </w:t>
      </w:r>
      <w:r w:rsidRPr="00BB2257">
        <w:rPr>
          <w:sz w:val="18"/>
          <w:szCs w:val="16"/>
          <w:lang w:val="en-GB"/>
        </w:rPr>
        <w:t>Time</w:t>
      </w:r>
      <w:r>
        <w:rPr>
          <w:sz w:val="18"/>
          <w:szCs w:val="16"/>
          <w:lang w:val="en-GB"/>
        </w:rPr>
        <w:t>-dependent</w:t>
      </w:r>
      <w:r w:rsidRPr="00BB2257">
        <w:rPr>
          <w:sz w:val="18"/>
          <w:szCs w:val="16"/>
          <w:lang w:val="en-GB"/>
        </w:rPr>
        <w:t xml:space="preserve"> uptake of almotriptan (500 µM) in the absence (Control) or presence of 1000 µM pyrilamine (+pyrilamine)</w:t>
      </w:r>
      <w:r>
        <w:rPr>
          <w:sz w:val="18"/>
          <w:szCs w:val="16"/>
          <w:lang w:val="en-GB"/>
        </w:rPr>
        <w:t xml:space="preserve">. </w:t>
      </w:r>
      <w:r w:rsidRPr="00BB2257">
        <w:rPr>
          <w:sz w:val="18"/>
          <w:szCs w:val="16"/>
          <w:lang w:val="en-GB"/>
        </w:rPr>
        <w:t>Uptake amounts are normalized to protein amount per well.</w:t>
      </w:r>
      <w:r w:rsidRPr="007918FD">
        <w:rPr>
          <w:sz w:val="18"/>
          <w:szCs w:val="16"/>
          <w:lang w:val="en-GB"/>
        </w:rPr>
        <w:t xml:space="preserve"> </w:t>
      </w:r>
      <w:r>
        <w:rPr>
          <w:sz w:val="18"/>
          <w:szCs w:val="16"/>
          <w:lang w:val="en-GB"/>
        </w:rPr>
        <w:t>Each data point represents</w:t>
      </w:r>
      <w:r w:rsidRPr="00BB2257">
        <w:rPr>
          <w:sz w:val="18"/>
          <w:szCs w:val="16"/>
          <w:lang w:val="en-GB"/>
        </w:rPr>
        <w:t xml:space="preserve"> </w:t>
      </w:r>
      <w:r w:rsidRPr="00FB4053">
        <w:rPr>
          <w:rFonts w:cs="Times New Roman"/>
          <w:i/>
          <w:iCs/>
          <w:sz w:val="18"/>
          <w:szCs w:val="18"/>
          <w:lang w:val="en-US"/>
        </w:rPr>
        <w:t>mean ± SD</w:t>
      </w:r>
      <w:r>
        <w:rPr>
          <w:rFonts w:cs="Times New Roman"/>
          <w:i/>
          <w:iCs/>
          <w:sz w:val="18"/>
          <w:szCs w:val="18"/>
          <w:lang w:val="en-US"/>
        </w:rPr>
        <w:t xml:space="preserve"> </w:t>
      </w:r>
      <w:r>
        <w:rPr>
          <w:sz w:val="18"/>
          <w:szCs w:val="16"/>
          <w:lang w:val="en-GB"/>
        </w:rPr>
        <w:t>(</w:t>
      </w:r>
      <w:r w:rsidRPr="001706AA">
        <w:rPr>
          <w:i/>
          <w:iCs/>
          <w:sz w:val="18"/>
          <w:szCs w:val="16"/>
          <w:lang w:val="en-GB"/>
        </w:rPr>
        <w:t>n</w:t>
      </w:r>
      <w:r>
        <w:rPr>
          <w:sz w:val="18"/>
          <w:szCs w:val="16"/>
          <w:lang w:val="en-GB"/>
        </w:rPr>
        <w:t xml:space="preserve"> =</w:t>
      </w:r>
      <w:r>
        <w:rPr>
          <w:rFonts w:eastAsiaTheme="minorEastAsia"/>
          <w:iCs/>
          <w:sz w:val="18"/>
          <w:szCs w:val="16"/>
          <w:lang w:val="en-GB"/>
        </w:rPr>
        <w:t xml:space="preserve"> 3</w:t>
      </w:r>
      <w:r>
        <w:rPr>
          <w:i/>
          <w:iCs/>
          <w:sz w:val="18"/>
          <w:szCs w:val="16"/>
          <w:lang w:val="en-GB"/>
        </w:rPr>
        <w:t>, N</w:t>
      </w:r>
      <w:r w:rsidRPr="001706AA">
        <w:rPr>
          <w:i/>
          <w:iCs/>
          <w:sz w:val="18"/>
          <w:szCs w:val="16"/>
          <w:vertAlign w:val="subscript"/>
          <w:lang w:val="en-GB"/>
        </w:rPr>
        <w:t>total</w:t>
      </w:r>
      <w:r w:rsidRPr="001706AA">
        <w:rPr>
          <w:sz w:val="18"/>
          <w:szCs w:val="16"/>
          <w:lang w:val="en-GB"/>
        </w:rPr>
        <w:t xml:space="preserve"> = </w:t>
      </w:r>
      <w:r>
        <w:rPr>
          <w:rFonts w:eastAsiaTheme="minorEastAsia"/>
          <w:iCs/>
          <w:sz w:val="18"/>
          <w:szCs w:val="16"/>
          <w:lang w:val="en-GB"/>
        </w:rPr>
        <w:t>9</w:t>
      </w:r>
      <w:r>
        <w:rPr>
          <w:sz w:val="18"/>
          <w:szCs w:val="16"/>
          <w:lang w:val="en-GB"/>
        </w:rPr>
        <w:t>)</w:t>
      </w:r>
      <w:r w:rsidRPr="00BB2257">
        <w:rPr>
          <w:sz w:val="18"/>
          <w:szCs w:val="16"/>
          <w:lang w:val="en-GB"/>
        </w:rPr>
        <w:t xml:space="preserve">. </w:t>
      </w:r>
    </w:p>
    <w:p w14:paraId="091761FE" w14:textId="77777777" w:rsidR="00885855" w:rsidRPr="00BB2257" w:rsidRDefault="00885855" w:rsidP="00885855">
      <w:pPr>
        <w:spacing w:line="480" w:lineRule="auto"/>
        <w:rPr>
          <w:rFonts w:cs="Times New Roman"/>
          <w:b/>
          <w:bCs/>
          <w:sz w:val="20"/>
          <w:szCs w:val="18"/>
          <w:lang w:val="en-US"/>
        </w:rPr>
      </w:pPr>
      <w:bookmarkStart w:id="0" w:name="_Hlk160032951"/>
      <w:r w:rsidRPr="00BB2257">
        <w:rPr>
          <w:rFonts w:cs="Times New Roman"/>
          <w:b/>
          <w:bCs/>
          <w:sz w:val="20"/>
          <w:szCs w:val="18"/>
          <w:lang w:val="en-US"/>
        </w:rPr>
        <w:t xml:space="preserve">Additional file </w:t>
      </w:r>
      <w:r>
        <w:rPr>
          <w:rFonts w:cs="Times New Roman"/>
          <w:b/>
          <w:bCs/>
          <w:sz w:val="20"/>
          <w:szCs w:val="18"/>
          <w:lang w:val="en-US"/>
        </w:rPr>
        <w:t>2</w:t>
      </w:r>
      <w:r w:rsidRPr="00BB2257">
        <w:rPr>
          <w:rFonts w:cs="Times New Roman"/>
          <w:b/>
          <w:bCs/>
          <w:sz w:val="20"/>
          <w:szCs w:val="18"/>
          <w:lang w:val="en-US"/>
        </w:rPr>
        <w:t>. HPLC parameters</w:t>
      </w:r>
      <w:r>
        <w:rPr>
          <w:rFonts w:cs="Times New Roman"/>
          <w:b/>
          <w:bCs/>
          <w:sz w:val="20"/>
          <w:szCs w:val="18"/>
          <w:lang w:val="en-US"/>
        </w:rPr>
        <w:t xml:space="preserve"> for almotriptan, eletriptan, sumatriptan, and oxycodone.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6"/>
        <w:gridCol w:w="1847"/>
        <w:gridCol w:w="1841"/>
        <w:gridCol w:w="1856"/>
        <w:gridCol w:w="1466"/>
      </w:tblGrid>
      <w:tr w:rsidR="00885855" w:rsidRPr="001A4A10" w14:paraId="3FE76F79" w14:textId="77777777" w:rsidTr="0093503F">
        <w:trPr>
          <w:trHeight w:val="132"/>
          <w:jc w:val="center"/>
        </w:trPr>
        <w:tc>
          <w:tcPr>
            <w:tcW w:w="1117" w:type="pct"/>
            <w:tcBorders>
              <w:top w:val="single" w:sz="4" w:space="0" w:color="auto"/>
              <w:bottom w:val="single" w:sz="4" w:space="0" w:color="auto"/>
            </w:tcBorders>
          </w:tcPr>
          <w:p w14:paraId="611700F9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023" w:type="pct"/>
            <w:tcBorders>
              <w:top w:val="single" w:sz="4" w:space="0" w:color="auto"/>
              <w:bottom w:val="single" w:sz="4" w:space="0" w:color="auto"/>
            </w:tcBorders>
          </w:tcPr>
          <w:p w14:paraId="4A8D3709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b/>
                <w:bCs/>
                <w:sz w:val="18"/>
                <w:szCs w:val="18"/>
                <w:lang w:val="en-US"/>
              </w:rPr>
              <w:t>Almotriptan</w:t>
            </w:r>
          </w:p>
        </w:tc>
        <w:tc>
          <w:tcPr>
            <w:tcW w:w="1020" w:type="pct"/>
            <w:tcBorders>
              <w:top w:val="single" w:sz="4" w:space="0" w:color="auto"/>
              <w:bottom w:val="single" w:sz="4" w:space="0" w:color="auto"/>
            </w:tcBorders>
          </w:tcPr>
          <w:p w14:paraId="2685214C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b/>
                <w:bCs/>
                <w:sz w:val="18"/>
                <w:szCs w:val="18"/>
                <w:lang w:val="en-US"/>
              </w:rPr>
              <w:t>Eletriptan</w:t>
            </w:r>
          </w:p>
        </w:tc>
        <w:tc>
          <w:tcPr>
            <w:tcW w:w="1028" w:type="pct"/>
            <w:tcBorders>
              <w:top w:val="single" w:sz="4" w:space="0" w:color="auto"/>
              <w:bottom w:val="single" w:sz="4" w:space="0" w:color="auto"/>
            </w:tcBorders>
          </w:tcPr>
          <w:p w14:paraId="5C5B2FF5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b/>
                <w:bCs/>
                <w:sz w:val="18"/>
                <w:szCs w:val="18"/>
                <w:lang w:val="en-US"/>
              </w:rPr>
              <w:t>Sumatriptan</w:t>
            </w:r>
          </w:p>
        </w:tc>
        <w:tc>
          <w:tcPr>
            <w:tcW w:w="812" w:type="pct"/>
            <w:tcBorders>
              <w:top w:val="single" w:sz="4" w:space="0" w:color="auto"/>
              <w:bottom w:val="single" w:sz="4" w:space="0" w:color="auto"/>
            </w:tcBorders>
          </w:tcPr>
          <w:p w14:paraId="314BB18E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b/>
                <w:bCs/>
                <w:sz w:val="18"/>
                <w:szCs w:val="18"/>
                <w:lang w:val="en-US"/>
              </w:rPr>
              <w:t>Oxycodone</w:t>
            </w:r>
          </w:p>
        </w:tc>
      </w:tr>
      <w:tr w:rsidR="00885855" w:rsidRPr="00B076EA" w14:paraId="4B959930" w14:textId="77777777" w:rsidTr="0093503F">
        <w:trPr>
          <w:trHeight w:val="1260"/>
          <w:jc w:val="center"/>
        </w:trPr>
        <w:tc>
          <w:tcPr>
            <w:tcW w:w="1117" w:type="pct"/>
            <w:tcBorders>
              <w:top w:val="single" w:sz="4" w:space="0" w:color="auto"/>
            </w:tcBorders>
          </w:tcPr>
          <w:p w14:paraId="2CAC5B76" w14:textId="77777777" w:rsidR="00885855" w:rsidRPr="001A4A10" w:rsidRDefault="00885855" w:rsidP="0093503F">
            <w:pPr>
              <w:spacing w:line="240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Mobile phase</w:t>
            </w:r>
          </w:p>
        </w:tc>
        <w:tc>
          <w:tcPr>
            <w:tcW w:w="1023" w:type="pct"/>
            <w:tcBorders>
              <w:top w:val="single" w:sz="4" w:space="0" w:color="auto"/>
            </w:tcBorders>
          </w:tcPr>
          <w:p w14:paraId="6B3D83EC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A: 0.1% formic acid in ultrapure.</w:t>
            </w:r>
          </w:p>
          <w:p w14:paraId="31FAEE92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B: 0.1% formic acid in acetonitrile or methanol.</w:t>
            </w:r>
          </w:p>
        </w:tc>
        <w:tc>
          <w:tcPr>
            <w:tcW w:w="1020" w:type="pct"/>
            <w:tcBorders>
              <w:top w:val="single" w:sz="4" w:space="0" w:color="auto"/>
            </w:tcBorders>
          </w:tcPr>
          <w:p w14:paraId="029F1802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A: 0.1% formic acid in ultrapure water.</w:t>
            </w:r>
          </w:p>
          <w:p w14:paraId="2C68A459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B: 0.1% formic acid in acetonitrile.</w:t>
            </w:r>
          </w:p>
        </w:tc>
        <w:tc>
          <w:tcPr>
            <w:tcW w:w="1028" w:type="pct"/>
            <w:tcBorders>
              <w:top w:val="single" w:sz="4" w:space="0" w:color="auto"/>
            </w:tcBorders>
          </w:tcPr>
          <w:p w14:paraId="4575B6D6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A: 0.1% formic acid in ultrapure.</w:t>
            </w:r>
          </w:p>
          <w:p w14:paraId="4FF40BAE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B: 0.1% formic acid in acetonitrile.</w:t>
            </w:r>
          </w:p>
        </w:tc>
        <w:tc>
          <w:tcPr>
            <w:tcW w:w="812" w:type="pct"/>
            <w:tcBorders>
              <w:top w:val="single" w:sz="4" w:space="0" w:color="auto"/>
            </w:tcBorders>
          </w:tcPr>
          <w:p w14:paraId="6070E72E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A: ultrapure water.</w:t>
            </w:r>
          </w:p>
          <w:p w14:paraId="6661A8CC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B: acetonitrile.</w:t>
            </w:r>
          </w:p>
        </w:tc>
      </w:tr>
      <w:tr w:rsidR="00885855" w:rsidRPr="001A4A10" w14:paraId="5028D7BE" w14:textId="77777777" w:rsidTr="0093503F">
        <w:trPr>
          <w:trHeight w:val="996"/>
          <w:jc w:val="center"/>
        </w:trPr>
        <w:tc>
          <w:tcPr>
            <w:tcW w:w="1117" w:type="pct"/>
          </w:tcPr>
          <w:p w14:paraId="4522A2AD" w14:textId="77777777" w:rsidR="00885855" w:rsidRPr="001A4A10" w:rsidRDefault="00885855" w:rsidP="0093503F">
            <w:pPr>
              <w:spacing w:line="240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Gradient/ isocratic</w:t>
            </w:r>
          </w:p>
        </w:tc>
        <w:tc>
          <w:tcPr>
            <w:tcW w:w="1023" w:type="pct"/>
          </w:tcPr>
          <w:p w14:paraId="5CC79153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60/40 isocratic elution</w:t>
            </w:r>
          </w:p>
        </w:tc>
        <w:tc>
          <w:tcPr>
            <w:tcW w:w="1020" w:type="pct"/>
          </w:tcPr>
          <w:p w14:paraId="6F1F0C1E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60/40 isocratic elution</w:t>
            </w:r>
          </w:p>
        </w:tc>
        <w:tc>
          <w:tcPr>
            <w:tcW w:w="1028" w:type="pct"/>
          </w:tcPr>
          <w:p w14:paraId="1520DB7A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60/40 isocratic elution or gradient</w:t>
            </w:r>
          </w:p>
        </w:tc>
        <w:tc>
          <w:tcPr>
            <w:tcW w:w="812" w:type="pct"/>
          </w:tcPr>
          <w:p w14:paraId="2890A579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Gradient</w:t>
            </w:r>
          </w:p>
        </w:tc>
      </w:tr>
      <w:tr w:rsidR="00885855" w:rsidRPr="001A4A10" w14:paraId="3C72BC82" w14:textId="77777777" w:rsidTr="0093503F">
        <w:trPr>
          <w:trHeight w:val="571"/>
          <w:jc w:val="center"/>
        </w:trPr>
        <w:tc>
          <w:tcPr>
            <w:tcW w:w="1117" w:type="pct"/>
          </w:tcPr>
          <w:p w14:paraId="49E9641F" w14:textId="77777777" w:rsidR="00885855" w:rsidRPr="001A4A10" w:rsidRDefault="00885855" w:rsidP="0093503F">
            <w:pPr>
              <w:spacing w:line="240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Flow rate</w:t>
            </w:r>
          </w:p>
        </w:tc>
        <w:tc>
          <w:tcPr>
            <w:tcW w:w="1023" w:type="pct"/>
          </w:tcPr>
          <w:p w14:paraId="19B2D9C6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0.2 mL/min</w:t>
            </w:r>
          </w:p>
        </w:tc>
        <w:tc>
          <w:tcPr>
            <w:tcW w:w="1020" w:type="pct"/>
          </w:tcPr>
          <w:p w14:paraId="7D59329B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0.3 mL/min</w:t>
            </w:r>
          </w:p>
        </w:tc>
        <w:tc>
          <w:tcPr>
            <w:tcW w:w="1028" w:type="pct"/>
          </w:tcPr>
          <w:p w14:paraId="61F74E8E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0.2 or 0.3 mL/min</w:t>
            </w:r>
          </w:p>
        </w:tc>
        <w:tc>
          <w:tcPr>
            <w:tcW w:w="812" w:type="pct"/>
          </w:tcPr>
          <w:p w14:paraId="678D8D4D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0.3 mL/min</w:t>
            </w:r>
          </w:p>
        </w:tc>
      </w:tr>
      <w:tr w:rsidR="00885855" w:rsidRPr="001A4A10" w14:paraId="49C6E565" w14:textId="77777777" w:rsidTr="0093503F">
        <w:trPr>
          <w:trHeight w:val="171"/>
          <w:jc w:val="center"/>
        </w:trPr>
        <w:tc>
          <w:tcPr>
            <w:tcW w:w="1117" w:type="pct"/>
            <w:tcBorders>
              <w:bottom w:val="single" w:sz="4" w:space="0" w:color="auto"/>
            </w:tcBorders>
          </w:tcPr>
          <w:p w14:paraId="18B69288" w14:textId="77777777" w:rsidR="00885855" w:rsidRPr="001A4A10" w:rsidRDefault="00885855" w:rsidP="0093503F">
            <w:pPr>
              <w:spacing w:line="240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Injection volume</w:t>
            </w:r>
          </w:p>
        </w:tc>
        <w:tc>
          <w:tcPr>
            <w:tcW w:w="1023" w:type="pct"/>
            <w:tcBorders>
              <w:bottom w:val="single" w:sz="4" w:space="0" w:color="auto"/>
            </w:tcBorders>
          </w:tcPr>
          <w:p w14:paraId="2F2033F0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5 µL</w:t>
            </w:r>
          </w:p>
        </w:tc>
        <w:tc>
          <w:tcPr>
            <w:tcW w:w="1020" w:type="pct"/>
            <w:tcBorders>
              <w:bottom w:val="single" w:sz="4" w:space="0" w:color="auto"/>
            </w:tcBorders>
          </w:tcPr>
          <w:p w14:paraId="01755170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5 µL</w:t>
            </w:r>
          </w:p>
        </w:tc>
        <w:tc>
          <w:tcPr>
            <w:tcW w:w="1028" w:type="pct"/>
            <w:tcBorders>
              <w:bottom w:val="single" w:sz="4" w:space="0" w:color="auto"/>
            </w:tcBorders>
          </w:tcPr>
          <w:p w14:paraId="0CC1E199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5 µL</w:t>
            </w:r>
          </w:p>
        </w:tc>
        <w:tc>
          <w:tcPr>
            <w:tcW w:w="812" w:type="pct"/>
            <w:tcBorders>
              <w:bottom w:val="single" w:sz="4" w:space="0" w:color="auto"/>
            </w:tcBorders>
          </w:tcPr>
          <w:p w14:paraId="04F86EFF" w14:textId="77777777" w:rsidR="00885855" w:rsidRPr="001A4A10" w:rsidRDefault="00885855" w:rsidP="0093503F">
            <w:pPr>
              <w:spacing w:line="240" w:lineRule="auto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1A4A10">
              <w:rPr>
                <w:rFonts w:cs="Times New Roman"/>
                <w:sz w:val="18"/>
                <w:szCs w:val="18"/>
                <w:lang w:val="en-US"/>
              </w:rPr>
              <w:t>10 µL</w:t>
            </w:r>
          </w:p>
        </w:tc>
      </w:tr>
    </w:tbl>
    <w:p w14:paraId="6E5B3116" w14:textId="77777777" w:rsidR="00885855" w:rsidRDefault="00885855" w:rsidP="00885855">
      <w:pPr>
        <w:spacing w:line="480" w:lineRule="auto"/>
        <w:rPr>
          <w:lang w:val="en-US"/>
        </w:rPr>
      </w:pPr>
    </w:p>
    <w:bookmarkEnd w:id="0"/>
    <w:p w14:paraId="3B7715F9" w14:textId="77777777" w:rsidR="00885855" w:rsidRDefault="00885855" w:rsidP="00885855">
      <w:pPr>
        <w:spacing w:line="480" w:lineRule="auto"/>
        <w:rPr>
          <w:lang w:val="en-US"/>
        </w:rPr>
      </w:pPr>
    </w:p>
    <w:p w14:paraId="6292CA65" w14:textId="77777777" w:rsidR="00885855" w:rsidRDefault="00885855" w:rsidP="00885855">
      <w:pPr>
        <w:spacing w:line="480" w:lineRule="auto"/>
        <w:rPr>
          <w:lang w:val="en-US"/>
        </w:rPr>
      </w:pPr>
    </w:p>
    <w:p w14:paraId="346B75D6" w14:textId="77777777" w:rsidR="00885855" w:rsidRDefault="00885855" w:rsidP="00885855">
      <w:pPr>
        <w:spacing w:line="480" w:lineRule="auto"/>
        <w:rPr>
          <w:lang w:val="en-US"/>
        </w:rPr>
      </w:pPr>
    </w:p>
    <w:p w14:paraId="199450DC" w14:textId="77777777" w:rsidR="00885855" w:rsidRPr="007E0E4C" w:rsidRDefault="00885855" w:rsidP="00885855">
      <w:pPr>
        <w:spacing w:line="480" w:lineRule="auto"/>
        <w:jc w:val="both"/>
        <w:rPr>
          <w:rFonts w:cs="Times New Roman"/>
          <w:b/>
          <w:sz w:val="20"/>
          <w:szCs w:val="20"/>
          <w:lang w:val="en-US"/>
        </w:rPr>
      </w:pPr>
      <w:bookmarkStart w:id="1" w:name="_Hlk160032963"/>
      <w:r w:rsidRPr="00BB2257">
        <w:rPr>
          <w:rFonts w:cs="Times New Roman"/>
          <w:b/>
          <w:bCs/>
          <w:sz w:val="20"/>
          <w:szCs w:val="18"/>
          <w:lang w:val="en-US"/>
        </w:rPr>
        <w:lastRenderedPageBreak/>
        <w:t xml:space="preserve">Additional file </w:t>
      </w:r>
      <w:r>
        <w:rPr>
          <w:rFonts w:cs="Times New Roman"/>
          <w:b/>
          <w:bCs/>
          <w:sz w:val="20"/>
          <w:szCs w:val="18"/>
          <w:lang w:val="en-US"/>
        </w:rPr>
        <w:t>3.</w:t>
      </w:r>
      <w:r w:rsidRPr="007E0E4C">
        <w:rPr>
          <w:rFonts w:cs="Times New Roman"/>
          <w:b/>
          <w:sz w:val="20"/>
          <w:szCs w:val="20"/>
          <w:lang w:val="en-US"/>
        </w:rPr>
        <w:t xml:space="preserve"> MS/MS conditions f</w:t>
      </w:r>
      <w:r>
        <w:rPr>
          <w:rFonts w:cs="Times New Roman"/>
          <w:b/>
          <w:sz w:val="20"/>
          <w:szCs w:val="20"/>
          <w:lang w:val="en-US"/>
        </w:rPr>
        <w:t>or almotriptan, eletriptan, sumatriptan, and oxycodone.</w:t>
      </w:r>
    </w:p>
    <w:tbl>
      <w:tblPr>
        <w:tblStyle w:val="TableClassic1"/>
        <w:tblW w:w="5000" w:type="pct"/>
        <w:jc w:val="center"/>
        <w:tblLook w:val="0020" w:firstRow="1" w:lastRow="0" w:firstColumn="0" w:lastColumn="0" w:noHBand="0" w:noVBand="0"/>
      </w:tblPr>
      <w:tblGrid>
        <w:gridCol w:w="1541"/>
        <w:gridCol w:w="709"/>
        <w:gridCol w:w="2275"/>
        <w:gridCol w:w="1717"/>
        <w:gridCol w:w="533"/>
        <w:gridCol w:w="2251"/>
      </w:tblGrid>
      <w:tr w:rsidR="00885855" w:rsidRPr="00A92A79" w14:paraId="09FB3391" w14:textId="77777777" w:rsidTr="009350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tcW w:w="85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9EED1A6" w14:textId="77777777" w:rsidR="00885855" w:rsidRPr="001A4A10" w:rsidRDefault="00885855" w:rsidP="0093503F">
            <w:pPr>
              <w:spacing w:line="240" w:lineRule="auto"/>
              <w:jc w:val="both"/>
              <w:rPr>
                <w:b/>
                <w:i w:val="0"/>
                <w:color w:val="000000"/>
                <w:sz w:val="18"/>
                <w:szCs w:val="14"/>
              </w:rPr>
            </w:pPr>
            <w:r w:rsidRPr="001A4A10">
              <w:rPr>
                <w:b/>
                <w:i w:val="0"/>
                <w:color w:val="000000"/>
                <w:sz w:val="18"/>
                <w:szCs w:val="14"/>
              </w:rPr>
              <w:t>Drug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9EDC352" w14:textId="77777777" w:rsidR="00885855" w:rsidRPr="001A4A10" w:rsidRDefault="00885855" w:rsidP="0093503F">
            <w:pPr>
              <w:spacing w:line="240" w:lineRule="auto"/>
              <w:jc w:val="center"/>
              <w:rPr>
                <w:b/>
                <w:i w:val="0"/>
                <w:color w:val="000000"/>
                <w:sz w:val="18"/>
                <w:szCs w:val="14"/>
              </w:rPr>
            </w:pPr>
            <w:r w:rsidRPr="001A4A10">
              <w:rPr>
                <w:b/>
                <w:i w:val="0"/>
                <w:color w:val="000000"/>
                <w:sz w:val="18"/>
                <w:szCs w:val="14"/>
              </w:rPr>
              <w:t>Precursor-product ion pair</w:t>
            </w:r>
          </w:p>
        </w:tc>
        <w:tc>
          <w:tcPr>
            <w:tcW w:w="951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6AD77E" w14:textId="77777777" w:rsidR="00885855" w:rsidRPr="001A4A10" w:rsidRDefault="00885855" w:rsidP="0093503F">
            <w:pPr>
              <w:spacing w:line="240" w:lineRule="auto"/>
              <w:jc w:val="center"/>
              <w:rPr>
                <w:b/>
                <w:i w:val="0"/>
                <w:color w:val="000000"/>
                <w:sz w:val="18"/>
                <w:szCs w:val="14"/>
              </w:rPr>
            </w:pPr>
            <w:r w:rsidRPr="001A4A10">
              <w:rPr>
                <w:b/>
                <w:i w:val="0"/>
                <w:color w:val="000000"/>
                <w:sz w:val="18"/>
                <w:szCs w:val="14"/>
              </w:rPr>
              <w:t>Cone (V)</w:t>
            </w:r>
          </w:p>
        </w:tc>
        <w:tc>
          <w:tcPr>
            <w:tcW w:w="154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AD9A0D0" w14:textId="77777777" w:rsidR="00885855" w:rsidRPr="001A4A10" w:rsidRDefault="00885855" w:rsidP="0093503F">
            <w:pPr>
              <w:spacing w:line="240" w:lineRule="auto"/>
              <w:jc w:val="center"/>
              <w:rPr>
                <w:b/>
                <w:i w:val="0"/>
                <w:color w:val="000000"/>
                <w:sz w:val="18"/>
                <w:szCs w:val="14"/>
              </w:rPr>
            </w:pPr>
            <w:r w:rsidRPr="001A4A10">
              <w:rPr>
                <w:b/>
                <w:i w:val="0"/>
                <w:color w:val="000000"/>
                <w:sz w:val="18"/>
                <w:szCs w:val="14"/>
              </w:rPr>
              <w:t>Collision energy (eV)</w:t>
            </w:r>
          </w:p>
        </w:tc>
      </w:tr>
      <w:tr w:rsidR="00885855" w:rsidRPr="00A92A79" w14:paraId="0D9B0D60" w14:textId="77777777" w:rsidTr="0093503F">
        <w:trPr>
          <w:trHeight w:val="456"/>
          <w:jc w:val="center"/>
        </w:trPr>
        <w:tc>
          <w:tcPr>
            <w:tcW w:w="1247" w:type="pct"/>
            <w:gridSpan w:val="2"/>
            <w:tcBorders>
              <w:top w:val="single" w:sz="4" w:space="0" w:color="auto"/>
            </w:tcBorders>
            <w:noWrap/>
          </w:tcPr>
          <w:p w14:paraId="04F60531" w14:textId="77777777" w:rsidR="00885855" w:rsidRPr="001A4A10" w:rsidRDefault="00885855" w:rsidP="0093503F">
            <w:pPr>
              <w:spacing w:line="240" w:lineRule="auto"/>
              <w:jc w:val="both"/>
              <w:rPr>
                <w:bCs/>
                <w:color w:val="000000"/>
                <w:sz w:val="18"/>
                <w:szCs w:val="14"/>
              </w:rPr>
            </w:pPr>
            <w:r w:rsidRPr="001A4A10">
              <w:rPr>
                <w:bCs/>
                <w:color w:val="000000"/>
                <w:sz w:val="18"/>
                <w:szCs w:val="14"/>
              </w:rPr>
              <w:t>Almotriptan</w:t>
            </w:r>
          </w:p>
        </w:tc>
        <w:tc>
          <w:tcPr>
            <w:tcW w:w="1260" w:type="pct"/>
            <w:tcBorders>
              <w:top w:val="single" w:sz="4" w:space="0" w:color="auto"/>
            </w:tcBorders>
            <w:noWrap/>
          </w:tcPr>
          <w:p w14:paraId="6D31CF29" w14:textId="77777777" w:rsidR="00885855" w:rsidRPr="001A4A10" w:rsidRDefault="00885855" w:rsidP="0093503F">
            <w:pPr>
              <w:spacing w:line="240" w:lineRule="auto"/>
              <w:jc w:val="center"/>
              <w:rPr>
                <w:bCs/>
                <w:color w:val="000000"/>
                <w:sz w:val="18"/>
                <w:szCs w:val="14"/>
              </w:rPr>
            </w:pPr>
            <w:r w:rsidRPr="001A4A10">
              <w:rPr>
                <w:bCs/>
                <w:color w:val="000000"/>
                <w:sz w:val="18"/>
                <w:szCs w:val="14"/>
              </w:rPr>
              <w:t xml:space="preserve">336 </w:t>
            </w:r>
            <w:r w:rsidRPr="001A4A10">
              <w:rPr>
                <w:bCs/>
                <w:color w:val="000000"/>
                <w:sz w:val="18"/>
                <w:szCs w:val="14"/>
              </w:rPr>
              <w:sym w:font="Wingdings" w:char="F0E0"/>
            </w:r>
            <w:r w:rsidRPr="001A4A10">
              <w:rPr>
                <w:bCs/>
                <w:color w:val="000000"/>
                <w:sz w:val="18"/>
                <w:szCs w:val="14"/>
              </w:rPr>
              <w:t>157.1</w:t>
            </w:r>
          </w:p>
        </w:tc>
        <w:tc>
          <w:tcPr>
            <w:tcW w:w="1246" w:type="pct"/>
            <w:gridSpan w:val="2"/>
            <w:tcBorders>
              <w:top w:val="single" w:sz="4" w:space="0" w:color="auto"/>
            </w:tcBorders>
            <w:noWrap/>
          </w:tcPr>
          <w:p w14:paraId="2AE55819" w14:textId="77777777" w:rsidR="00885855" w:rsidRPr="001A4A10" w:rsidRDefault="00885855" w:rsidP="0093503F">
            <w:pPr>
              <w:spacing w:line="240" w:lineRule="auto"/>
              <w:jc w:val="center"/>
              <w:rPr>
                <w:bCs/>
                <w:color w:val="000000"/>
                <w:sz w:val="18"/>
                <w:szCs w:val="14"/>
              </w:rPr>
            </w:pPr>
            <w:r w:rsidRPr="001A4A10">
              <w:rPr>
                <w:bCs/>
                <w:color w:val="000000"/>
                <w:sz w:val="18"/>
                <w:szCs w:val="14"/>
              </w:rPr>
              <w:t>35</w:t>
            </w:r>
          </w:p>
        </w:tc>
        <w:tc>
          <w:tcPr>
            <w:tcW w:w="1247" w:type="pct"/>
            <w:tcBorders>
              <w:top w:val="single" w:sz="4" w:space="0" w:color="auto"/>
            </w:tcBorders>
          </w:tcPr>
          <w:p w14:paraId="3B7188D4" w14:textId="77777777" w:rsidR="00885855" w:rsidRPr="001A4A10" w:rsidRDefault="00885855" w:rsidP="0093503F">
            <w:pPr>
              <w:spacing w:line="240" w:lineRule="auto"/>
              <w:jc w:val="center"/>
              <w:rPr>
                <w:bCs/>
                <w:color w:val="000000"/>
                <w:sz w:val="18"/>
                <w:szCs w:val="14"/>
              </w:rPr>
            </w:pPr>
            <w:r w:rsidRPr="001A4A10">
              <w:rPr>
                <w:bCs/>
                <w:color w:val="000000"/>
                <w:sz w:val="18"/>
                <w:szCs w:val="14"/>
              </w:rPr>
              <w:t>20</w:t>
            </w:r>
          </w:p>
        </w:tc>
      </w:tr>
      <w:tr w:rsidR="00885855" w:rsidRPr="00A92A79" w14:paraId="2D84DE9D" w14:textId="77777777" w:rsidTr="0093503F">
        <w:trPr>
          <w:trHeight w:val="456"/>
          <w:jc w:val="center"/>
        </w:trPr>
        <w:tc>
          <w:tcPr>
            <w:tcW w:w="1247" w:type="pct"/>
            <w:gridSpan w:val="2"/>
            <w:noWrap/>
          </w:tcPr>
          <w:p w14:paraId="105CE5FB" w14:textId="77777777" w:rsidR="00885855" w:rsidRPr="001A4A10" w:rsidRDefault="00885855" w:rsidP="0093503F">
            <w:pPr>
              <w:spacing w:line="240" w:lineRule="auto"/>
              <w:jc w:val="both"/>
              <w:rPr>
                <w:bCs/>
                <w:sz w:val="18"/>
                <w:szCs w:val="14"/>
              </w:rPr>
            </w:pPr>
            <w:r w:rsidRPr="001A4A10">
              <w:rPr>
                <w:bCs/>
                <w:sz w:val="18"/>
                <w:szCs w:val="14"/>
              </w:rPr>
              <w:t>Eletriptan</w:t>
            </w:r>
          </w:p>
        </w:tc>
        <w:tc>
          <w:tcPr>
            <w:tcW w:w="1260" w:type="pct"/>
            <w:noWrap/>
          </w:tcPr>
          <w:p w14:paraId="56EF9A4F" w14:textId="77777777" w:rsidR="00885855" w:rsidRPr="001A4A10" w:rsidRDefault="00885855" w:rsidP="0093503F">
            <w:pPr>
              <w:spacing w:after="120" w:line="240" w:lineRule="auto"/>
              <w:jc w:val="center"/>
              <w:rPr>
                <w:rFonts w:eastAsia="Calibri"/>
                <w:bCs/>
                <w:sz w:val="18"/>
                <w:szCs w:val="14"/>
                <w:lang w:eastAsia="sv-SE"/>
              </w:rPr>
            </w:pPr>
            <w:r w:rsidRPr="001A4A10">
              <w:rPr>
                <w:rFonts w:eastAsia="Calibri"/>
                <w:bCs/>
                <w:sz w:val="18"/>
                <w:szCs w:val="14"/>
                <w:lang w:eastAsia="sv-SE"/>
              </w:rPr>
              <w:t>383</w:t>
            </w:r>
            <w:r w:rsidRPr="001A4A10">
              <w:rPr>
                <w:rFonts w:eastAsia="Calibri"/>
                <w:bCs/>
                <w:sz w:val="18"/>
                <w:szCs w:val="14"/>
                <w:lang w:eastAsia="sv-SE"/>
              </w:rPr>
              <w:sym w:font="Wingdings" w:char="F0E0"/>
            </w:r>
            <w:r w:rsidRPr="001A4A10">
              <w:rPr>
                <w:rFonts w:eastAsia="Calibri"/>
                <w:bCs/>
                <w:sz w:val="18"/>
                <w:szCs w:val="14"/>
                <w:lang w:eastAsia="sv-SE"/>
              </w:rPr>
              <w:t>117</w:t>
            </w:r>
          </w:p>
        </w:tc>
        <w:tc>
          <w:tcPr>
            <w:tcW w:w="1246" w:type="pct"/>
            <w:gridSpan w:val="2"/>
            <w:noWrap/>
          </w:tcPr>
          <w:p w14:paraId="40FFB785" w14:textId="77777777" w:rsidR="00885855" w:rsidRPr="001A4A10" w:rsidRDefault="00885855" w:rsidP="0093503F">
            <w:pPr>
              <w:spacing w:after="120" w:line="240" w:lineRule="auto"/>
              <w:jc w:val="center"/>
              <w:rPr>
                <w:rFonts w:eastAsia="Calibri"/>
                <w:bCs/>
                <w:sz w:val="18"/>
                <w:szCs w:val="14"/>
                <w:lang w:eastAsia="sv-SE"/>
              </w:rPr>
            </w:pPr>
            <w:r w:rsidRPr="001A4A10">
              <w:rPr>
                <w:rFonts w:eastAsia="Calibri"/>
                <w:bCs/>
                <w:sz w:val="18"/>
                <w:szCs w:val="14"/>
                <w:lang w:eastAsia="sv-SE"/>
              </w:rPr>
              <w:t>31</w:t>
            </w:r>
          </w:p>
        </w:tc>
        <w:tc>
          <w:tcPr>
            <w:tcW w:w="1247" w:type="pct"/>
          </w:tcPr>
          <w:p w14:paraId="2D303598" w14:textId="77777777" w:rsidR="00885855" w:rsidRPr="001A4A10" w:rsidRDefault="00885855" w:rsidP="0093503F">
            <w:pPr>
              <w:spacing w:after="120" w:line="240" w:lineRule="auto"/>
              <w:jc w:val="center"/>
              <w:rPr>
                <w:rFonts w:eastAsia="Calibri"/>
                <w:bCs/>
                <w:sz w:val="18"/>
                <w:szCs w:val="14"/>
                <w:lang w:eastAsia="sv-SE"/>
              </w:rPr>
            </w:pPr>
            <w:r w:rsidRPr="001A4A10">
              <w:rPr>
                <w:rFonts w:eastAsia="Calibri"/>
                <w:bCs/>
                <w:sz w:val="18"/>
                <w:szCs w:val="14"/>
                <w:lang w:eastAsia="sv-SE"/>
              </w:rPr>
              <w:t>5</w:t>
            </w:r>
          </w:p>
        </w:tc>
      </w:tr>
      <w:tr w:rsidR="00885855" w:rsidRPr="00A92A79" w14:paraId="0A363B46" w14:textId="77777777" w:rsidTr="0093503F">
        <w:trPr>
          <w:trHeight w:val="456"/>
          <w:jc w:val="center"/>
        </w:trPr>
        <w:tc>
          <w:tcPr>
            <w:tcW w:w="1247" w:type="pct"/>
            <w:gridSpan w:val="2"/>
            <w:tcBorders>
              <w:bottom w:val="nil"/>
            </w:tcBorders>
            <w:noWrap/>
          </w:tcPr>
          <w:p w14:paraId="5D5CF112" w14:textId="77777777" w:rsidR="00885855" w:rsidRPr="001A4A10" w:rsidRDefault="00885855" w:rsidP="0093503F">
            <w:pPr>
              <w:spacing w:line="240" w:lineRule="auto"/>
              <w:jc w:val="both"/>
              <w:rPr>
                <w:bCs/>
                <w:sz w:val="18"/>
                <w:szCs w:val="14"/>
              </w:rPr>
            </w:pPr>
            <w:r w:rsidRPr="001A4A10">
              <w:rPr>
                <w:bCs/>
                <w:sz w:val="18"/>
                <w:szCs w:val="14"/>
              </w:rPr>
              <w:t>Sumatriptan</w:t>
            </w:r>
          </w:p>
        </w:tc>
        <w:tc>
          <w:tcPr>
            <w:tcW w:w="1260" w:type="pct"/>
            <w:tcBorders>
              <w:bottom w:val="nil"/>
            </w:tcBorders>
            <w:noWrap/>
          </w:tcPr>
          <w:p w14:paraId="519916AE" w14:textId="77777777" w:rsidR="00885855" w:rsidRPr="001A4A10" w:rsidRDefault="00885855" w:rsidP="0093503F">
            <w:pPr>
              <w:spacing w:line="240" w:lineRule="auto"/>
              <w:jc w:val="center"/>
              <w:rPr>
                <w:bCs/>
                <w:color w:val="000000"/>
                <w:sz w:val="18"/>
                <w:szCs w:val="14"/>
              </w:rPr>
            </w:pPr>
            <w:r w:rsidRPr="001A4A10">
              <w:rPr>
                <w:bCs/>
                <w:sz w:val="18"/>
                <w:szCs w:val="14"/>
                <w:lang w:val="en-GB"/>
              </w:rPr>
              <w:t xml:space="preserve">296.15 </w:t>
            </w:r>
            <w:r w:rsidRPr="001A4A10">
              <w:rPr>
                <w:bCs/>
                <w:sz w:val="18"/>
                <w:szCs w:val="14"/>
                <w:lang w:val="en-GB"/>
              </w:rPr>
              <w:sym w:font="Wingdings" w:char="F0E0"/>
            </w:r>
            <w:r w:rsidRPr="001A4A10">
              <w:rPr>
                <w:bCs/>
                <w:sz w:val="18"/>
                <w:szCs w:val="14"/>
                <w:lang w:val="en-GB"/>
              </w:rPr>
              <w:t>157.1</w:t>
            </w:r>
          </w:p>
        </w:tc>
        <w:tc>
          <w:tcPr>
            <w:tcW w:w="1246" w:type="pct"/>
            <w:gridSpan w:val="2"/>
            <w:tcBorders>
              <w:bottom w:val="nil"/>
            </w:tcBorders>
            <w:noWrap/>
          </w:tcPr>
          <w:p w14:paraId="7907F490" w14:textId="77777777" w:rsidR="00885855" w:rsidRPr="001A4A10" w:rsidRDefault="00885855" w:rsidP="0093503F">
            <w:pPr>
              <w:spacing w:line="240" w:lineRule="auto"/>
              <w:jc w:val="center"/>
              <w:rPr>
                <w:bCs/>
                <w:color w:val="000000"/>
                <w:sz w:val="18"/>
                <w:szCs w:val="14"/>
              </w:rPr>
            </w:pPr>
            <w:r w:rsidRPr="001A4A10">
              <w:rPr>
                <w:bCs/>
                <w:color w:val="000000"/>
                <w:sz w:val="18"/>
                <w:szCs w:val="14"/>
              </w:rPr>
              <w:t>25</w:t>
            </w:r>
          </w:p>
        </w:tc>
        <w:tc>
          <w:tcPr>
            <w:tcW w:w="1247" w:type="pct"/>
            <w:tcBorders>
              <w:bottom w:val="nil"/>
            </w:tcBorders>
          </w:tcPr>
          <w:p w14:paraId="413E32F8" w14:textId="77777777" w:rsidR="00885855" w:rsidRPr="001A4A10" w:rsidRDefault="00885855" w:rsidP="0093503F">
            <w:pPr>
              <w:spacing w:line="240" w:lineRule="auto"/>
              <w:jc w:val="center"/>
              <w:rPr>
                <w:bCs/>
                <w:color w:val="000000"/>
                <w:sz w:val="18"/>
                <w:szCs w:val="14"/>
              </w:rPr>
            </w:pPr>
            <w:r w:rsidRPr="001A4A10">
              <w:rPr>
                <w:bCs/>
                <w:color w:val="000000"/>
                <w:sz w:val="18"/>
                <w:szCs w:val="14"/>
              </w:rPr>
              <w:t>20</w:t>
            </w:r>
          </w:p>
        </w:tc>
      </w:tr>
      <w:tr w:rsidR="00885855" w:rsidRPr="00A92A79" w14:paraId="59D2445A" w14:textId="77777777" w:rsidTr="0093503F">
        <w:trPr>
          <w:trHeight w:val="68"/>
          <w:jc w:val="center"/>
        </w:trPr>
        <w:tc>
          <w:tcPr>
            <w:tcW w:w="1247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5D8CA479" w14:textId="77777777" w:rsidR="00885855" w:rsidRPr="001A4A10" w:rsidRDefault="00885855" w:rsidP="0093503F">
            <w:pPr>
              <w:spacing w:line="240" w:lineRule="auto"/>
              <w:jc w:val="both"/>
              <w:rPr>
                <w:bCs/>
                <w:sz w:val="18"/>
                <w:szCs w:val="14"/>
              </w:rPr>
            </w:pPr>
            <w:r w:rsidRPr="001A4A10">
              <w:rPr>
                <w:bCs/>
                <w:sz w:val="18"/>
                <w:szCs w:val="14"/>
              </w:rPr>
              <w:t>Oxycodone</w:t>
            </w:r>
          </w:p>
        </w:tc>
        <w:tc>
          <w:tcPr>
            <w:tcW w:w="1260" w:type="pct"/>
            <w:tcBorders>
              <w:top w:val="nil"/>
              <w:bottom w:val="single" w:sz="4" w:space="0" w:color="auto"/>
            </w:tcBorders>
            <w:noWrap/>
          </w:tcPr>
          <w:p w14:paraId="778EB110" w14:textId="77777777" w:rsidR="00885855" w:rsidRPr="001A4A10" w:rsidRDefault="00885855" w:rsidP="0093503F">
            <w:pPr>
              <w:spacing w:line="240" w:lineRule="auto"/>
              <w:jc w:val="center"/>
              <w:rPr>
                <w:bCs/>
                <w:sz w:val="18"/>
                <w:szCs w:val="14"/>
                <w:lang w:val="en-GB"/>
              </w:rPr>
            </w:pPr>
            <w:r w:rsidRPr="001A4A10">
              <w:rPr>
                <w:bCs/>
                <w:sz w:val="18"/>
                <w:szCs w:val="14"/>
                <w:lang w:val="en-GB"/>
              </w:rPr>
              <w:t xml:space="preserve">315.2 </w:t>
            </w:r>
            <w:r w:rsidRPr="001A4A10">
              <w:rPr>
                <w:bCs/>
                <w:sz w:val="18"/>
                <w:szCs w:val="14"/>
                <w:lang w:val="en-GB"/>
              </w:rPr>
              <w:sym w:font="Wingdings" w:char="F0E0"/>
            </w:r>
            <w:r w:rsidRPr="001A4A10">
              <w:rPr>
                <w:bCs/>
                <w:sz w:val="18"/>
                <w:szCs w:val="14"/>
                <w:lang w:val="en-GB"/>
              </w:rPr>
              <w:t xml:space="preserve"> 298.1</w:t>
            </w:r>
          </w:p>
        </w:tc>
        <w:tc>
          <w:tcPr>
            <w:tcW w:w="1246" w:type="pct"/>
            <w:gridSpan w:val="2"/>
            <w:tcBorders>
              <w:top w:val="nil"/>
              <w:bottom w:val="single" w:sz="4" w:space="0" w:color="auto"/>
            </w:tcBorders>
            <w:noWrap/>
          </w:tcPr>
          <w:p w14:paraId="382B9D5D" w14:textId="77777777" w:rsidR="00885855" w:rsidRPr="001A4A10" w:rsidRDefault="00885855" w:rsidP="0093503F">
            <w:pPr>
              <w:spacing w:line="240" w:lineRule="auto"/>
              <w:jc w:val="center"/>
              <w:rPr>
                <w:bCs/>
                <w:color w:val="000000"/>
                <w:sz w:val="18"/>
                <w:szCs w:val="14"/>
              </w:rPr>
            </w:pPr>
            <w:r w:rsidRPr="001A4A10">
              <w:rPr>
                <w:bCs/>
                <w:color w:val="000000"/>
                <w:sz w:val="18"/>
                <w:szCs w:val="14"/>
              </w:rPr>
              <w:t>-</w:t>
            </w:r>
          </w:p>
        </w:tc>
        <w:tc>
          <w:tcPr>
            <w:tcW w:w="1247" w:type="pct"/>
            <w:tcBorders>
              <w:top w:val="nil"/>
              <w:bottom w:val="single" w:sz="4" w:space="0" w:color="auto"/>
            </w:tcBorders>
          </w:tcPr>
          <w:p w14:paraId="7C40B7A6" w14:textId="77777777" w:rsidR="00885855" w:rsidRPr="001A4A10" w:rsidRDefault="00885855" w:rsidP="0093503F">
            <w:pPr>
              <w:spacing w:line="240" w:lineRule="auto"/>
              <w:jc w:val="center"/>
              <w:rPr>
                <w:bCs/>
                <w:color w:val="000000"/>
                <w:sz w:val="18"/>
                <w:szCs w:val="14"/>
              </w:rPr>
            </w:pPr>
            <w:r w:rsidRPr="001A4A10">
              <w:rPr>
                <w:bCs/>
                <w:color w:val="000000"/>
                <w:sz w:val="18"/>
                <w:szCs w:val="14"/>
              </w:rPr>
              <w:t>9</w:t>
            </w:r>
          </w:p>
        </w:tc>
      </w:tr>
      <w:bookmarkEnd w:id="1"/>
    </w:tbl>
    <w:p w14:paraId="72952402" w14:textId="77777777" w:rsidR="00885855" w:rsidRDefault="00885855" w:rsidP="00885855">
      <w:pPr>
        <w:spacing w:line="480" w:lineRule="auto"/>
        <w:rPr>
          <w:lang w:val="en-US"/>
        </w:rPr>
      </w:pPr>
    </w:p>
    <w:p w14:paraId="5E934F78" w14:textId="77777777" w:rsidR="00885855" w:rsidRDefault="00885855" w:rsidP="00885855">
      <w:pPr>
        <w:spacing w:line="480" w:lineRule="auto"/>
        <w:rPr>
          <w:lang w:val="en-US"/>
        </w:rPr>
      </w:pPr>
    </w:p>
    <w:p w14:paraId="545C9A6A" w14:textId="77777777" w:rsidR="00885855" w:rsidRPr="009447C6" w:rsidRDefault="00885855" w:rsidP="00885855">
      <w:pPr>
        <w:spacing w:line="480" w:lineRule="auto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3438021" wp14:editId="3F973D97">
            <wp:extent cx="6206490" cy="4359275"/>
            <wp:effectExtent l="0" t="0" r="0" b="0"/>
            <wp:docPr id="14315128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6490" cy="435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9CBCF4" w14:textId="77777777" w:rsidR="00885855" w:rsidRDefault="00885855" w:rsidP="00885855">
      <w:pPr>
        <w:spacing w:line="480" w:lineRule="auto"/>
        <w:jc w:val="both"/>
        <w:rPr>
          <w:sz w:val="18"/>
          <w:szCs w:val="16"/>
          <w:lang w:val="en-US"/>
        </w:rPr>
      </w:pPr>
      <w:r>
        <w:rPr>
          <w:b/>
          <w:bCs/>
          <w:sz w:val="18"/>
          <w:szCs w:val="16"/>
          <w:lang w:val="en-US"/>
        </w:rPr>
        <w:t>Additional file 4. Cellular u</w:t>
      </w:r>
      <w:r w:rsidRPr="001B79DB">
        <w:rPr>
          <w:b/>
          <w:bCs/>
          <w:sz w:val="18"/>
          <w:szCs w:val="16"/>
          <w:lang w:val="en-US"/>
        </w:rPr>
        <w:t xml:space="preserve">ptake of </w:t>
      </w:r>
      <w:r>
        <w:rPr>
          <w:b/>
          <w:bCs/>
          <w:sz w:val="18"/>
          <w:szCs w:val="16"/>
          <w:lang w:val="en-US"/>
        </w:rPr>
        <w:t xml:space="preserve">the </w:t>
      </w:r>
      <w:r w:rsidRPr="001B79DB">
        <w:rPr>
          <w:b/>
          <w:bCs/>
          <w:sz w:val="18"/>
          <w:szCs w:val="16"/>
          <w:lang w:val="en-US"/>
        </w:rPr>
        <w:t>prototypical H</w:t>
      </w:r>
      <w:r w:rsidRPr="0017676C">
        <w:rPr>
          <w:b/>
          <w:bCs/>
          <w:sz w:val="18"/>
          <w:szCs w:val="16"/>
          <w:vertAlign w:val="superscript"/>
          <w:lang w:val="en-US"/>
        </w:rPr>
        <w:t>+</w:t>
      </w:r>
      <w:r w:rsidRPr="001B79DB">
        <w:rPr>
          <w:b/>
          <w:bCs/>
          <w:sz w:val="18"/>
          <w:szCs w:val="16"/>
          <w:lang w:val="en-US"/>
        </w:rPr>
        <w:t>/OC antiporter substrates</w:t>
      </w:r>
      <w:r>
        <w:rPr>
          <w:b/>
          <w:bCs/>
          <w:sz w:val="18"/>
          <w:szCs w:val="16"/>
          <w:lang w:val="en-US"/>
        </w:rPr>
        <w:t>,</w:t>
      </w:r>
      <w:r w:rsidRPr="00150292">
        <w:rPr>
          <w:rFonts w:eastAsiaTheme="minorEastAsia"/>
          <w:b/>
          <w:sz w:val="18"/>
          <w:szCs w:val="18"/>
          <w:lang w:val="en-US"/>
        </w:rPr>
        <w:t xml:space="preserve"> </w:t>
      </w:r>
      <w:r w:rsidRPr="007C3E9C">
        <w:rPr>
          <w:rFonts w:eastAsiaTheme="minorEastAsia"/>
          <w:b/>
          <w:sz w:val="18"/>
          <w:szCs w:val="18"/>
          <w:lang w:val="en-US"/>
        </w:rPr>
        <w:t>[</w:t>
      </w:r>
      <w:r w:rsidRPr="007C3E9C">
        <w:rPr>
          <w:rFonts w:eastAsiaTheme="minorEastAsia"/>
          <w:b/>
          <w:sz w:val="18"/>
          <w:szCs w:val="18"/>
          <w:vertAlign w:val="superscript"/>
          <w:lang w:val="en-US"/>
        </w:rPr>
        <w:t>3</w:t>
      </w:r>
      <w:r w:rsidRPr="007C3E9C">
        <w:rPr>
          <w:rFonts w:eastAsiaTheme="minorEastAsia"/>
          <w:b/>
          <w:sz w:val="18"/>
          <w:szCs w:val="18"/>
          <w:lang w:val="en-US"/>
        </w:rPr>
        <w:t>H</w:t>
      </w:r>
      <w:r>
        <w:rPr>
          <w:rFonts w:eastAsiaTheme="minorEastAsia"/>
          <w:b/>
          <w:sz w:val="18"/>
          <w:szCs w:val="18"/>
          <w:lang w:val="en-US"/>
        </w:rPr>
        <w:t>]-p</w:t>
      </w:r>
      <w:r w:rsidRPr="007C3E9C">
        <w:rPr>
          <w:rFonts w:eastAsiaTheme="minorEastAsia"/>
          <w:b/>
          <w:sz w:val="18"/>
          <w:szCs w:val="18"/>
          <w:lang w:val="en-US"/>
        </w:rPr>
        <w:t>yrilamine and oxycodone</w:t>
      </w:r>
      <w:r>
        <w:rPr>
          <w:b/>
          <w:bCs/>
          <w:sz w:val="18"/>
          <w:szCs w:val="16"/>
          <w:lang w:val="en-US"/>
        </w:rPr>
        <w:t>,</w:t>
      </w:r>
      <w:r w:rsidRPr="001B79DB">
        <w:rPr>
          <w:b/>
          <w:bCs/>
          <w:sz w:val="18"/>
          <w:szCs w:val="16"/>
          <w:lang w:val="en-US"/>
        </w:rPr>
        <w:t xml:space="preserve"> after </w:t>
      </w:r>
      <w:r>
        <w:rPr>
          <w:b/>
          <w:bCs/>
          <w:sz w:val="18"/>
          <w:szCs w:val="16"/>
          <w:lang w:val="en-US"/>
        </w:rPr>
        <w:t>in</w:t>
      </w:r>
      <w:r w:rsidRPr="001B79DB">
        <w:rPr>
          <w:b/>
          <w:bCs/>
          <w:sz w:val="18"/>
          <w:szCs w:val="16"/>
          <w:lang w:val="en-US"/>
        </w:rPr>
        <w:t xml:space="preserve">tra- and </w:t>
      </w:r>
      <w:r>
        <w:rPr>
          <w:b/>
          <w:bCs/>
          <w:sz w:val="18"/>
          <w:szCs w:val="16"/>
          <w:lang w:val="en-US"/>
        </w:rPr>
        <w:t>ex</w:t>
      </w:r>
      <w:r w:rsidRPr="001B79DB">
        <w:rPr>
          <w:b/>
          <w:bCs/>
          <w:sz w:val="18"/>
          <w:szCs w:val="16"/>
          <w:lang w:val="en-US"/>
        </w:rPr>
        <w:t>tracellular pH manipulation</w:t>
      </w:r>
      <w:r>
        <w:rPr>
          <w:b/>
          <w:bCs/>
          <w:sz w:val="18"/>
          <w:szCs w:val="16"/>
          <w:lang w:val="en-US"/>
        </w:rPr>
        <w:t xml:space="preserve"> in hCMEC/D3 cells. A</w:t>
      </w:r>
      <w:r w:rsidRPr="000A4B69">
        <w:rPr>
          <w:rFonts w:eastAsiaTheme="minorEastAsia"/>
          <w:b/>
          <w:bCs/>
          <w:sz w:val="18"/>
          <w:szCs w:val="18"/>
          <w:lang w:val="en-US"/>
        </w:rPr>
        <w:t>)</w:t>
      </w:r>
      <w:r>
        <w:rPr>
          <w:rFonts w:eastAsiaTheme="minorEastAsia"/>
          <w:b/>
          <w:bCs/>
          <w:sz w:val="18"/>
          <w:szCs w:val="18"/>
          <w:lang w:val="en-US"/>
        </w:rPr>
        <w:t xml:space="preserve"> </w:t>
      </w:r>
      <w:r>
        <w:rPr>
          <w:rFonts w:eastAsiaTheme="minorEastAsia"/>
          <w:sz w:val="18"/>
          <w:szCs w:val="18"/>
          <w:lang w:val="en-US"/>
        </w:rPr>
        <w:t>Effect of intracellular pH manipulation on [</w:t>
      </w:r>
      <w:r>
        <w:rPr>
          <w:rFonts w:eastAsiaTheme="minorEastAsia"/>
          <w:sz w:val="18"/>
          <w:szCs w:val="18"/>
          <w:vertAlign w:val="superscript"/>
          <w:lang w:val="en-US"/>
        </w:rPr>
        <w:t>3</w:t>
      </w:r>
      <w:r>
        <w:rPr>
          <w:rFonts w:eastAsiaTheme="minorEastAsia"/>
          <w:sz w:val="18"/>
          <w:szCs w:val="18"/>
          <w:lang w:val="en-US"/>
        </w:rPr>
        <w:t xml:space="preserve">H]-pyrilamine uptake. </w:t>
      </w:r>
      <w:r>
        <w:rPr>
          <w:sz w:val="18"/>
          <w:szCs w:val="16"/>
          <w:lang w:val="en-GB"/>
        </w:rPr>
        <w:t>Uptake of [</w:t>
      </w:r>
      <w:r>
        <w:rPr>
          <w:sz w:val="18"/>
          <w:szCs w:val="16"/>
          <w:vertAlign w:val="superscript"/>
          <w:lang w:val="en-GB"/>
        </w:rPr>
        <w:t>3</w:t>
      </w:r>
      <w:r>
        <w:rPr>
          <w:sz w:val="18"/>
          <w:szCs w:val="16"/>
          <w:lang w:val="en-GB"/>
        </w:rPr>
        <w:t>H]-pyrilamine (1µCi/mL, 48 nM) was investigated in transport buffer pH 7.4 (Control), after acute exposure to NH</w:t>
      </w:r>
      <w:r>
        <w:rPr>
          <w:sz w:val="18"/>
          <w:szCs w:val="16"/>
          <w:vertAlign w:val="subscript"/>
          <w:lang w:val="en-GB"/>
        </w:rPr>
        <w:t>4</w:t>
      </w:r>
      <w:r>
        <w:rPr>
          <w:sz w:val="18"/>
          <w:szCs w:val="16"/>
          <w:lang w:val="en-GB"/>
        </w:rPr>
        <w:t>Cl (NH</w:t>
      </w:r>
      <w:r>
        <w:rPr>
          <w:sz w:val="18"/>
          <w:szCs w:val="16"/>
          <w:vertAlign w:val="subscript"/>
          <w:lang w:val="en-GB"/>
        </w:rPr>
        <w:t>4</w:t>
      </w:r>
      <w:r>
        <w:rPr>
          <w:sz w:val="18"/>
          <w:szCs w:val="16"/>
          <w:lang w:val="en-GB"/>
        </w:rPr>
        <w:t>Cl (acute)), and after preexposure to NH</w:t>
      </w:r>
      <w:r>
        <w:rPr>
          <w:sz w:val="18"/>
          <w:szCs w:val="16"/>
          <w:vertAlign w:val="subscript"/>
          <w:lang w:val="en-GB"/>
        </w:rPr>
        <w:t>4</w:t>
      </w:r>
      <w:r>
        <w:rPr>
          <w:sz w:val="18"/>
          <w:szCs w:val="16"/>
          <w:lang w:val="en-GB"/>
        </w:rPr>
        <w:t>Cl followed by media change (NH</w:t>
      </w:r>
      <w:r>
        <w:rPr>
          <w:sz w:val="18"/>
          <w:szCs w:val="16"/>
          <w:vertAlign w:val="subscript"/>
          <w:lang w:val="en-GB"/>
        </w:rPr>
        <w:t>4</w:t>
      </w:r>
      <w:r>
        <w:rPr>
          <w:sz w:val="18"/>
          <w:szCs w:val="16"/>
          <w:lang w:val="en-GB"/>
        </w:rPr>
        <w:t xml:space="preserve">Cl (pre)). </w:t>
      </w:r>
      <w:r>
        <w:rPr>
          <w:b/>
          <w:bCs/>
          <w:sz w:val="18"/>
          <w:szCs w:val="16"/>
          <w:lang w:val="en-GB"/>
        </w:rPr>
        <w:t>B</w:t>
      </w:r>
      <w:r w:rsidRPr="000A4B69">
        <w:rPr>
          <w:rFonts w:eastAsiaTheme="minorEastAsia"/>
          <w:b/>
          <w:bCs/>
          <w:sz w:val="18"/>
          <w:szCs w:val="18"/>
          <w:lang w:val="en-US"/>
        </w:rPr>
        <w:t>)</w:t>
      </w:r>
      <w:r>
        <w:rPr>
          <w:rFonts w:eastAsiaTheme="minorEastAsia"/>
          <w:b/>
          <w:bCs/>
          <w:sz w:val="18"/>
          <w:szCs w:val="18"/>
          <w:lang w:val="en-US"/>
        </w:rPr>
        <w:t xml:space="preserve"> </w:t>
      </w:r>
      <w:r>
        <w:rPr>
          <w:rFonts w:eastAsiaTheme="minorEastAsia"/>
          <w:sz w:val="18"/>
          <w:szCs w:val="18"/>
          <w:lang w:val="en-US"/>
        </w:rPr>
        <w:t xml:space="preserve">Effect of intracellular pH manipulation on oxycodone uptake. </w:t>
      </w:r>
      <w:r>
        <w:rPr>
          <w:sz w:val="18"/>
          <w:szCs w:val="16"/>
          <w:lang w:val="en-GB"/>
        </w:rPr>
        <w:t xml:space="preserve">Uptake of </w:t>
      </w:r>
      <w:r>
        <w:rPr>
          <w:rFonts w:eastAsiaTheme="minorEastAsia"/>
          <w:sz w:val="18"/>
          <w:szCs w:val="18"/>
          <w:lang w:val="en-US"/>
        </w:rPr>
        <w:t xml:space="preserve">oxycodone </w:t>
      </w:r>
      <w:r>
        <w:rPr>
          <w:sz w:val="18"/>
          <w:szCs w:val="16"/>
          <w:lang w:val="en-GB"/>
        </w:rPr>
        <w:t>(500 µM) was investigated in transport buffer pH 7.4 (Control), after acute exposure to NH</w:t>
      </w:r>
      <w:r>
        <w:rPr>
          <w:sz w:val="18"/>
          <w:szCs w:val="16"/>
          <w:vertAlign w:val="subscript"/>
          <w:lang w:val="en-GB"/>
        </w:rPr>
        <w:t>4</w:t>
      </w:r>
      <w:r>
        <w:rPr>
          <w:sz w:val="18"/>
          <w:szCs w:val="16"/>
          <w:lang w:val="en-GB"/>
        </w:rPr>
        <w:t>Cl (NH</w:t>
      </w:r>
      <w:r>
        <w:rPr>
          <w:sz w:val="18"/>
          <w:szCs w:val="16"/>
          <w:vertAlign w:val="subscript"/>
          <w:lang w:val="en-GB"/>
        </w:rPr>
        <w:t>4</w:t>
      </w:r>
      <w:r>
        <w:rPr>
          <w:sz w:val="18"/>
          <w:szCs w:val="16"/>
          <w:lang w:val="en-GB"/>
        </w:rPr>
        <w:t>Cl (acute)), and after preexposure to NH</w:t>
      </w:r>
      <w:r>
        <w:rPr>
          <w:sz w:val="18"/>
          <w:szCs w:val="16"/>
          <w:vertAlign w:val="subscript"/>
          <w:lang w:val="en-GB"/>
        </w:rPr>
        <w:t>4</w:t>
      </w:r>
      <w:r>
        <w:rPr>
          <w:sz w:val="18"/>
          <w:szCs w:val="16"/>
          <w:lang w:val="en-GB"/>
        </w:rPr>
        <w:t>Cl followed by media change (NH</w:t>
      </w:r>
      <w:r>
        <w:rPr>
          <w:sz w:val="18"/>
          <w:szCs w:val="16"/>
          <w:vertAlign w:val="subscript"/>
          <w:lang w:val="en-GB"/>
        </w:rPr>
        <w:t>4</w:t>
      </w:r>
      <w:r>
        <w:rPr>
          <w:sz w:val="18"/>
          <w:szCs w:val="16"/>
          <w:lang w:val="en-GB"/>
        </w:rPr>
        <w:t xml:space="preserve">Cl (pre)). </w:t>
      </w:r>
      <w:r>
        <w:rPr>
          <w:rFonts w:eastAsiaTheme="minorEastAsia"/>
          <w:b/>
          <w:bCs/>
          <w:sz w:val="18"/>
          <w:szCs w:val="18"/>
          <w:lang w:val="en-US"/>
        </w:rPr>
        <w:t>C)</w:t>
      </w:r>
      <w:r>
        <w:rPr>
          <w:rFonts w:eastAsiaTheme="minorEastAsia"/>
          <w:sz w:val="18"/>
          <w:szCs w:val="18"/>
          <w:lang w:val="en-US"/>
        </w:rPr>
        <w:t xml:space="preserve"> Effect on extracellular pH manipulation on [</w:t>
      </w:r>
      <w:r>
        <w:rPr>
          <w:rFonts w:eastAsiaTheme="minorEastAsia"/>
          <w:sz w:val="18"/>
          <w:szCs w:val="18"/>
          <w:vertAlign w:val="superscript"/>
          <w:lang w:val="en-US"/>
        </w:rPr>
        <w:t>3</w:t>
      </w:r>
      <w:r>
        <w:rPr>
          <w:rFonts w:eastAsiaTheme="minorEastAsia"/>
          <w:sz w:val="18"/>
          <w:szCs w:val="18"/>
          <w:lang w:val="en-US"/>
        </w:rPr>
        <w:t xml:space="preserve">H]-pyrilamine uptake. </w:t>
      </w:r>
      <w:r>
        <w:rPr>
          <w:sz w:val="18"/>
          <w:szCs w:val="16"/>
          <w:lang w:val="en-GB"/>
        </w:rPr>
        <w:t>Uptake of [</w:t>
      </w:r>
      <w:r>
        <w:rPr>
          <w:sz w:val="18"/>
          <w:szCs w:val="16"/>
          <w:vertAlign w:val="superscript"/>
          <w:lang w:val="en-GB"/>
        </w:rPr>
        <w:t>3</w:t>
      </w:r>
      <w:r>
        <w:rPr>
          <w:sz w:val="18"/>
          <w:szCs w:val="16"/>
          <w:lang w:val="en-GB"/>
        </w:rPr>
        <w:t xml:space="preserve">H]-pyrilamine (1µCi/mL, </w:t>
      </w:r>
      <w:r>
        <w:rPr>
          <w:sz w:val="18"/>
          <w:szCs w:val="16"/>
          <w:lang w:val="en-GB"/>
        </w:rPr>
        <w:lastRenderedPageBreak/>
        <w:t xml:space="preserve">48 nM) was investigated in transport buffer with pH 7.4 (Control), pH 6.8 and pH 8.2 </w:t>
      </w:r>
      <w:r>
        <w:rPr>
          <w:rFonts w:eastAsiaTheme="minorEastAsia"/>
          <w:b/>
          <w:bCs/>
          <w:sz w:val="18"/>
          <w:szCs w:val="18"/>
          <w:lang w:val="en-US"/>
        </w:rPr>
        <w:t>D)</w:t>
      </w:r>
      <w:r>
        <w:rPr>
          <w:rFonts w:eastAsiaTheme="minorEastAsia"/>
          <w:sz w:val="18"/>
          <w:szCs w:val="18"/>
          <w:lang w:val="en-US"/>
        </w:rPr>
        <w:t xml:space="preserve"> Effect on extracellular pH manipulation on oxycodone uptake. </w:t>
      </w:r>
      <w:r>
        <w:rPr>
          <w:sz w:val="18"/>
          <w:szCs w:val="16"/>
          <w:lang w:val="en-GB"/>
        </w:rPr>
        <w:t xml:space="preserve">Uptake of </w:t>
      </w:r>
      <w:r>
        <w:rPr>
          <w:rFonts w:eastAsiaTheme="minorEastAsia"/>
          <w:sz w:val="18"/>
          <w:szCs w:val="18"/>
          <w:lang w:val="en-US"/>
        </w:rPr>
        <w:t xml:space="preserve">oxycodone </w:t>
      </w:r>
      <w:r>
        <w:rPr>
          <w:sz w:val="18"/>
          <w:szCs w:val="16"/>
          <w:lang w:val="en-GB"/>
        </w:rPr>
        <w:t>(500 µM) was investigated in transport buffer with pH 7.4 (Control), pH 6.8 and pH 8.2. Each column represents</w:t>
      </w:r>
      <w:r w:rsidRPr="00FB4053">
        <w:rPr>
          <w:sz w:val="18"/>
          <w:szCs w:val="16"/>
          <w:lang w:val="en-GB"/>
        </w:rPr>
        <w:t xml:space="preserve"> </w:t>
      </w:r>
      <w:r w:rsidRPr="007A423C">
        <w:rPr>
          <w:i/>
          <w:iCs/>
          <w:sz w:val="18"/>
          <w:szCs w:val="16"/>
          <w:lang w:val="en-GB"/>
        </w:rPr>
        <w:t xml:space="preserve">mean </w:t>
      </w:r>
      <w:r w:rsidRPr="007A423C">
        <w:rPr>
          <w:rFonts w:cs="Times New Roman"/>
          <w:i/>
          <w:iCs/>
          <w:sz w:val="18"/>
          <w:szCs w:val="16"/>
          <w:lang w:val="en-GB"/>
        </w:rPr>
        <w:t>± SD</w:t>
      </w:r>
      <w:r>
        <w:rPr>
          <w:rFonts w:eastAsiaTheme="minorEastAsia"/>
          <w:sz w:val="18"/>
          <w:szCs w:val="16"/>
          <w:lang w:val="en-GB"/>
        </w:rPr>
        <w:t xml:space="preserve"> </w:t>
      </w:r>
      <w:r>
        <w:rPr>
          <w:sz w:val="18"/>
          <w:szCs w:val="16"/>
          <w:lang w:val="en-GB"/>
        </w:rPr>
        <w:t>(</w:t>
      </w:r>
      <w:r w:rsidRPr="001706AA">
        <w:rPr>
          <w:i/>
          <w:iCs/>
          <w:sz w:val="18"/>
          <w:szCs w:val="16"/>
          <w:lang w:val="en-GB"/>
        </w:rPr>
        <w:t>n</w:t>
      </w:r>
      <w:r>
        <w:rPr>
          <w:sz w:val="18"/>
          <w:szCs w:val="16"/>
          <w:lang w:val="en-GB"/>
        </w:rPr>
        <w:t xml:space="preserve"> =</w:t>
      </w:r>
      <w:r>
        <w:rPr>
          <w:rFonts w:eastAsiaTheme="minorEastAsia"/>
          <w:iCs/>
          <w:sz w:val="18"/>
          <w:szCs w:val="16"/>
          <w:lang w:val="en-GB"/>
        </w:rPr>
        <w:t xml:space="preserve"> 3</w:t>
      </w:r>
      <w:r>
        <w:rPr>
          <w:i/>
          <w:iCs/>
          <w:sz w:val="18"/>
          <w:szCs w:val="16"/>
          <w:lang w:val="en-GB"/>
        </w:rPr>
        <w:t>, N</w:t>
      </w:r>
      <w:r w:rsidRPr="001706AA">
        <w:rPr>
          <w:i/>
          <w:iCs/>
          <w:sz w:val="18"/>
          <w:szCs w:val="16"/>
          <w:vertAlign w:val="subscript"/>
          <w:lang w:val="en-GB"/>
        </w:rPr>
        <w:t>total</w:t>
      </w:r>
      <w:r w:rsidRPr="001706AA">
        <w:rPr>
          <w:sz w:val="18"/>
          <w:szCs w:val="16"/>
          <w:lang w:val="en-GB"/>
        </w:rPr>
        <w:t xml:space="preserve"> = </w:t>
      </w:r>
      <w:r>
        <w:rPr>
          <w:rFonts w:eastAsiaTheme="minorEastAsia"/>
          <w:iCs/>
          <w:sz w:val="18"/>
          <w:szCs w:val="16"/>
          <w:lang w:val="en-GB"/>
        </w:rPr>
        <w:t>9</w:t>
      </w:r>
      <w:r>
        <w:rPr>
          <w:sz w:val="18"/>
          <w:szCs w:val="16"/>
          <w:lang w:val="en-GB"/>
        </w:rPr>
        <w:t>).</w:t>
      </w:r>
      <w:r>
        <w:rPr>
          <w:rFonts w:eastAsiaTheme="minorEastAsia"/>
          <w:sz w:val="18"/>
          <w:szCs w:val="18"/>
          <w:lang w:val="en-GB"/>
        </w:rPr>
        <w:t xml:space="preserve"> </w:t>
      </w:r>
      <w:r>
        <w:rPr>
          <w:sz w:val="18"/>
          <w:szCs w:val="16"/>
          <w:lang w:val="en-US"/>
        </w:rPr>
        <w:t xml:space="preserve">Data were analyzed using a one-way ANOVA followed by a Tukey’s multiple comparison test. **:P≤0.01. ***: P≤0.001. ****: P≤0.0001. </w:t>
      </w:r>
    </w:p>
    <w:p w14:paraId="3B09E4C9" w14:textId="77777777" w:rsidR="00885855" w:rsidRDefault="00885855" w:rsidP="00885855">
      <w:pPr>
        <w:spacing w:line="480" w:lineRule="auto"/>
        <w:jc w:val="both"/>
        <w:rPr>
          <w:sz w:val="18"/>
          <w:szCs w:val="16"/>
          <w:lang w:val="en-US"/>
        </w:rPr>
      </w:pPr>
    </w:p>
    <w:p w14:paraId="059ACE83" w14:textId="77777777" w:rsidR="00885855" w:rsidRPr="00D86C91" w:rsidRDefault="00885855" w:rsidP="00885855">
      <w:pPr>
        <w:spacing w:line="480" w:lineRule="auto"/>
        <w:rPr>
          <w:lang w:val="en-US"/>
        </w:rPr>
      </w:pPr>
      <w:r w:rsidRPr="00D86C91">
        <w:rPr>
          <w:noProof/>
          <w:lang w:val="en-US"/>
        </w:rPr>
        <w:drawing>
          <wp:inline distT="0" distB="0" distL="0" distR="0" wp14:anchorId="2822AE43" wp14:editId="5584031A">
            <wp:extent cx="6170291" cy="4074251"/>
            <wp:effectExtent l="0" t="0" r="0" b="0"/>
            <wp:docPr id="14" name="Picture 14" descr="A close-up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close-up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3859" cy="40766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F122C0" w14:textId="77777777" w:rsidR="00885855" w:rsidRPr="00163351" w:rsidRDefault="00885855" w:rsidP="00885855">
      <w:pPr>
        <w:spacing w:line="480" w:lineRule="auto"/>
        <w:jc w:val="both"/>
        <w:rPr>
          <w:sz w:val="18"/>
          <w:szCs w:val="16"/>
          <w:lang w:val="en-US"/>
        </w:rPr>
      </w:pPr>
      <w:r w:rsidRPr="00D86C91">
        <w:rPr>
          <w:b/>
          <w:bCs/>
          <w:sz w:val="18"/>
          <w:szCs w:val="16"/>
          <w:lang w:val="en-US"/>
        </w:rPr>
        <w:t xml:space="preserve">Additional file </w:t>
      </w:r>
      <w:r>
        <w:rPr>
          <w:b/>
          <w:bCs/>
          <w:sz w:val="18"/>
          <w:szCs w:val="16"/>
          <w:lang w:val="en-US"/>
        </w:rPr>
        <w:t>5</w:t>
      </w:r>
      <w:r w:rsidRPr="00D86C91">
        <w:rPr>
          <w:b/>
          <w:bCs/>
          <w:sz w:val="18"/>
          <w:szCs w:val="16"/>
          <w:lang w:val="en-US"/>
        </w:rPr>
        <w:t xml:space="preserve">. Intracellular pH measurements using BCECF-AM probe. A) </w:t>
      </w:r>
      <w:r w:rsidRPr="00D86C91">
        <w:rPr>
          <w:sz w:val="18"/>
          <w:szCs w:val="16"/>
          <w:lang w:val="en-US"/>
        </w:rPr>
        <w:t>Schematic illustration of BCECF-AM as pH indicator. The cell permeable BCECF-</w:t>
      </w:r>
      <w:r>
        <w:rPr>
          <w:sz w:val="18"/>
          <w:szCs w:val="16"/>
          <w:lang w:val="en-US"/>
        </w:rPr>
        <w:t xml:space="preserve">AM enters the cells, where BCECF-AM will undergo hydrolysis to the impermeable BCECF. Fluorescence signal at excitation wavelength of 480 and an emission wavelength of 520 (Ex480/Em520) depends on intracellular pH. An increase in intracellular pH will increase the fluorescent signal, whereas a decrease in intracellular pH will reduce the fluorescent signal. </w:t>
      </w:r>
      <w:r w:rsidRPr="00163351">
        <w:rPr>
          <w:b/>
          <w:bCs/>
          <w:sz w:val="18"/>
          <w:szCs w:val="16"/>
          <w:lang w:val="en-US"/>
        </w:rPr>
        <w:t>B)</w:t>
      </w:r>
      <w:r>
        <w:rPr>
          <w:b/>
          <w:bCs/>
          <w:sz w:val="18"/>
          <w:szCs w:val="16"/>
          <w:lang w:val="en-US"/>
        </w:rPr>
        <w:t xml:space="preserve"> </w:t>
      </w:r>
      <w:r>
        <w:rPr>
          <w:sz w:val="18"/>
          <w:szCs w:val="16"/>
          <w:lang w:val="en-US"/>
        </w:rPr>
        <w:t xml:space="preserve">Fluorescent microscopy of BCECF-AM loaded hCMEC/D3 cells. The BCECF-AM dye was loaded in concentrations of 0, 0.5, 1, and 5 </w:t>
      </w:r>
      <w:r>
        <w:rPr>
          <w:rFonts w:cs="Times New Roman"/>
          <w:sz w:val="18"/>
          <w:szCs w:val="16"/>
          <w:lang w:val="en-US"/>
        </w:rPr>
        <w:t>µ</w:t>
      </w:r>
      <w:r>
        <w:rPr>
          <w:sz w:val="18"/>
          <w:szCs w:val="16"/>
          <w:lang w:val="en-US"/>
        </w:rPr>
        <w:t xml:space="preserve">M. Scale bar represents 100 </w:t>
      </w:r>
      <w:r>
        <w:rPr>
          <w:rFonts w:cs="Times New Roman"/>
          <w:sz w:val="18"/>
          <w:szCs w:val="16"/>
          <w:lang w:val="en-US"/>
        </w:rPr>
        <w:t>µ</w:t>
      </w:r>
      <w:r>
        <w:rPr>
          <w:sz w:val="18"/>
          <w:szCs w:val="16"/>
          <w:lang w:val="en-US"/>
        </w:rPr>
        <w:t>m. (</w:t>
      </w:r>
      <w:r w:rsidRPr="00AA3FF3">
        <w:rPr>
          <w:i/>
          <w:iCs/>
          <w:sz w:val="18"/>
          <w:szCs w:val="16"/>
          <w:lang w:val="en-US"/>
        </w:rPr>
        <w:t>n</w:t>
      </w:r>
      <w:r>
        <w:rPr>
          <w:sz w:val="18"/>
          <w:szCs w:val="16"/>
          <w:lang w:val="en-US"/>
        </w:rPr>
        <w:t xml:space="preserve"> = 1) </w:t>
      </w:r>
      <w:r w:rsidRPr="00B62872">
        <w:rPr>
          <w:b/>
          <w:bCs/>
          <w:sz w:val="18"/>
          <w:szCs w:val="16"/>
          <w:lang w:val="en-US"/>
        </w:rPr>
        <w:t>C</w:t>
      </w:r>
      <w:r>
        <w:rPr>
          <w:b/>
          <w:bCs/>
          <w:sz w:val="18"/>
          <w:szCs w:val="16"/>
          <w:lang w:val="en-US"/>
        </w:rPr>
        <w:t>-D</w:t>
      </w:r>
      <w:r w:rsidRPr="00B62872">
        <w:rPr>
          <w:b/>
          <w:bCs/>
          <w:sz w:val="18"/>
          <w:szCs w:val="16"/>
          <w:lang w:val="en-US"/>
        </w:rPr>
        <w:t>)</w:t>
      </w:r>
      <w:r>
        <w:rPr>
          <w:sz w:val="18"/>
          <w:szCs w:val="16"/>
          <w:lang w:val="en-US"/>
        </w:rPr>
        <w:t xml:space="preserve"> Changes in intracellular pH were measured over time in BCECF-AM- loaded hCMEC/D3 cells (5 </w:t>
      </w:r>
      <w:r>
        <w:rPr>
          <w:rFonts w:cs="Times New Roman"/>
          <w:sz w:val="18"/>
          <w:szCs w:val="16"/>
          <w:lang w:val="en-US"/>
        </w:rPr>
        <w:t>µ</w:t>
      </w:r>
      <w:r>
        <w:rPr>
          <w:sz w:val="18"/>
          <w:szCs w:val="16"/>
          <w:lang w:val="en-US"/>
        </w:rPr>
        <w:t xml:space="preserve">M) after </w:t>
      </w:r>
      <w:r w:rsidRPr="00061E13">
        <w:rPr>
          <w:b/>
          <w:bCs/>
          <w:sz w:val="18"/>
          <w:szCs w:val="16"/>
          <w:lang w:val="en-US"/>
        </w:rPr>
        <w:t>C)</w:t>
      </w:r>
      <w:r>
        <w:rPr>
          <w:sz w:val="18"/>
          <w:szCs w:val="16"/>
          <w:lang w:val="en-US"/>
        </w:rPr>
        <w:t xml:space="preserve"> acute administration of 30 mM NH</w:t>
      </w:r>
      <w:r w:rsidRPr="00B62872">
        <w:rPr>
          <w:sz w:val="18"/>
          <w:szCs w:val="16"/>
          <w:vertAlign w:val="subscript"/>
          <w:lang w:val="en-US"/>
        </w:rPr>
        <w:t>4</w:t>
      </w:r>
      <w:r>
        <w:rPr>
          <w:sz w:val="18"/>
          <w:szCs w:val="16"/>
          <w:lang w:val="en-US"/>
        </w:rPr>
        <w:t>Cl. 30 mM NH</w:t>
      </w:r>
      <w:r w:rsidRPr="00B62872">
        <w:rPr>
          <w:sz w:val="18"/>
          <w:szCs w:val="16"/>
          <w:vertAlign w:val="subscript"/>
          <w:lang w:val="en-US"/>
        </w:rPr>
        <w:t>4</w:t>
      </w:r>
      <w:r>
        <w:rPr>
          <w:sz w:val="18"/>
          <w:szCs w:val="16"/>
          <w:lang w:val="en-US"/>
        </w:rPr>
        <w:t xml:space="preserve">Cl was added automatically after 15 seconds baseline measurements or </w:t>
      </w:r>
      <w:r w:rsidRPr="00430357">
        <w:rPr>
          <w:b/>
          <w:bCs/>
          <w:sz w:val="18"/>
          <w:szCs w:val="16"/>
          <w:lang w:val="en-US"/>
        </w:rPr>
        <w:t>D)</w:t>
      </w:r>
      <w:r>
        <w:rPr>
          <w:b/>
          <w:bCs/>
          <w:sz w:val="18"/>
          <w:szCs w:val="16"/>
          <w:lang w:val="en-US"/>
        </w:rPr>
        <w:t xml:space="preserve"> </w:t>
      </w:r>
      <w:r w:rsidRPr="00061E13">
        <w:rPr>
          <w:sz w:val="18"/>
          <w:szCs w:val="16"/>
          <w:lang w:val="en-US"/>
        </w:rPr>
        <w:t>preincubation with NH</w:t>
      </w:r>
      <w:r w:rsidRPr="00061E13">
        <w:rPr>
          <w:sz w:val="18"/>
          <w:szCs w:val="16"/>
          <w:vertAlign w:val="subscript"/>
          <w:lang w:val="en-US"/>
        </w:rPr>
        <w:t>4</w:t>
      </w:r>
      <w:r w:rsidRPr="00061E13">
        <w:rPr>
          <w:sz w:val="18"/>
          <w:szCs w:val="16"/>
          <w:lang w:val="en-US"/>
        </w:rPr>
        <w:t>Cl in 30-60</w:t>
      </w:r>
      <w:r>
        <w:rPr>
          <w:sz w:val="18"/>
          <w:szCs w:val="16"/>
          <w:lang w:val="en-US"/>
        </w:rPr>
        <w:t xml:space="preserve"> minutes followed by manual buffer change to hHBSS(-) without NH</w:t>
      </w:r>
      <w:r w:rsidRPr="00C67FF9">
        <w:rPr>
          <w:sz w:val="18"/>
          <w:szCs w:val="16"/>
          <w:vertAlign w:val="subscript"/>
          <w:lang w:val="en-US"/>
        </w:rPr>
        <w:t>4</w:t>
      </w:r>
      <w:r>
        <w:rPr>
          <w:sz w:val="18"/>
          <w:szCs w:val="16"/>
          <w:lang w:val="en-US"/>
        </w:rPr>
        <w:t xml:space="preserve">Cl. No buffer change control represents the baseline. </w:t>
      </w:r>
      <w:r>
        <w:rPr>
          <w:sz w:val="18"/>
          <w:szCs w:val="16"/>
          <w:lang w:val="en-GB"/>
        </w:rPr>
        <w:t>(</w:t>
      </w:r>
      <w:r w:rsidRPr="001706AA">
        <w:rPr>
          <w:i/>
          <w:iCs/>
          <w:sz w:val="18"/>
          <w:szCs w:val="16"/>
          <w:lang w:val="en-GB"/>
        </w:rPr>
        <w:t>n</w:t>
      </w:r>
      <w:r>
        <w:rPr>
          <w:sz w:val="18"/>
          <w:szCs w:val="16"/>
          <w:lang w:val="en-GB"/>
        </w:rPr>
        <w:t xml:space="preserve"> =</w:t>
      </w:r>
      <w:r>
        <w:rPr>
          <w:rFonts w:eastAsiaTheme="minorEastAsia"/>
          <w:iCs/>
          <w:sz w:val="18"/>
          <w:szCs w:val="16"/>
          <w:lang w:val="en-GB"/>
        </w:rPr>
        <w:t xml:space="preserve"> 3</w:t>
      </w:r>
      <w:r>
        <w:rPr>
          <w:i/>
          <w:iCs/>
          <w:sz w:val="18"/>
          <w:szCs w:val="16"/>
          <w:lang w:val="en-GB"/>
        </w:rPr>
        <w:t>, N</w:t>
      </w:r>
      <w:r w:rsidRPr="001706AA">
        <w:rPr>
          <w:i/>
          <w:iCs/>
          <w:sz w:val="18"/>
          <w:szCs w:val="16"/>
          <w:vertAlign w:val="subscript"/>
          <w:lang w:val="en-GB"/>
        </w:rPr>
        <w:t>total</w:t>
      </w:r>
      <w:r w:rsidRPr="001706AA">
        <w:rPr>
          <w:sz w:val="18"/>
          <w:szCs w:val="16"/>
          <w:lang w:val="en-GB"/>
        </w:rPr>
        <w:t xml:space="preserve"> = </w:t>
      </w:r>
      <w:r>
        <w:rPr>
          <w:rFonts w:eastAsiaTheme="minorEastAsia"/>
          <w:iCs/>
          <w:sz w:val="18"/>
          <w:szCs w:val="16"/>
          <w:lang w:val="en-GB"/>
        </w:rPr>
        <w:t>9</w:t>
      </w:r>
      <w:r>
        <w:rPr>
          <w:sz w:val="18"/>
          <w:szCs w:val="16"/>
          <w:lang w:val="en-GB"/>
        </w:rPr>
        <w:t xml:space="preserve">). </w:t>
      </w:r>
      <w:r w:rsidRPr="006452E8">
        <w:rPr>
          <w:rFonts w:cs="Times New Roman"/>
          <w:sz w:val="18"/>
          <w:szCs w:val="18"/>
          <w:lang w:val="en-US"/>
        </w:rPr>
        <w:t xml:space="preserve">Each data point represents </w:t>
      </w:r>
      <w:r w:rsidRPr="00FB4053">
        <w:rPr>
          <w:rFonts w:cs="Times New Roman"/>
          <w:i/>
          <w:iCs/>
          <w:sz w:val="18"/>
          <w:szCs w:val="18"/>
          <w:lang w:val="en-US"/>
        </w:rPr>
        <w:t>mean ± SD.</w:t>
      </w:r>
      <w:r w:rsidRPr="006452E8">
        <w:rPr>
          <w:rFonts w:cs="Times New Roman"/>
          <w:sz w:val="18"/>
          <w:szCs w:val="18"/>
          <w:lang w:val="en-US"/>
        </w:rPr>
        <w:t xml:space="preserve"> </w:t>
      </w:r>
    </w:p>
    <w:p w14:paraId="23CEEB34" w14:textId="77777777" w:rsidR="00885855" w:rsidRPr="00BB2257" w:rsidRDefault="00885855" w:rsidP="00885855">
      <w:pPr>
        <w:spacing w:line="480" w:lineRule="auto"/>
        <w:rPr>
          <w:lang w:val="en-US"/>
        </w:rPr>
      </w:pPr>
    </w:p>
    <w:p w14:paraId="5422005B" w14:textId="77777777" w:rsidR="00885855" w:rsidRDefault="00885855" w:rsidP="00885855">
      <w:pPr>
        <w:spacing w:line="480" w:lineRule="auto"/>
        <w:jc w:val="both"/>
        <w:rPr>
          <w:sz w:val="18"/>
          <w:szCs w:val="16"/>
          <w:lang w:val="en-GB"/>
        </w:rPr>
      </w:pPr>
    </w:p>
    <w:p w14:paraId="3774946D" w14:textId="77777777" w:rsidR="00885855" w:rsidRDefault="00885855" w:rsidP="00885855">
      <w:pPr>
        <w:spacing w:line="480" w:lineRule="auto"/>
        <w:jc w:val="both"/>
        <w:rPr>
          <w:sz w:val="18"/>
          <w:szCs w:val="16"/>
          <w:lang w:val="en-GB"/>
        </w:rPr>
      </w:pPr>
      <w:r w:rsidRPr="00FB4053">
        <w:rPr>
          <w:noProof/>
          <w:lang w:val="en-US"/>
        </w:rPr>
        <w:drawing>
          <wp:inline distT="0" distB="0" distL="0" distR="0" wp14:anchorId="4477D037" wp14:editId="437BAAAB">
            <wp:extent cx="4057650" cy="2009775"/>
            <wp:effectExtent l="0" t="0" r="0" b="0"/>
            <wp:docPr id="2335146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EEC9F" w14:textId="77777777" w:rsidR="00885855" w:rsidRDefault="00885855" w:rsidP="00885855">
      <w:pPr>
        <w:spacing w:line="480" w:lineRule="auto"/>
        <w:jc w:val="both"/>
        <w:rPr>
          <w:sz w:val="18"/>
          <w:szCs w:val="16"/>
          <w:lang w:val="en-GB"/>
        </w:rPr>
      </w:pPr>
      <w:r w:rsidRPr="00FB4053">
        <w:rPr>
          <w:b/>
          <w:bCs/>
          <w:sz w:val="18"/>
          <w:szCs w:val="16"/>
          <w:lang w:val="en-GB"/>
        </w:rPr>
        <w:t>Additional file 6. Flux curves of eletriptan across IPEC-J2 MDR1 monolayers.</w:t>
      </w:r>
      <w:r>
        <w:rPr>
          <w:sz w:val="18"/>
          <w:szCs w:val="16"/>
          <w:lang w:val="en-GB"/>
        </w:rPr>
        <w:t xml:space="preserve"> The accumulated amounts of eletriptan (50 </w:t>
      </w:r>
      <w:r>
        <w:rPr>
          <w:rFonts w:cs="Times New Roman"/>
          <w:sz w:val="18"/>
          <w:szCs w:val="16"/>
          <w:lang w:val="en-GB"/>
        </w:rPr>
        <w:t>µ</w:t>
      </w:r>
      <w:r>
        <w:rPr>
          <w:sz w:val="18"/>
          <w:szCs w:val="16"/>
          <w:lang w:val="en-GB"/>
        </w:rPr>
        <w:t xml:space="preserve">M) in the absence or presence of ZSQ (2 </w:t>
      </w:r>
      <w:r>
        <w:rPr>
          <w:rFonts w:cs="Times New Roman"/>
          <w:sz w:val="18"/>
          <w:szCs w:val="16"/>
          <w:lang w:val="en-GB"/>
        </w:rPr>
        <w:t>µ</w:t>
      </w:r>
      <w:r>
        <w:rPr>
          <w:sz w:val="18"/>
          <w:szCs w:val="16"/>
          <w:lang w:val="en-GB"/>
        </w:rPr>
        <w:t xml:space="preserve">M) </w:t>
      </w:r>
      <w:r w:rsidRPr="006452E8">
        <w:rPr>
          <w:rFonts w:cs="Times New Roman"/>
          <w:sz w:val="18"/>
          <w:szCs w:val="18"/>
          <w:lang w:val="en-US"/>
        </w:rPr>
        <w:t xml:space="preserve">in the receiver chamber </w:t>
      </w:r>
      <w:r>
        <w:rPr>
          <w:sz w:val="18"/>
          <w:szCs w:val="16"/>
          <w:lang w:val="en-GB"/>
        </w:rPr>
        <w:t>from apical to basolateral compartment (A-B) or basolateral to apical compartment (B-A). Each data point represents</w:t>
      </w:r>
      <w:r w:rsidRPr="00BB2257">
        <w:rPr>
          <w:sz w:val="18"/>
          <w:szCs w:val="16"/>
          <w:lang w:val="en-GB"/>
        </w:rPr>
        <w:t xml:space="preserve"> </w:t>
      </w:r>
      <w:r w:rsidRPr="00FB4053">
        <w:rPr>
          <w:rFonts w:cs="Times New Roman"/>
          <w:i/>
          <w:iCs/>
          <w:sz w:val="18"/>
          <w:szCs w:val="18"/>
          <w:lang w:val="en-US"/>
        </w:rPr>
        <w:t>mean ± SD</w:t>
      </w:r>
      <w:r>
        <w:rPr>
          <w:rFonts w:cs="Times New Roman"/>
          <w:i/>
          <w:iCs/>
          <w:sz w:val="18"/>
          <w:szCs w:val="18"/>
          <w:lang w:val="en-US"/>
        </w:rPr>
        <w:t xml:space="preserve"> </w:t>
      </w:r>
      <w:r>
        <w:rPr>
          <w:sz w:val="18"/>
          <w:szCs w:val="16"/>
          <w:lang w:val="en-GB"/>
        </w:rPr>
        <w:t>(</w:t>
      </w:r>
      <w:r w:rsidRPr="001706AA">
        <w:rPr>
          <w:i/>
          <w:iCs/>
          <w:sz w:val="18"/>
          <w:szCs w:val="16"/>
          <w:lang w:val="en-GB"/>
        </w:rPr>
        <w:t>n</w:t>
      </w:r>
      <w:r>
        <w:rPr>
          <w:sz w:val="18"/>
          <w:szCs w:val="16"/>
          <w:lang w:val="en-GB"/>
        </w:rPr>
        <w:t xml:space="preserve"> =</w:t>
      </w:r>
      <w:r>
        <w:rPr>
          <w:rFonts w:eastAsiaTheme="minorEastAsia"/>
          <w:iCs/>
          <w:sz w:val="18"/>
          <w:szCs w:val="16"/>
          <w:lang w:val="en-GB"/>
        </w:rPr>
        <w:t xml:space="preserve"> 3</w:t>
      </w:r>
      <w:r>
        <w:rPr>
          <w:i/>
          <w:iCs/>
          <w:sz w:val="18"/>
          <w:szCs w:val="16"/>
          <w:lang w:val="en-GB"/>
        </w:rPr>
        <w:t>, N</w:t>
      </w:r>
      <w:r w:rsidRPr="001706AA">
        <w:rPr>
          <w:i/>
          <w:iCs/>
          <w:sz w:val="18"/>
          <w:szCs w:val="16"/>
          <w:vertAlign w:val="subscript"/>
          <w:lang w:val="en-GB"/>
        </w:rPr>
        <w:t>total</w:t>
      </w:r>
      <w:r w:rsidRPr="001706AA">
        <w:rPr>
          <w:sz w:val="18"/>
          <w:szCs w:val="16"/>
          <w:lang w:val="en-GB"/>
        </w:rPr>
        <w:t xml:space="preserve"> = </w:t>
      </w:r>
      <w:r>
        <w:rPr>
          <w:rFonts w:eastAsiaTheme="minorEastAsia"/>
          <w:iCs/>
          <w:sz w:val="18"/>
          <w:szCs w:val="16"/>
          <w:lang w:val="en-GB"/>
        </w:rPr>
        <w:t>9</w:t>
      </w:r>
      <w:r>
        <w:rPr>
          <w:sz w:val="18"/>
          <w:szCs w:val="16"/>
          <w:lang w:val="en-GB"/>
        </w:rPr>
        <w:t>)</w:t>
      </w:r>
      <w:r w:rsidRPr="00BB2257">
        <w:rPr>
          <w:sz w:val="18"/>
          <w:szCs w:val="16"/>
          <w:lang w:val="en-GB"/>
        </w:rPr>
        <w:t xml:space="preserve">. </w:t>
      </w:r>
    </w:p>
    <w:p w14:paraId="50784D21" w14:textId="77777777" w:rsidR="00885855" w:rsidRPr="00214E97" w:rsidRDefault="00885855" w:rsidP="00885855">
      <w:pPr>
        <w:spacing w:line="480" w:lineRule="auto"/>
        <w:jc w:val="both"/>
        <w:rPr>
          <w:sz w:val="18"/>
          <w:szCs w:val="16"/>
          <w:lang w:val="en-GB"/>
        </w:rPr>
      </w:pPr>
    </w:p>
    <w:p w14:paraId="3233BBC3" w14:textId="77777777" w:rsidR="00885855" w:rsidRDefault="00885855" w:rsidP="00885855">
      <w:pPr>
        <w:spacing w:line="480" w:lineRule="auto"/>
        <w:jc w:val="center"/>
        <w:rPr>
          <w:rFonts w:cs="Times New Roman"/>
          <w:lang w:val="en-US"/>
        </w:rPr>
      </w:pPr>
      <w:r w:rsidRPr="00336488">
        <w:rPr>
          <w:noProof/>
          <w:lang w:val="en-US"/>
        </w:rPr>
        <w:drawing>
          <wp:inline distT="0" distB="0" distL="0" distR="0" wp14:anchorId="7A4F300B" wp14:editId="4AF3129A">
            <wp:extent cx="4743350" cy="230195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471" cy="231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6FA57" w14:textId="77777777" w:rsidR="00885855" w:rsidRPr="00E46BCA" w:rsidRDefault="00885855" w:rsidP="00885855">
      <w:pPr>
        <w:spacing w:line="480" w:lineRule="auto"/>
        <w:jc w:val="both"/>
        <w:rPr>
          <w:sz w:val="18"/>
          <w:szCs w:val="16"/>
          <w:lang w:val="en-US"/>
        </w:rPr>
      </w:pPr>
      <w:r w:rsidRPr="00257C6A">
        <w:rPr>
          <w:b/>
          <w:bCs/>
          <w:sz w:val="18"/>
          <w:szCs w:val="18"/>
          <w:lang w:val="en-US"/>
        </w:rPr>
        <w:t xml:space="preserve">Additional file </w:t>
      </w:r>
      <w:r>
        <w:rPr>
          <w:b/>
          <w:bCs/>
          <w:sz w:val="18"/>
          <w:szCs w:val="18"/>
          <w:lang w:val="en-US"/>
        </w:rPr>
        <w:t>7</w:t>
      </w:r>
      <w:r w:rsidRPr="00257C6A">
        <w:rPr>
          <w:b/>
          <w:bCs/>
          <w:sz w:val="18"/>
          <w:szCs w:val="18"/>
          <w:lang w:val="en-US"/>
        </w:rPr>
        <w:t>. Screening of triptans inhibitory effect on [</w:t>
      </w:r>
      <w:r w:rsidRPr="00257C6A">
        <w:rPr>
          <w:b/>
          <w:bCs/>
          <w:sz w:val="18"/>
          <w:szCs w:val="18"/>
          <w:vertAlign w:val="superscript"/>
          <w:lang w:val="en-US"/>
        </w:rPr>
        <w:t>3</w:t>
      </w:r>
      <w:r w:rsidRPr="00257C6A">
        <w:rPr>
          <w:b/>
          <w:bCs/>
          <w:sz w:val="18"/>
          <w:szCs w:val="18"/>
          <w:lang w:val="en-US"/>
        </w:rPr>
        <w:t>H]-pyrilamine uptake into hCMEC/D3 cells.</w:t>
      </w:r>
      <w:r w:rsidRPr="00257C6A">
        <w:rPr>
          <w:rFonts w:eastAsia="Calibri"/>
          <w:b/>
          <w:bCs/>
          <w:color w:val="000000" w:themeColor="text1"/>
          <w:kern w:val="24"/>
          <w:sz w:val="18"/>
          <w:szCs w:val="18"/>
          <w:lang w:val="en-US"/>
        </w:rPr>
        <w:t xml:space="preserve"> </w:t>
      </w:r>
      <w:r w:rsidRPr="00257C6A">
        <w:rPr>
          <w:b/>
          <w:bCs/>
          <w:sz w:val="18"/>
          <w:szCs w:val="18"/>
          <w:lang w:val="en-US"/>
        </w:rPr>
        <w:t>A)</w:t>
      </w:r>
      <w:r w:rsidRPr="00257C6A">
        <w:rPr>
          <w:sz w:val="18"/>
          <w:szCs w:val="18"/>
          <w:lang w:val="en-US"/>
        </w:rPr>
        <w:t xml:space="preserve"> </w:t>
      </w:r>
      <w:r w:rsidRPr="00257C6A">
        <w:rPr>
          <w:sz w:val="18"/>
          <w:szCs w:val="16"/>
          <w:lang w:val="en-GB"/>
        </w:rPr>
        <w:t>Uptake of [</w:t>
      </w:r>
      <w:r w:rsidRPr="00257C6A">
        <w:rPr>
          <w:sz w:val="18"/>
          <w:szCs w:val="16"/>
          <w:vertAlign w:val="superscript"/>
          <w:lang w:val="en-GB"/>
        </w:rPr>
        <w:t>3</w:t>
      </w:r>
      <w:r w:rsidRPr="00257C6A">
        <w:rPr>
          <w:sz w:val="18"/>
          <w:szCs w:val="16"/>
          <w:lang w:val="en-GB"/>
        </w:rPr>
        <w:t>H]-pyrilamine (48 nM) in</w:t>
      </w:r>
      <w:r>
        <w:rPr>
          <w:sz w:val="18"/>
          <w:szCs w:val="16"/>
          <w:lang w:val="en-GB"/>
        </w:rPr>
        <w:t xml:space="preserve"> the absence (Control) or presence of 500 µM oxycodone (OXY), eletriptan (ELE), almotriptan (ALMO), rizatriptan (RIZA), zolmitriptan (ZOLMI), naratriptan (NARA), sumatriptan (SUMA) or frovatriptan (FROVA). Each column represents </w:t>
      </w:r>
      <m:oMath>
        <m:r>
          <w:rPr>
            <w:rFonts w:ascii="Cambria Math" w:hAnsi="Cambria Math"/>
            <w:sz w:val="18"/>
            <w:szCs w:val="16"/>
            <w:lang w:val="en-GB"/>
          </w:rPr>
          <m:t>mean±SD</m:t>
        </m:r>
      </m:oMath>
      <w:r>
        <w:rPr>
          <w:rFonts w:eastAsiaTheme="minorEastAsia"/>
          <w:sz w:val="18"/>
          <w:szCs w:val="16"/>
          <w:lang w:val="en-GB"/>
        </w:rPr>
        <w:t xml:space="preserve"> </w:t>
      </w:r>
      <w:r>
        <w:rPr>
          <w:sz w:val="18"/>
          <w:szCs w:val="16"/>
          <w:lang w:val="en-GB"/>
        </w:rPr>
        <w:t>(</w:t>
      </w:r>
      <w:r w:rsidRPr="001706AA">
        <w:rPr>
          <w:i/>
          <w:iCs/>
          <w:sz w:val="18"/>
          <w:szCs w:val="16"/>
          <w:lang w:val="en-GB"/>
        </w:rPr>
        <w:t>n</w:t>
      </w:r>
      <w:r>
        <w:rPr>
          <w:sz w:val="18"/>
          <w:szCs w:val="16"/>
          <w:lang w:val="en-GB"/>
        </w:rPr>
        <w:t xml:space="preserve"> =</w:t>
      </w:r>
      <w:r>
        <w:rPr>
          <w:rFonts w:eastAsiaTheme="minorEastAsia"/>
          <w:iCs/>
          <w:sz w:val="18"/>
          <w:szCs w:val="16"/>
          <w:lang w:val="en-GB"/>
        </w:rPr>
        <w:t xml:space="preserve"> 3</w:t>
      </w:r>
      <w:r>
        <w:rPr>
          <w:i/>
          <w:iCs/>
          <w:sz w:val="18"/>
          <w:szCs w:val="16"/>
          <w:lang w:val="en-GB"/>
        </w:rPr>
        <w:t>, N</w:t>
      </w:r>
      <w:r w:rsidRPr="001706AA">
        <w:rPr>
          <w:i/>
          <w:iCs/>
          <w:sz w:val="18"/>
          <w:szCs w:val="16"/>
          <w:vertAlign w:val="subscript"/>
          <w:lang w:val="en-GB"/>
        </w:rPr>
        <w:t>total</w:t>
      </w:r>
      <w:r w:rsidRPr="001706AA">
        <w:rPr>
          <w:sz w:val="18"/>
          <w:szCs w:val="16"/>
          <w:lang w:val="en-GB"/>
        </w:rPr>
        <w:t xml:space="preserve"> = </w:t>
      </w:r>
      <w:r>
        <w:rPr>
          <w:rFonts w:eastAsiaTheme="minorEastAsia"/>
          <w:iCs/>
          <w:sz w:val="18"/>
          <w:szCs w:val="16"/>
          <w:lang w:val="en-GB"/>
        </w:rPr>
        <w:t>9</w:t>
      </w:r>
      <w:r>
        <w:rPr>
          <w:sz w:val="18"/>
          <w:szCs w:val="16"/>
          <w:lang w:val="en-GB"/>
        </w:rPr>
        <w:t xml:space="preserve">). Columns were compared to ’Control-group’ and analysed using a one-way ANOVA followed by a Tukey’s multiple comparison test. </w:t>
      </w:r>
      <w:r>
        <w:rPr>
          <w:sz w:val="18"/>
          <w:szCs w:val="16"/>
          <w:lang w:val="en-US"/>
        </w:rPr>
        <w:t xml:space="preserve">*:P≤0.05. ***: P≤0.001. ****: P≤0.0001. </w:t>
      </w:r>
    </w:p>
    <w:p w14:paraId="606EEFC3" w14:textId="77777777" w:rsidR="00885855" w:rsidRDefault="00885855"/>
    <w:sectPr w:rsidR="00885855" w:rsidSect="00281761">
      <w:footerReference w:type="default" r:id="rId9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9310931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A1D7A7B" w14:textId="77777777" w:rsidR="00000000" w:rsidRDefault="00000000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43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43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07F0A70A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855"/>
    <w:rsid w:val="00281761"/>
    <w:rsid w:val="00885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05E3D"/>
  <w15:chartTrackingRefBased/>
  <w15:docId w15:val="{A3D0E3A0-E4E1-4616-B7A9-F82BF5477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855"/>
    <w:pPr>
      <w:spacing w:line="360" w:lineRule="auto"/>
    </w:pPr>
    <w:rPr>
      <w:rFonts w:ascii="Times New Roman" w:hAnsi="Times New Roman"/>
      <w:kern w:val="0"/>
      <w:sz w:val="24"/>
      <w:lang w:val="da-DK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85855"/>
    <w:pPr>
      <w:keepNext/>
      <w:keepLines/>
      <w:spacing w:before="240" w:after="0"/>
      <w:jc w:val="both"/>
      <w:outlineLvl w:val="0"/>
    </w:pPr>
    <w:rPr>
      <w:rFonts w:eastAsiaTheme="majorEastAsia" w:cs="Times New Roman"/>
      <w:b/>
      <w:color w:val="000000" w:themeColor="text1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5855"/>
    <w:rPr>
      <w:rFonts w:ascii="Times New Roman" w:eastAsiaTheme="majorEastAsia" w:hAnsi="Times New Roman" w:cs="Times New Roman"/>
      <w:b/>
      <w:color w:val="000000" w:themeColor="text1"/>
      <w:kern w:val="0"/>
      <w:sz w:val="32"/>
      <w:szCs w:val="3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858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5855"/>
    <w:rPr>
      <w:rFonts w:ascii="Times New Roman" w:hAnsi="Times New Roman"/>
      <w:kern w:val="0"/>
      <w:sz w:val="24"/>
      <w:lang w:val="da-DK"/>
      <w14:ligatures w14:val="none"/>
    </w:rPr>
  </w:style>
  <w:style w:type="table" w:styleId="TableGrid">
    <w:name w:val="Table Grid"/>
    <w:basedOn w:val="TableNormal"/>
    <w:uiPriority w:val="39"/>
    <w:rsid w:val="00885855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lassic1">
    <w:name w:val="Table Classic 1"/>
    <w:basedOn w:val="TableNormal"/>
    <w:rsid w:val="00885855"/>
    <w:pPr>
      <w:spacing w:after="0" w:line="48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8858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708</Words>
  <Characters>4038</Characters>
  <Application>Microsoft Office Word</Application>
  <DocSecurity>0</DocSecurity>
  <Lines>33</Lines>
  <Paragraphs>9</Paragraphs>
  <ScaleCrop>false</ScaleCrop>
  <Company>Springer Nature</Company>
  <LinksUpToDate>false</LinksUpToDate>
  <CharactersWithSpaces>4737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2024-03-21T08:32:00Z</dcterms:created>
  <dcterms:modified xsi:type="dcterms:W3CDTF">2024-03-21T08:32:00Z</dcterms:modified>
</cp:coreProperties>
</file>